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B3DB9" w14:textId="71134953" w:rsidR="009839BC" w:rsidRPr="003F6B95" w:rsidRDefault="009839BC" w:rsidP="009839BC">
      <w:pPr>
        <w:pStyle w:val="corte1datos"/>
        <w:ind w:left="3827"/>
        <w:jc w:val="both"/>
        <w:rPr>
          <w:rFonts w:cs="Arial"/>
          <w:sz w:val="26"/>
          <w:szCs w:val="26"/>
        </w:rPr>
      </w:pPr>
      <w:r w:rsidRPr="003F6B95">
        <w:rPr>
          <w:rFonts w:cs="Arial"/>
          <w:sz w:val="26"/>
          <w:szCs w:val="26"/>
        </w:rPr>
        <w:t>AMPARO DIRECTO 15/2020</w:t>
      </w:r>
      <w:r w:rsidR="00FB7EBF">
        <w:rPr>
          <w:rFonts w:cs="Arial"/>
          <w:sz w:val="26"/>
          <w:szCs w:val="26"/>
        </w:rPr>
        <w:t xml:space="preserve"> </w:t>
      </w:r>
      <w:r w:rsidR="001C7BDC">
        <w:rPr>
          <w:rFonts w:cs="Arial"/>
          <w:sz w:val="26"/>
          <w:szCs w:val="26"/>
        </w:rPr>
        <w:t xml:space="preserve"> </w:t>
      </w:r>
    </w:p>
    <w:p w14:paraId="0ECBA1E6" w14:textId="062C24C7" w:rsidR="009839BC" w:rsidRDefault="009839BC" w:rsidP="009839BC">
      <w:pPr>
        <w:pStyle w:val="corte1datos"/>
        <w:ind w:left="3827"/>
        <w:jc w:val="both"/>
        <w:rPr>
          <w:rFonts w:cs="Arial"/>
          <w:color w:val="FF0000"/>
          <w:sz w:val="26"/>
          <w:szCs w:val="26"/>
          <w:lang w:val="es-ES"/>
        </w:rPr>
      </w:pPr>
      <w:r w:rsidRPr="003F6B95">
        <w:rPr>
          <w:rFonts w:cs="Arial"/>
          <w:sz w:val="26"/>
          <w:szCs w:val="26"/>
          <w:lang w:val="es-ES"/>
        </w:rPr>
        <w:t xml:space="preserve">quejosAS: </w:t>
      </w:r>
      <w:r w:rsidRPr="003F6B95">
        <w:rPr>
          <w:rFonts w:cs="Arial"/>
          <w:color w:val="FF0000"/>
          <w:sz w:val="26"/>
          <w:szCs w:val="26"/>
          <w:lang w:val="es-ES"/>
        </w:rPr>
        <w:t xml:space="preserve">jMDF </w:t>
      </w:r>
      <w:r w:rsidRPr="003F6B95">
        <w:rPr>
          <w:rFonts w:cs="Arial"/>
          <w:sz w:val="26"/>
          <w:szCs w:val="26"/>
          <w:lang w:val="es-ES"/>
        </w:rPr>
        <w:t>y</w:t>
      </w:r>
      <w:r w:rsidRPr="003F6B95">
        <w:rPr>
          <w:rFonts w:cs="Arial"/>
          <w:color w:val="FF0000"/>
          <w:sz w:val="26"/>
          <w:szCs w:val="26"/>
          <w:lang w:val="es-ES"/>
        </w:rPr>
        <w:t xml:space="preserve"> LNGB</w:t>
      </w:r>
    </w:p>
    <w:p w14:paraId="0077D892" w14:textId="77777777" w:rsidR="0077673C" w:rsidRPr="003F6B95" w:rsidRDefault="0077673C" w:rsidP="009839BC">
      <w:pPr>
        <w:pStyle w:val="corte1datos"/>
        <w:ind w:left="3827"/>
        <w:jc w:val="both"/>
        <w:rPr>
          <w:rFonts w:cs="Arial"/>
          <w:color w:val="FF0000"/>
          <w:sz w:val="26"/>
          <w:szCs w:val="26"/>
          <w:lang w:val="es-ES"/>
        </w:rPr>
      </w:pPr>
    </w:p>
    <w:p w14:paraId="350EB72B" w14:textId="0B988EC2" w:rsidR="009839BC" w:rsidRPr="009B0558" w:rsidRDefault="009839BC" w:rsidP="009839BC">
      <w:pPr>
        <w:pStyle w:val="corte1datos"/>
        <w:ind w:left="3827"/>
        <w:jc w:val="both"/>
        <w:rPr>
          <w:rFonts w:cs="Arial"/>
          <w:sz w:val="26"/>
          <w:szCs w:val="26"/>
          <w:lang w:val="es-ES"/>
        </w:rPr>
      </w:pPr>
      <w:r w:rsidRPr="003F6B95">
        <w:rPr>
          <w:rFonts w:cs="Arial"/>
          <w:sz w:val="26"/>
          <w:szCs w:val="26"/>
          <w:lang w:val="es-ES"/>
        </w:rPr>
        <w:t xml:space="preserve">TERCERAS INTERESADAS: </w:t>
      </w:r>
      <w:r w:rsidRPr="009B0558">
        <w:rPr>
          <w:rFonts w:cs="Arial"/>
          <w:sz w:val="26"/>
          <w:szCs w:val="26"/>
          <w:lang w:val="es-ES"/>
        </w:rPr>
        <w:t>REFORMA 222, S</w:t>
      </w:r>
      <w:r w:rsidR="003B4469" w:rsidRPr="009B0558">
        <w:rPr>
          <w:rFonts w:cs="Arial"/>
          <w:sz w:val="26"/>
          <w:szCs w:val="26"/>
          <w:lang w:val="es-ES"/>
        </w:rPr>
        <w:t>OCIEDAD ANÓNIMA DE CAPITAL VARIABLE</w:t>
      </w:r>
      <w:r w:rsidRPr="009B0558">
        <w:rPr>
          <w:rFonts w:cs="Arial"/>
          <w:sz w:val="26"/>
          <w:szCs w:val="26"/>
          <w:lang w:val="es-ES"/>
        </w:rPr>
        <w:t>; PROTECCIÓN PRIVADA 2010, S</w:t>
      </w:r>
      <w:r w:rsidR="003B4469" w:rsidRPr="009B0558">
        <w:rPr>
          <w:rFonts w:cs="Arial"/>
          <w:sz w:val="26"/>
          <w:szCs w:val="26"/>
          <w:lang w:val="es-ES"/>
        </w:rPr>
        <w:t>OCIEDAD DE RESPONSABILIDAD LIMITADA</w:t>
      </w:r>
      <w:r w:rsidR="00C25A1E" w:rsidRPr="009B0558">
        <w:rPr>
          <w:rFonts w:cs="Arial"/>
          <w:sz w:val="26"/>
          <w:szCs w:val="26"/>
          <w:lang w:val="es-ES"/>
        </w:rPr>
        <w:t xml:space="preserve"> </w:t>
      </w:r>
      <w:r w:rsidRPr="009B0558">
        <w:rPr>
          <w:rFonts w:cs="Arial"/>
          <w:sz w:val="26"/>
          <w:szCs w:val="26"/>
          <w:lang w:val="es-ES"/>
        </w:rPr>
        <w:t>DE C</w:t>
      </w:r>
      <w:r w:rsidR="00C25A1E" w:rsidRPr="009B0558">
        <w:rPr>
          <w:rFonts w:cs="Arial"/>
          <w:sz w:val="26"/>
          <w:szCs w:val="26"/>
          <w:lang w:val="es-ES"/>
        </w:rPr>
        <w:t>APITAL VARIABLE</w:t>
      </w:r>
      <w:r w:rsidR="0075345F" w:rsidRPr="009B0558">
        <w:rPr>
          <w:rFonts w:cs="Arial"/>
          <w:sz w:val="26"/>
          <w:szCs w:val="26"/>
          <w:lang w:val="es-ES"/>
        </w:rPr>
        <w:t>,</w:t>
      </w:r>
      <w:r w:rsidRPr="009B0558">
        <w:rPr>
          <w:rFonts w:cs="Arial"/>
          <w:sz w:val="26"/>
          <w:szCs w:val="26"/>
          <w:lang w:val="es-ES"/>
        </w:rPr>
        <w:t xml:space="preserve"> Y GRUPO</w:t>
      </w:r>
      <w:r w:rsidR="004C6B21" w:rsidRPr="009B0558">
        <w:rPr>
          <w:rFonts w:cs="Arial"/>
          <w:sz w:val="26"/>
          <w:szCs w:val="26"/>
          <w:lang w:val="es-ES"/>
        </w:rPr>
        <w:t xml:space="preserve"> (SIC)</w:t>
      </w:r>
      <w:r w:rsidRPr="009B0558">
        <w:rPr>
          <w:rFonts w:cs="Arial"/>
          <w:sz w:val="26"/>
          <w:szCs w:val="26"/>
          <w:lang w:val="es-ES"/>
        </w:rPr>
        <w:t xml:space="preserve"> DANHOS, s</w:t>
      </w:r>
      <w:r w:rsidR="00C25A1E" w:rsidRPr="009B0558">
        <w:rPr>
          <w:rFonts w:cs="Arial"/>
          <w:sz w:val="26"/>
          <w:szCs w:val="26"/>
          <w:lang w:val="es-ES"/>
        </w:rPr>
        <w:t>OCIEDAD ANÓNIMA DE CAPITAL VARIABLE</w:t>
      </w:r>
    </w:p>
    <w:p w14:paraId="777D3C24" w14:textId="77777777" w:rsidR="009839BC" w:rsidRPr="003F6B95" w:rsidRDefault="009839BC" w:rsidP="009839BC">
      <w:pPr>
        <w:spacing w:after="60" w:line="276" w:lineRule="auto"/>
        <w:jc w:val="both"/>
        <w:rPr>
          <w:rFonts w:ascii="Arial" w:hAnsi="Arial" w:cs="Arial"/>
          <w:b/>
          <w:sz w:val="26"/>
          <w:szCs w:val="26"/>
          <w:lang w:val="es-ES_tradnl"/>
        </w:rPr>
      </w:pPr>
    </w:p>
    <w:p w14:paraId="12C9B9DC" w14:textId="77777777" w:rsidR="009839BC" w:rsidRPr="003F6B95" w:rsidRDefault="009839BC" w:rsidP="009839BC">
      <w:pPr>
        <w:spacing w:after="60" w:line="276" w:lineRule="auto"/>
        <w:jc w:val="both"/>
        <w:rPr>
          <w:rFonts w:ascii="Arial" w:hAnsi="Arial" w:cs="Arial"/>
          <w:b/>
          <w:sz w:val="26"/>
          <w:szCs w:val="26"/>
          <w:lang w:val="es-ES_tradnl"/>
        </w:rPr>
      </w:pPr>
    </w:p>
    <w:p w14:paraId="23F55955" w14:textId="165FE267" w:rsidR="009839BC" w:rsidRPr="003F6B95" w:rsidRDefault="009839BC" w:rsidP="009839BC">
      <w:pPr>
        <w:spacing w:after="60" w:line="276" w:lineRule="auto"/>
        <w:jc w:val="both"/>
        <w:rPr>
          <w:rFonts w:ascii="Arial" w:hAnsi="Arial" w:cs="Arial"/>
          <w:b/>
          <w:sz w:val="26"/>
          <w:szCs w:val="26"/>
          <w:lang w:val="es-ES_tradnl"/>
        </w:rPr>
      </w:pPr>
      <w:r w:rsidRPr="003F6B95">
        <w:rPr>
          <w:rFonts w:ascii="Arial" w:hAnsi="Arial" w:cs="Arial"/>
          <w:b/>
          <w:sz w:val="26"/>
          <w:szCs w:val="26"/>
          <w:lang w:val="es-ES_tradnl"/>
        </w:rPr>
        <w:t>PONENTE: MINISTRO ALFREDO GUTIÉRREZ ORTIZ MENA</w:t>
      </w:r>
    </w:p>
    <w:p w14:paraId="1670CB0D" w14:textId="77777777" w:rsidR="009839BC" w:rsidRPr="003F6B95" w:rsidRDefault="009839BC" w:rsidP="009839BC">
      <w:pPr>
        <w:spacing w:after="60" w:line="276" w:lineRule="auto"/>
        <w:jc w:val="both"/>
        <w:rPr>
          <w:rFonts w:ascii="Arial" w:hAnsi="Arial" w:cs="Arial"/>
          <w:b/>
          <w:sz w:val="26"/>
          <w:szCs w:val="26"/>
          <w:lang w:val="es-ES_tradnl"/>
        </w:rPr>
      </w:pPr>
    </w:p>
    <w:p w14:paraId="002A7BE8" w14:textId="77777777" w:rsidR="009839BC" w:rsidRPr="003F6B95" w:rsidRDefault="009839BC" w:rsidP="009839BC">
      <w:pPr>
        <w:spacing w:line="276" w:lineRule="auto"/>
        <w:jc w:val="both"/>
        <w:rPr>
          <w:rFonts w:ascii="Arial" w:hAnsi="Arial" w:cs="Arial"/>
          <w:b/>
          <w:sz w:val="26"/>
          <w:szCs w:val="26"/>
          <w:lang w:val="es-ES_tradnl"/>
        </w:rPr>
      </w:pPr>
      <w:r w:rsidRPr="003F6B95">
        <w:rPr>
          <w:rFonts w:ascii="Arial" w:hAnsi="Arial" w:cs="Arial"/>
          <w:b/>
          <w:sz w:val="26"/>
          <w:szCs w:val="26"/>
          <w:lang w:val="es-ES_tradnl"/>
        </w:rPr>
        <w:t>SECRETARIA: SOFÍA TREVIÑO FERNÁNDEZ</w:t>
      </w:r>
    </w:p>
    <w:p w14:paraId="7A90CE9B" w14:textId="6394F6DA" w:rsidR="009839BC" w:rsidRPr="003F6B95" w:rsidRDefault="009839BC" w:rsidP="009839BC">
      <w:pPr>
        <w:spacing w:line="276" w:lineRule="auto"/>
        <w:jc w:val="both"/>
        <w:rPr>
          <w:rFonts w:ascii="Arial" w:hAnsi="Arial" w:cs="Arial"/>
          <w:b/>
          <w:sz w:val="26"/>
          <w:szCs w:val="26"/>
          <w:lang w:val="es-ES_tradnl"/>
        </w:rPr>
      </w:pPr>
      <w:r w:rsidRPr="003F6B95">
        <w:rPr>
          <w:rFonts w:ascii="Arial" w:hAnsi="Arial" w:cs="Arial"/>
          <w:b/>
          <w:sz w:val="26"/>
          <w:szCs w:val="26"/>
          <w:lang w:val="es-ES_tradnl"/>
        </w:rPr>
        <w:t>COLABORADORA: CONSTANZA HERNÁNDEZ CARRILLO</w:t>
      </w:r>
    </w:p>
    <w:p w14:paraId="78E02003" w14:textId="77777777" w:rsidR="009839BC" w:rsidRPr="003F6B95" w:rsidRDefault="009839BC" w:rsidP="009839BC">
      <w:pPr>
        <w:rPr>
          <w:rFonts w:ascii="Arial" w:hAnsi="Arial" w:cs="Arial"/>
          <w:sz w:val="26"/>
          <w:szCs w:val="26"/>
          <w:lang w:val="es-ES_tradnl"/>
        </w:rPr>
      </w:pPr>
    </w:p>
    <w:p w14:paraId="4938FDCA" w14:textId="77777777" w:rsidR="009839BC" w:rsidRPr="003F6B95" w:rsidRDefault="009839BC" w:rsidP="009839BC">
      <w:pPr>
        <w:rPr>
          <w:rFonts w:ascii="Arial" w:hAnsi="Arial" w:cs="Arial"/>
          <w:sz w:val="26"/>
          <w:szCs w:val="26"/>
          <w:lang w:val="es-ES_tradnl"/>
        </w:rPr>
      </w:pPr>
    </w:p>
    <w:p w14:paraId="2A6D096C" w14:textId="77777777" w:rsidR="009839BC" w:rsidRPr="003F6B95" w:rsidRDefault="009839BC" w:rsidP="009839BC">
      <w:pPr>
        <w:jc w:val="center"/>
        <w:rPr>
          <w:rFonts w:ascii="Arial" w:hAnsi="Arial" w:cs="Arial"/>
          <w:b/>
          <w:bCs/>
          <w:sz w:val="26"/>
          <w:szCs w:val="26"/>
          <w:lang w:val="es-ES_tradnl"/>
        </w:rPr>
      </w:pPr>
      <w:r w:rsidRPr="003F6B95">
        <w:rPr>
          <w:rFonts w:ascii="Arial" w:hAnsi="Arial" w:cs="Arial"/>
          <w:b/>
          <w:bCs/>
          <w:sz w:val="26"/>
          <w:szCs w:val="26"/>
          <w:lang w:val="es-ES_tradnl"/>
        </w:rPr>
        <w:t>ÍNDICE TEMÁTICO</w:t>
      </w:r>
    </w:p>
    <w:p w14:paraId="340F4250" w14:textId="77777777" w:rsidR="009839BC" w:rsidRPr="003F6B95" w:rsidRDefault="009839BC" w:rsidP="009839BC">
      <w:pPr>
        <w:jc w:val="center"/>
        <w:rPr>
          <w:rFonts w:ascii="Arial" w:hAnsi="Arial" w:cs="Arial"/>
          <w:b/>
          <w:bCs/>
          <w:sz w:val="26"/>
          <w:szCs w:val="26"/>
          <w:lang w:val="es-ES_tradnl"/>
        </w:rPr>
      </w:pPr>
    </w:p>
    <w:tbl>
      <w:tblPr>
        <w:tblStyle w:val="Tablaconcuadrcula"/>
        <w:tblW w:w="8931" w:type="dxa"/>
        <w:tblInd w:w="-5" w:type="dxa"/>
        <w:tblLayout w:type="fixed"/>
        <w:tblLook w:val="04A0" w:firstRow="1" w:lastRow="0" w:firstColumn="1" w:lastColumn="0" w:noHBand="0" w:noVBand="1"/>
      </w:tblPr>
      <w:tblGrid>
        <w:gridCol w:w="851"/>
        <w:gridCol w:w="2693"/>
        <w:gridCol w:w="4394"/>
        <w:gridCol w:w="993"/>
      </w:tblGrid>
      <w:tr w:rsidR="00261D22" w:rsidRPr="003F6B95" w14:paraId="0239680C" w14:textId="77777777" w:rsidTr="00CF4096">
        <w:trPr>
          <w:trHeight w:val="641"/>
        </w:trPr>
        <w:tc>
          <w:tcPr>
            <w:tcW w:w="851" w:type="dxa"/>
            <w:shd w:val="clear" w:color="auto" w:fill="D9D9D9" w:themeFill="background1" w:themeFillShade="D9"/>
            <w:vAlign w:val="center"/>
          </w:tcPr>
          <w:p w14:paraId="486FB4E1" w14:textId="77777777" w:rsidR="009839BC" w:rsidRPr="003F6B95" w:rsidRDefault="009839BC" w:rsidP="00F0010C">
            <w:pPr>
              <w:jc w:val="center"/>
              <w:rPr>
                <w:rFonts w:ascii="Arial" w:hAnsi="Arial" w:cs="Arial"/>
                <w:b/>
                <w:bCs/>
                <w:sz w:val="26"/>
                <w:szCs w:val="26"/>
                <w:highlight w:val="yellow"/>
                <w:lang w:val="es-ES_tradnl"/>
              </w:rPr>
            </w:pPr>
          </w:p>
        </w:tc>
        <w:tc>
          <w:tcPr>
            <w:tcW w:w="2693" w:type="dxa"/>
            <w:shd w:val="clear" w:color="auto" w:fill="D9D9D9" w:themeFill="background1" w:themeFillShade="D9"/>
            <w:vAlign w:val="center"/>
          </w:tcPr>
          <w:p w14:paraId="007AEFF6" w14:textId="77777777" w:rsidR="009839BC" w:rsidRPr="003F6B95" w:rsidRDefault="009839BC" w:rsidP="00F0010C">
            <w:pPr>
              <w:jc w:val="center"/>
              <w:rPr>
                <w:rFonts w:ascii="Arial" w:hAnsi="Arial" w:cs="Arial"/>
                <w:b/>
                <w:lang w:val="es-ES_tradnl"/>
              </w:rPr>
            </w:pPr>
            <w:r w:rsidRPr="003F6B95">
              <w:rPr>
                <w:rFonts w:ascii="Arial" w:hAnsi="Arial" w:cs="Arial"/>
                <w:b/>
                <w:lang w:val="es-ES_tradnl"/>
              </w:rPr>
              <w:t>Apartado</w:t>
            </w:r>
          </w:p>
        </w:tc>
        <w:tc>
          <w:tcPr>
            <w:tcW w:w="4394" w:type="dxa"/>
            <w:shd w:val="clear" w:color="auto" w:fill="D9D9D9" w:themeFill="background1" w:themeFillShade="D9"/>
            <w:vAlign w:val="center"/>
          </w:tcPr>
          <w:p w14:paraId="07546A24" w14:textId="77777777" w:rsidR="009839BC" w:rsidRPr="003F6B95" w:rsidRDefault="009839BC" w:rsidP="00F0010C">
            <w:pPr>
              <w:jc w:val="center"/>
              <w:rPr>
                <w:rFonts w:ascii="Arial" w:hAnsi="Arial" w:cs="Arial"/>
                <w:b/>
                <w:lang w:val="es-ES_tradnl"/>
              </w:rPr>
            </w:pPr>
            <w:r w:rsidRPr="003F6B95">
              <w:rPr>
                <w:rFonts w:ascii="Arial" w:hAnsi="Arial" w:cs="Arial"/>
                <w:b/>
                <w:lang w:val="es-ES_tradnl"/>
              </w:rPr>
              <w:t>Criterio y decisión</w:t>
            </w:r>
          </w:p>
        </w:tc>
        <w:tc>
          <w:tcPr>
            <w:tcW w:w="993" w:type="dxa"/>
            <w:shd w:val="clear" w:color="auto" w:fill="D9D9D9" w:themeFill="background1" w:themeFillShade="D9"/>
            <w:vAlign w:val="center"/>
          </w:tcPr>
          <w:p w14:paraId="4C789C47" w14:textId="77777777" w:rsidR="009839BC" w:rsidRPr="003F6B95" w:rsidRDefault="009839BC" w:rsidP="00F0010C">
            <w:pPr>
              <w:jc w:val="center"/>
              <w:rPr>
                <w:rFonts w:ascii="Arial" w:hAnsi="Arial" w:cs="Arial"/>
                <w:b/>
                <w:lang w:val="es-ES_tradnl"/>
              </w:rPr>
            </w:pPr>
            <w:r w:rsidRPr="003F6B95">
              <w:rPr>
                <w:rFonts w:ascii="Arial" w:hAnsi="Arial" w:cs="Arial"/>
                <w:b/>
                <w:lang w:val="es-ES_tradnl"/>
              </w:rPr>
              <w:t>Págs.</w:t>
            </w:r>
          </w:p>
        </w:tc>
      </w:tr>
      <w:tr w:rsidR="00261D22" w:rsidRPr="003F6B95" w14:paraId="616E29A3" w14:textId="77777777" w:rsidTr="00CF4096">
        <w:trPr>
          <w:trHeight w:val="569"/>
        </w:trPr>
        <w:tc>
          <w:tcPr>
            <w:tcW w:w="851" w:type="dxa"/>
            <w:vAlign w:val="center"/>
          </w:tcPr>
          <w:p w14:paraId="6A9F7C09" w14:textId="77777777" w:rsidR="009839BC" w:rsidRPr="0078221A" w:rsidRDefault="009839BC" w:rsidP="00F0010C">
            <w:pPr>
              <w:spacing w:line="276" w:lineRule="auto"/>
              <w:jc w:val="center"/>
              <w:rPr>
                <w:rFonts w:ascii="Arial" w:hAnsi="Arial" w:cs="Arial"/>
                <w:b/>
                <w:bCs/>
                <w:sz w:val="26"/>
                <w:szCs w:val="26"/>
                <w:lang w:val="es-ES_tradnl"/>
              </w:rPr>
            </w:pPr>
            <w:r w:rsidRPr="0078221A">
              <w:rPr>
                <w:rFonts w:ascii="Arial" w:hAnsi="Arial" w:cs="Arial"/>
                <w:b/>
                <w:bCs/>
                <w:sz w:val="26"/>
                <w:szCs w:val="26"/>
                <w:lang w:val="es-ES_tradnl"/>
              </w:rPr>
              <w:t>I.</w:t>
            </w:r>
          </w:p>
        </w:tc>
        <w:tc>
          <w:tcPr>
            <w:tcW w:w="2693" w:type="dxa"/>
            <w:vAlign w:val="center"/>
          </w:tcPr>
          <w:p w14:paraId="03665331" w14:textId="61820AB5" w:rsidR="009839BC" w:rsidRPr="003F6B95" w:rsidRDefault="00855836" w:rsidP="00CF4096">
            <w:pPr>
              <w:spacing w:line="360" w:lineRule="auto"/>
              <w:jc w:val="center"/>
              <w:rPr>
                <w:rFonts w:ascii="Arial" w:hAnsi="Arial" w:cs="Arial"/>
                <w:b/>
                <w:lang w:val="es-ES_tradnl"/>
              </w:rPr>
            </w:pPr>
            <w:r w:rsidRPr="003F6B95">
              <w:rPr>
                <w:rFonts w:ascii="Arial" w:hAnsi="Arial" w:cs="Arial"/>
                <w:b/>
                <w:lang w:val="es-ES_tradnl"/>
              </w:rPr>
              <w:t>ANTECEDENTES DEL ASUNTO</w:t>
            </w:r>
          </w:p>
        </w:tc>
        <w:tc>
          <w:tcPr>
            <w:tcW w:w="4394" w:type="dxa"/>
          </w:tcPr>
          <w:p w14:paraId="07924430" w14:textId="05DD1412" w:rsidR="009839BC" w:rsidRPr="0078221A" w:rsidRDefault="00855836" w:rsidP="0078221A">
            <w:pPr>
              <w:spacing w:line="276" w:lineRule="auto"/>
              <w:jc w:val="both"/>
              <w:rPr>
                <w:rFonts w:ascii="Arial" w:hAnsi="Arial" w:cs="Arial"/>
                <w:lang w:val="es-ES_tradnl"/>
              </w:rPr>
            </w:pPr>
            <w:r w:rsidRPr="0078221A">
              <w:rPr>
                <w:rFonts w:ascii="Arial" w:hAnsi="Arial" w:cs="Arial"/>
                <w:lang w:val="es-ES_tradnl"/>
              </w:rPr>
              <w:t xml:space="preserve">Se narran los antecedentes más relevantes del asunto. </w:t>
            </w:r>
          </w:p>
        </w:tc>
        <w:tc>
          <w:tcPr>
            <w:tcW w:w="993" w:type="dxa"/>
          </w:tcPr>
          <w:p w14:paraId="114EA08F" w14:textId="693688A6" w:rsidR="009839BC" w:rsidRPr="003F6B95" w:rsidRDefault="002C7BA0" w:rsidP="00F0010C">
            <w:pPr>
              <w:spacing w:line="276" w:lineRule="auto"/>
              <w:jc w:val="center"/>
              <w:rPr>
                <w:rFonts w:ascii="Arial" w:hAnsi="Arial" w:cs="Arial"/>
                <w:lang w:val="es-ES_tradnl"/>
              </w:rPr>
            </w:pPr>
            <w:r>
              <w:rPr>
                <w:rFonts w:ascii="Arial" w:hAnsi="Arial" w:cs="Arial"/>
                <w:lang w:val="es-ES_tradnl"/>
              </w:rPr>
              <w:t>2</w:t>
            </w:r>
          </w:p>
        </w:tc>
      </w:tr>
      <w:tr w:rsidR="00261D22" w:rsidRPr="003F6B95" w14:paraId="7A613506" w14:textId="77777777" w:rsidTr="00CF4096">
        <w:trPr>
          <w:trHeight w:val="555"/>
        </w:trPr>
        <w:tc>
          <w:tcPr>
            <w:tcW w:w="851" w:type="dxa"/>
            <w:vAlign w:val="center"/>
          </w:tcPr>
          <w:p w14:paraId="0C138F74" w14:textId="77777777" w:rsidR="009839BC" w:rsidRPr="00CF4096" w:rsidRDefault="009839BC" w:rsidP="00F0010C">
            <w:pPr>
              <w:spacing w:line="276" w:lineRule="auto"/>
              <w:jc w:val="center"/>
              <w:rPr>
                <w:rFonts w:ascii="Arial" w:hAnsi="Arial" w:cs="Arial"/>
                <w:b/>
                <w:bCs/>
                <w:sz w:val="26"/>
                <w:szCs w:val="26"/>
                <w:lang w:val="es-ES_tradnl"/>
              </w:rPr>
            </w:pPr>
            <w:r w:rsidRPr="00CF4096">
              <w:rPr>
                <w:rFonts w:ascii="Arial" w:hAnsi="Arial" w:cs="Arial"/>
                <w:b/>
                <w:bCs/>
                <w:sz w:val="26"/>
                <w:szCs w:val="26"/>
                <w:lang w:val="es-ES_tradnl"/>
              </w:rPr>
              <w:t>II.</w:t>
            </w:r>
          </w:p>
        </w:tc>
        <w:tc>
          <w:tcPr>
            <w:tcW w:w="2693" w:type="dxa"/>
            <w:vAlign w:val="center"/>
          </w:tcPr>
          <w:p w14:paraId="075B1B61" w14:textId="2B64CCDA" w:rsidR="009839BC" w:rsidRPr="00CF4096" w:rsidRDefault="0078221A" w:rsidP="00CF4096">
            <w:pPr>
              <w:spacing w:line="360" w:lineRule="auto"/>
              <w:jc w:val="center"/>
              <w:rPr>
                <w:rFonts w:ascii="Arial" w:hAnsi="Arial" w:cs="Arial"/>
                <w:b/>
                <w:lang w:val="es-ES_tradnl"/>
              </w:rPr>
            </w:pPr>
            <w:r w:rsidRPr="0078221A">
              <w:rPr>
                <w:rFonts w:ascii="Arial" w:hAnsi="Arial" w:cs="Arial"/>
                <w:b/>
                <w:lang w:val="es-ES"/>
              </w:rPr>
              <w:t>COMPETENCIA</w:t>
            </w:r>
            <w:r w:rsidRPr="00CF4096" w:rsidDel="00764BFE">
              <w:rPr>
                <w:rFonts w:ascii="Arial" w:hAnsi="Arial" w:cs="Arial"/>
                <w:b/>
                <w:lang w:val="es-ES"/>
              </w:rPr>
              <w:t xml:space="preserve"> </w:t>
            </w:r>
          </w:p>
        </w:tc>
        <w:tc>
          <w:tcPr>
            <w:tcW w:w="4394" w:type="dxa"/>
          </w:tcPr>
          <w:p w14:paraId="4D360618" w14:textId="617AFFC8" w:rsidR="009839BC" w:rsidRPr="00A434B5" w:rsidRDefault="0078221A" w:rsidP="0078221A">
            <w:pPr>
              <w:spacing w:line="276" w:lineRule="auto"/>
              <w:jc w:val="both"/>
              <w:rPr>
                <w:rFonts w:ascii="Arial" w:hAnsi="Arial" w:cs="Arial"/>
                <w:lang w:val="es-ES_tradnl"/>
              </w:rPr>
            </w:pPr>
            <w:r w:rsidRPr="00A434B5">
              <w:rPr>
                <w:rFonts w:ascii="Arial" w:hAnsi="Arial" w:cs="Arial"/>
                <w:lang w:val="es-ES_tradnl"/>
              </w:rPr>
              <w:t>La Primera Sala es competente para conocer del presente amparo directo.</w:t>
            </w:r>
          </w:p>
        </w:tc>
        <w:tc>
          <w:tcPr>
            <w:tcW w:w="993" w:type="dxa"/>
          </w:tcPr>
          <w:p w14:paraId="2C94A6DA" w14:textId="7F09D98A" w:rsidR="009839BC" w:rsidRPr="00531FB7" w:rsidRDefault="00A13C41" w:rsidP="00F0010C">
            <w:pPr>
              <w:spacing w:line="276" w:lineRule="auto"/>
              <w:jc w:val="center"/>
              <w:rPr>
                <w:rFonts w:ascii="Arial" w:hAnsi="Arial" w:cs="Arial"/>
                <w:lang w:val="es-ES_tradnl"/>
              </w:rPr>
            </w:pPr>
            <w:r w:rsidRPr="00531FB7">
              <w:rPr>
                <w:rFonts w:ascii="Arial" w:hAnsi="Arial" w:cs="Arial"/>
                <w:lang w:val="es-ES_tradnl"/>
              </w:rPr>
              <w:t>1</w:t>
            </w:r>
            <w:r w:rsidR="00934620">
              <w:rPr>
                <w:rFonts w:ascii="Arial" w:hAnsi="Arial" w:cs="Arial"/>
                <w:lang w:val="es-ES_tradnl"/>
              </w:rPr>
              <w:t>2</w:t>
            </w:r>
          </w:p>
        </w:tc>
      </w:tr>
      <w:tr w:rsidR="00261D22" w:rsidRPr="003F6B95" w14:paraId="11F6334D" w14:textId="77777777" w:rsidTr="00CF4096">
        <w:trPr>
          <w:trHeight w:val="555"/>
        </w:trPr>
        <w:tc>
          <w:tcPr>
            <w:tcW w:w="851" w:type="dxa"/>
            <w:vAlign w:val="center"/>
          </w:tcPr>
          <w:p w14:paraId="55DBEEF7" w14:textId="77777777" w:rsidR="009839BC" w:rsidRPr="00CF4096" w:rsidRDefault="009839BC" w:rsidP="00F0010C">
            <w:pPr>
              <w:spacing w:line="276" w:lineRule="auto"/>
              <w:jc w:val="center"/>
              <w:rPr>
                <w:rFonts w:ascii="Arial" w:hAnsi="Arial" w:cs="Arial"/>
                <w:b/>
                <w:bCs/>
                <w:sz w:val="26"/>
                <w:szCs w:val="26"/>
                <w:lang w:val="es-ES_tradnl"/>
              </w:rPr>
            </w:pPr>
            <w:r w:rsidRPr="00CF4096">
              <w:rPr>
                <w:rFonts w:ascii="Arial" w:hAnsi="Arial" w:cs="Arial"/>
                <w:b/>
                <w:bCs/>
                <w:sz w:val="26"/>
                <w:szCs w:val="26"/>
                <w:lang w:val="es-ES_tradnl"/>
              </w:rPr>
              <w:t>III.</w:t>
            </w:r>
          </w:p>
        </w:tc>
        <w:tc>
          <w:tcPr>
            <w:tcW w:w="2693" w:type="dxa"/>
            <w:vAlign w:val="center"/>
          </w:tcPr>
          <w:p w14:paraId="716B676C" w14:textId="55139FFC" w:rsidR="009839BC" w:rsidRPr="00CF4096" w:rsidRDefault="0078221A" w:rsidP="00CF4096">
            <w:pPr>
              <w:spacing w:line="360" w:lineRule="auto"/>
              <w:jc w:val="center"/>
              <w:rPr>
                <w:rFonts w:ascii="Arial" w:hAnsi="Arial" w:cs="Arial"/>
                <w:b/>
                <w:lang w:val="es-ES_tradnl"/>
              </w:rPr>
            </w:pPr>
            <w:r w:rsidRPr="00CF4096">
              <w:rPr>
                <w:rFonts w:ascii="Arial" w:hAnsi="Arial" w:cs="Arial"/>
                <w:b/>
                <w:lang w:val="es-ES_tradnl"/>
              </w:rPr>
              <w:t>OPORTUNIDAD</w:t>
            </w:r>
          </w:p>
        </w:tc>
        <w:tc>
          <w:tcPr>
            <w:tcW w:w="4394" w:type="dxa"/>
          </w:tcPr>
          <w:p w14:paraId="09E7D30F" w14:textId="4DF5265E" w:rsidR="009839BC" w:rsidRPr="00A434B5" w:rsidRDefault="0078221A" w:rsidP="00CF4096">
            <w:pPr>
              <w:spacing w:line="276" w:lineRule="auto"/>
              <w:jc w:val="both"/>
              <w:rPr>
                <w:rFonts w:ascii="Arial" w:hAnsi="Arial" w:cs="Arial"/>
                <w:lang w:val="es-ES_tradnl"/>
              </w:rPr>
            </w:pPr>
            <w:r w:rsidRPr="00A434B5">
              <w:rPr>
                <w:rFonts w:ascii="Arial" w:hAnsi="Arial" w:cs="Arial"/>
                <w:lang w:val="es-ES_tradnl"/>
              </w:rPr>
              <w:t>La demanda se presentó oportunamente.</w:t>
            </w:r>
          </w:p>
        </w:tc>
        <w:tc>
          <w:tcPr>
            <w:tcW w:w="993" w:type="dxa"/>
          </w:tcPr>
          <w:p w14:paraId="1D98A1B8" w14:textId="44261DEC" w:rsidR="009839BC" w:rsidRPr="00531FB7" w:rsidRDefault="00A13C41" w:rsidP="00F0010C">
            <w:pPr>
              <w:spacing w:line="276" w:lineRule="auto"/>
              <w:jc w:val="center"/>
              <w:rPr>
                <w:rFonts w:ascii="Arial" w:hAnsi="Arial" w:cs="Arial"/>
                <w:lang w:val="es-ES_tradnl"/>
              </w:rPr>
            </w:pPr>
            <w:r w:rsidRPr="00531FB7">
              <w:rPr>
                <w:rFonts w:ascii="Arial" w:hAnsi="Arial" w:cs="Arial"/>
                <w:lang w:val="es-ES_tradnl"/>
              </w:rPr>
              <w:t>13</w:t>
            </w:r>
          </w:p>
        </w:tc>
      </w:tr>
      <w:tr w:rsidR="00261D22" w:rsidRPr="003F6B95" w14:paraId="4C3BDD82" w14:textId="77777777" w:rsidTr="00CF4096">
        <w:trPr>
          <w:trHeight w:val="555"/>
        </w:trPr>
        <w:tc>
          <w:tcPr>
            <w:tcW w:w="851" w:type="dxa"/>
            <w:vAlign w:val="center"/>
          </w:tcPr>
          <w:p w14:paraId="01B76597" w14:textId="77777777" w:rsidR="009839BC" w:rsidRPr="00CF4096" w:rsidRDefault="009839BC" w:rsidP="00F0010C">
            <w:pPr>
              <w:spacing w:line="276" w:lineRule="auto"/>
              <w:jc w:val="center"/>
              <w:rPr>
                <w:rFonts w:ascii="Arial" w:hAnsi="Arial" w:cs="Arial"/>
                <w:b/>
                <w:bCs/>
                <w:sz w:val="26"/>
                <w:szCs w:val="26"/>
                <w:lang w:val="es-ES_tradnl"/>
              </w:rPr>
            </w:pPr>
            <w:r w:rsidRPr="00CF4096">
              <w:rPr>
                <w:rFonts w:ascii="Arial" w:hAnsi="Arial" w:cs="Arial"/>
                <w:b/>
                <w:bCs/>
                <w:sz w:val="26"/>
                <w:szCs w:val="26"/>
                <w:lang w:val="es-ES_tradnl"/>
              </w:rPr>
              <w:t>IV.</w:t>
            </w:r>
          </w:p>
        </w:tc>
        <w:tc>
          <w:tcPr>
            <w:tcW w:w="2693" w:type="dxa"/>
            <w:vAlign w:val="center"/>
          </w:tcPr>
          <w:p w14:paraId="73C0FA50" w14:textId="6CED69C0" w:rsidR="009839BC" w:rsidRPr="00CF4096" w:rsidRDefault="0078221A" w:rsidP="00CF4096">
            <w:pPr>
              <w:spacing w:line="360" w:lineRule="auto"/>
              <w:jc w:val="center"/>
              <w:rPr>
                <w:rFonts w:ascii="Arial" w:hAnsi="Arial" w:cs="Arial"/>
                <w:b/>
                <w:lang w:val="es-ES_tradnl"/>
              </w:rPr>
            </w:pPr>
            <w:r w:rsidRPr="0078221A">
              <w:rPr>
                <w:rFonts w:ascii="Arial" w:hAnsi="Arial" w:cs="Arial"/>
                <w:b/>
                <w:lang w:val="es-ES_tradnl"/>
              </w:rPr>
              <w:t>EXISTENCIA DEL ACTO RECLAMADO</w:t>
            </w:r>
            <w:r w:rsidRPr="0078221A" w:rsidDel="00764BFE">
              <w:rPr>
                <w:rFonts w:ascii="Arial" w:hAnsi="Arial" w:cs="Arial"/>
                <w:b/>
                <w:lang w:val="es-ES_tradnl"/>
              </w:rPr>
              <w:t xml:space="preserve"> </w:t>
            </w:r>
          </w:p>
        </w:tc>
        <w:tc>
          <w:tcPr>
            <w:tcW w:w="4394" w:type="dxa"/>
          </w:tcPr>
          <w:p w14:paraId="0A4DC6B1" w14:textId="17087C4A" w:rsidR="009839BC" w:rsidRPr="00A434B5" w:rsidRDefault="0078221A" w:rsidP="00CF4096">
            <w:pPr>
              <w:spacing w:after="120" w:line="276" w:lineRule="auto"/>
              <w:jc w:val="both"/>
              <w:rPr>
                <w:rFonts w:ascii="Arial" w:hAnsi="Arial" w:cs="Arial"/>
              </w:rPr>
            </w:pPr>
            <w:r w:rsidRPr="00A434B5">
              <w:rPr>
                <w:rFonts w:ascii="Arial" w:hAnsi="Arial" w:cs="Arial"/>
              </w:rPr>
              <w:t xml:space="preserve">La existencia del acto reclamado </w:t>
            </w:r>
            <w:r w:rsidR="00FD4B7A" w:rsidRPr="00A434B5">
              <w:rPr>
                <w:rFonts w:ascii="Arial" w:hAnsi="Arial" w:cs="Arial"/>
              </w:rPr>
              <w:t>se estima acreditada.</w:t>
            </w:r>
          </w:p>
        </w:tc>
        <w:tc>
          <w:tcPr>
            <w:tcW w:w="993" w:type="dxa"/>
          </w:tcPr>
          <w:p w14:paraId="64CC28C0" w14:textId="6B324411" w:rsidR="009839BC" w:rsidRPr="00531FB7" w:rsidRDefault="00A13C41" w:rsidP="00F0010C">
            <w:pPr>
              <w:spacing w:line="276" w:lineRule="auto"/>
              <w:jc w:val="center"/>
              <w:rPr>
                <w:rFonts w:ascii="Arial" w:hAnsi="Arial" w:cs="Arial"/>
                <w:lang w:val="es-ES_tradnl"/>
              </w:rPr>
            </w:pPr>
            <w:r w:rsidRPr="00531FB7">
              <w:rPr>
                <w:rFonts w:ascii="Arial" w:hAnsi="Arial" w:cs="Arial"/>
                <w:lang w:val="es-ES_tradnl"/>
              </w:rPr>
              <w:t>13</w:t>
            </w:r>
          </w:p>
        </w:tc>
      </w:tr>
      <w:tr w:rsidR="00261D22" w:rsidRPr="003F6B95" w14:paraId="72810931" w14:textId="77777777" w:rsidTr="00CF4096">
        <w:trPr>
          <w:trHeight w:val="555"/>
        </w:trPr>
        <w:tc>
          <w:tcPr>
            <w:tcW w:w="851" w:type="dxa"/>
            <w:vAlign w:val="center"/>
          </w:tcPr>
          <w:p w14:paraId="5D8A13B2" w14:textId="77777777" w:rsidR="009839BC" w:rsidRPr="00CF4096" w:rsidRDefault="009839BC" w:rsidP="00F0010C">
            <w:pPr>
              <w:spacing w:line="276" w:lineRule="auto"/>
              <w:jc w:val="center"/>
              <w:rPr>
                <w:rFonts w:ascii="Arial" w:hAnsi="Arial" w:cs="Arial"/>
                <w:b/>
                <w:bCs/>
                <w:sz w:val="26"/>
                <w:szCs w:val="26"/>
                <w:lang w:val="es-ES_tradnl"/>
              </w:rPr>
            </w:pPr>
            <w:r w:rsidRPr="00CF4096">
              <w:rPr>
                <w:rFonts w:ascii="Arial" w:hAnsi="Arial" w:cs="Arial"/>
                <w:b/>
                <w:bCs/>
                <w:sz w:val="26"/>
                <w:szCs w:val="26"/>
                <w:lang w:val="es-ES_tradnl"/>
              </w:rPr>
              <w:t>V.</w:t>
            </w:r>
          </w:p>
        </w:tc>
        <w:tc>
          <w:tcPr>
            <w:tcW w:w="2693" w:type="dxa"/>
            <w:vAlign w:val="center"/>
          </w:tcPr>
          <w:p w14:paraId="15228D20" w14:textId="6AFED778" w:rsidR="009839BC" w:rsidRPr="00CF4096" w:rsidRDefault="0078221A" w:rsidP="00CF4096">
            <w:pPr>
              <w:pStyle w:val="corte4fondo"/>
              <w:ind w:right="51" w:firstLine="0"/>
              <w:jc w:val="center"/>
              <w:rPr>
                <w:rFonts w:cs="Arial"/>
                <w:sz w:val="24"/>
                <w:szCs w:val="24"/>
                <w:lang w:val="es-ES"/>
              </w:rPr>
            </w:pPr>
            <w:r>
              <w:rPr>
                <w:rFonts w:cs="Arial"/>
                <w:b/>
                <w:sz w:val="24"/>
                <w:szCs w:val="24"/>
                <w:lang w:val="es-ES"/>
              </w:rPr>
              <w:t>CAUSAS DE IMPROCEDENCIA</w:t>
            </w:r>
          </w:p>
        </w:tc>
        <w:tc>
          <w:tcPr>
            <w:tcW w:w="4394" w:type="dxa"/>
          </w:tcPr>
          <w:p w14:paraId="698CC8F5" w14:textId="2D2BD70D" w:rsidR="009839BC" w:rsidRPr="00A434B5" w:rsidRDefault="00FD4B7A" w:rsidP="00CF4096">
            <w:pPr>
              <w:spacing w:after="120" w:line="276" w:lineRule="auto"/>
              <w:jc w:val="both"/>
              <w:rPr>
                <w:rFonts w:ascii="Arial" w:hAnsi="Arial" w:cs="Arial"/>
              </w:rPr>
            </w:pPr>
            <w:r w:rsidRPr="00A434B5">
              <w:rPr>
                <w:rFonts w:ascii="Arial" w:hAnsi="Arial" w:cs="Arial"/>
              </w:rPr>
              <w:t>Las partes no hicieron valer causas de improcedencia. De oficio, tampoco se advierte su actualización.</w:t>
            </w:r>
          </w:p>
        </w:tc>
        <w:tc>
          <w:tcPr>
            <w:tcW w:w="993" w:type="dxa"/>
          </w:tcPr>
          <w:p w14:paraId="59065205" w14:textId="5E122EE8" w:rsidR="009839BC" w:rsidRPr="00531FB7" w:rsidRDefault="00531FB7" w:rsidP="00F0010C">
            <w:pPr>
              <w:spacing w:line="276" w:lineRule="auto"/>
              <w:jc w:val="center"/>
              <w:rPr>
                <w:rFonts w:ascii="Arial" w:hAnsi="Arial" w:cs="Arial"/>
                <w:lang w:val="es-ES_tradnl"/>
              </w:rPr>
            </w:pPr>
            <w:r w:rsidRPr="00531FB7">
              <w:rPr>
                <w:rFonts w:ascii="Arial" w:hAnsi="Arial" w:cs="Arial"/>
                <w:lang w:val="es-ES_tradnl"/>
              </w:rPr>
              <w:t>1</w:t>
            </w:r>
            <w:r w:rsidR="00934620">
              <w:rPr>
                <w:rFonts w:ascii="Arial" w:hAnsi="Arial" w:cs="Arial"/>
                <w:lang w:val="es-ES_tradnl"/>
              </w:rPr>
              <w:t>3</w:t>
            </w:r>
          </w:p>
        </w:tc>
      </w:tr>
      <w:tr w:rsidR="00261D22" w:rsidRPr="003F6B95" w14:paraId="29C559CF" w14:textId="77777777" w:rsidTr="00CF4096">
        <w:trPr>
          <w:trHeight w:val="555"/>
        </w:trPr>
        <w:tc>
          <w:tcPr>
            <w:tcW w:w="851" w:type="dxa"/>
            <w:vAlign w:val="center"/>
          </w:tcPr>
          <w:p w14:paraId="3141A1BB" w14:textId="77777777" w:rsidR="009839BC" w:rsidRPr="00CF4096" w:rsidRDefault="009839BC" w:rsidP="00F0010C">
            <w:pPr>
              <w:spacing w:line="276" w:lineRule="auto"/>
              <w:jc w:val="center"/>
              <w:rPr>
                <w:rFonts w:ascii="Arial" w:hAnsi="Arial" w:cs="Arial"/>
                <w:b/>
                <w:bCs/>
                <w:sz w:val="26"/>
                <w:szCs w:val="26"/>
                <w:lang w:val="es-ES_tradnl"/>
              </w:rPr>
            </w:pPr>
            <w:r w:rsidRPr="00CF4096">
              <w:rPr>
                <w:rFonts w:ascii="Arial" w:hAnsi="Arial" w:cs="Arial"/>
                <w:b/>
                <w:bCs/>
                <w:sz w:val="26"/>
                <w:szCs w:val="26"/>
                <w:lang w:val="es-ES_tradnl"/>
              </w:rPr>
              <w:t>VI.</w:t>
            </w:r>
          </w:p>
        </w:tc>
        <w:tc>
          <w:tcPr>
            <w:tcW w:w="2693" w:type="dxa"/>
            <w:vAlign w:val="center"/>
          </w:tcPr>
          <w:p w14:paraId="3DE65BF3" w14:textId="4D9D0603" w:rsidR="009839BC" w:rsidRPr="00CF4096" w:rsidRDefault="0078221A" w:rsidP="00CF4096">
            <w:pPr>
              <w:pStyle w:val="corte4fondo"/>
              <w:ind w:right="51" w:firstLine="0"/>
              <w:jc w:val="center"/>
              <w:rPr>
                <w:rFonts w:cs="Arial"/>
                <w:b/>
                <w:bCs/>
                <w:sz w:val="24"/>
                <w:szCs w:val="24"/>
              </w:rPr>
            </w:pPr>
            <w:r>
              <w:rPr>
                <w:rFonts w:cs="Arial"/>
                <w:b/>
                <w:bCs/>
                <w:sz w:val="24"/>
                <w:szCs w:val="24"/>
              </w:rPr>
              <w:t>ESTUDIO DE FONDO</w:t>
            </w:r>
          </w:p>
        </w:tc>
        <w:tc>
          <w:tcPr>
            <w:tcW w:w="4394" w:type="dxa"/>
          </w:tcPr>
          <w:p w14:paraId="1F12493D" w14:textId="2CEF4375" w:rsidR="009839BC" w:rsidRPr="0006176A" w:rsidRDefault="0006176A" w:rsidP="00CF4096">
            <w:pPr>
              <w:spacing w:line="276" w:lineRule="auto"/>
              <w:jc w:val="both"/>
              <w:rPr>
                <w:rFonts w:ascii="Arial" w:hAnsi="Arial" w:cs="Arial"/>
              </w:rPr>
            </w:pPr>
            <w:r w:rsidRPr="0006176A">
              <w:rPr>
                <w:rFonts w:ascii="Arial" w:hAnsi="Arial" w:cs="Arial"/>
              </w:rPr>
              <w:t>Se realiza el estudio de los conceptos de violación de las quejosas</w:t>
            </w:r>
            <w:r w:rsidR="008876F2">
              <w:rPr>
                <w:rFonts w:ascii="Arial" w:hAnsi="Arial" w:cs="Arial"/>
              </w:rPr>
              <w:t>. A partir de lo anterior, s</w:t>
            </w:r>
            <w:r>
              <w:rPr>
                <w:rFonts w:ascii="Arial" w:hAnsi="Arial" w:cs="Arial"/>
              </w:rPr>
              <w:t xml:space="preserve">e </w:t>
            </w:r>
            <w:r w:rsidR="00C16F5E">
              <w:rPr>
                <w:rFonts w:ascii="Arial" w:hAnsi="Arial" w:cs="Arial"/>
              </w:rPr>
              <w:t>estiman esencialmente fundados los tres primeros conceptos de violación, por lo que se concede</w:t>
            </w:r>
            <w:r>
              <w:rPr>
                <w:rFonts w:ascii="Arial" w:hAnsi="Arial" w:cs="Arial"/>
              </w:rPr>
              <w:t xml:space="preserve"> el amparo y protección de la </w:t>
            </w:r>
            <w:r w:rsidR="008876F2">
              <w:rPr>
                <w:rFonts w:ascii="Arial" w:hAnsi="Arial" w:cs="Arial"/>
              </w:rPr>
              <w:t>justicia federal</w:t>
            </w:r>
            <w:r w:rsidRPr="0006176A">
              <w:rPr>
                <w:rFonts w:ascii="Arial" w:hAnsi="Arial" w:cs="Arial"/>
              </w:rPr>
              <w:t>.</w:t>
            </w:r>
          </w:p>
        </w:tc>
        <w:tc>
          <w:tcPr>
            <w:tcW w:w="993" w:type="dxa"/>
          </w:tcPr>
          <w:p w14:paraId="1B90754A" w14:textId="280DCF6D" w:rsidR="009839BC" w:rsidRPr="00531FB7" w:rsidRDefault="00531FB7" w:rsidP="00F0010C">
            <w:pPr>
              <w:spacing w:line="276" w:lineRule="auto"/>
              <w:jc w:val="center"/>
              <w:rPr>
                <w:rFonts w:ascii="Arial" w:hAnsi="Arial" w:cs="Arial"/>
                <w:lang w:val="es-ES_tradnl"/>
              </w:rPr>
            </w:pPr>
            <w:r w:rsidRPr="00531FB7">
              <w:rPr>
                <w:rFonts w:ascii="Arial" w:hAnsi="Arial" w:cs="Arial"/>
                <w:lang w:val="es-ES_tradnl"/>
              </w:rPr>
              <w:t>1</w:t>
            </w:r>
            <w:r w:rsidR="00934620">
              <w:rPr>
                <w:rFonts w:ascii="Arial" w:hAnsi="Arial" w:cs="Arial"/>
                <w:lang w:val="es-ES_tradnl"/>
              </w:rPr>
              <w:t>3</w:t>
            </w:r>
          </w:p>
        </w:tc>
      </w:tr>
      <w:tr w:rsidR="00C97380" w:rsidRPr="003F6B95" w14:paraId="19AE48AE" w14:textId="77777777" w:rsidTr="00CF4096">
        <w:trPr>
          <w:trHeight w:val="555"/>
        </w:trPr>
        <w:tc>
          <w:tcPr>
            <w:tcW w:w="851" w:type="dxa"/>
            <w:vAlign w:val="center"/>
          </w:tcPr>
          <w:p w14:paraId="1B75C999" w14:textId="7A0A524A" w:rsidR="00C97380" w:rsidRPr="00CF4096" w:rsidRDefault="00C97380" w:rsidP="00F0010C">
            <w:pPr>
              <w:spacing w:line="276" w:lineRule="auto"/>
              <w:jc w:val="center"/>
              <w:rPr>
                <w:rFonts w:ascii="Arial" w:hAnsi="Arial" w:cs="Arial"/>
                <w:b/>
                <w:bCs/>
                <w:sz w:val="26"/>
                <w:szCs w:val="26"/>
                <w:lang w:val="es-ES_tradnl"/>
              </w:rPr>
            </w:pPr>
            <w:r w:rsidRPr="00CF4096">
              <w:rPr>
                <w:rFonts w:ascii="Arial" w:hAnsi="Arial" w:cs="Arial"/>
                <w:b/>
                <w:bCs/>
                <w:sz w:val="26"/>
                <w:szCs w:val="26"/>
                <w:lang w:val="es-ES_tradnl"/>
              </w:rPr>
              <w:t>VII.</w:t>
            </w:r>
          </w:p>
        </w:tc>
        <w:tc>
          <w:tcPr>
            <w:tcW w:w="2693" w:type="dxa"/>
            <w:vAlign w:val="center"/>
          </w:tcPr>
          <w:p w14:paraId="10C3C621" w14:textId="00F601E5" w:rsidR="00C97380" w:rsidRPr="00CF4096" w:rsidRDefault="00825FFF" w:rsidP="00CF4096">
            <w:pPr>
              <w:pStyle w:val="corte4fondo"/>
              <w:ind w:right="51" w:firstLine="0"/>
              <w:jc w:val="center"/>
              <w:rPr>
                <w:rFonts w:cs="Arial"/>
                <w:b/>
                <w:sz w:val="24"/>
                <w:szCs w:val="24"/>
              </w:rPr>
            </w:pPr>
            <w:r>
              <w:rPr>
                <w:rFonts w:cs="Arial"/>
                <w:b/>
                <w:sz w:val="24"/>
                <w:szCs w:val="24"/>
              </w:rPr>
              <w:t xml:space="preserve">CONCLUSIÓN Y </w:t>
            </w:r>
            <w:r w:rsidR="00C97380" w:rsidRPr="00CF4096">
              <w:rPr>
                <w:rFonts w:cs="Arial"/>
                <w:b/>
                <w:sz w:val="24"/>
                <w:szCs w:val="24"/>
              </w:rPr>
              <w:t>EFECTOS</w:t>
            </w:r>
          </w:p>
        </w:tc>
        <w:tc>
          <w:tcPr>
            <w:tcW w:w="4394" w:type="dxa"/>
          </w:tcPr>
          <w:p w14:paraId="4194A7C5" w14:textId="7E3E5BDF" w:rsidR="00C97380" w:rsidRPr="00A00F9A" w:rsidRDefault="0006176A" w:rsidP="00CF4096">
            <w:pPr>
              <w:pStyle w:val="corte4fondo"/>
              <w:spacing w:after="120" w:line="276" w:lineRule="auto"/>
              <w:ind w:firstLine="0"/>
              <w:rPr>
                <w:rFonts w:cs="Arial"/>
                <w:sz w:val="24"/>
                <w:szCs w:val="24"/>
              </w:rPr>
            </w:pPr>
            <w:r w:rsidRPr="00A00F9A">
              <w:rPr>
                <w:rFonts w:cs="Arial"/>
                <w:sz w:val="24"/>
                <w:szCs w:val="24"/>
              </w:rPr>
              <w:t xml:space="preserve">Se establecen los </w:t>
            </w:r>
            <w:r w:rsidR="008876F2">
              <w:rPr>
                <w:rFonts w:cs="Arial"/>
                <w:sz w:val="24"/>
                <w:szCs w:val="24"/>
              </w:rPr>
              <w:t xml:space="preserve">efectos de la concesión del amparo. </w:t>
            </w:r>
          </w:p>
        </w:tc>
        <w:tc>
          <w:tcPr>
            <w:tcW w:w="993" w:type="dxa"/>
          </w:tcPr>
          <w:p w14:paraId="7EF50ADA" w14:textId="655A92C4" w:rsidR="00C97380" w:rsidRPr="00531FB7" w:rsidRDefault="00531FB7" w:rsidP="00F0010C">
            <w:pPr>
              <w:spacing w:line="276" w:lineRule="auto"/>
              <w:jc w:val="center"/>
              <w:rPr>
                <w:rFonts w:ascii="Arial" w:hAnsi="Arial" w:cs="Arial"/>
                <w:lang w:val="es-ES_tradnl"/>
              </w:rPr>
            </w:pPr>
            <w:r>
              <w:rPr>
                <w:rFonts w:ascii="Arial" w:hAnsi="Arial" w:cs="Arial"/>
                <w:lang w:val="es-ES_tradnl"/>
              </w:rPr>
              <w:t>82</w:t>
            </w:r>
          </w:p>
        </w:tc>
      </w:tr>
      <w:tr w:rsidR="00261D22" w:rsidRPr="003F6B95" w14:paraId="299A4288" w14:textId="77777777" w:rsidTr="00CF4096">
        <w:trPr>
          <w:trHeight w:val="555"/>
        </w:trPr>
        <w:tc>
          <w:tcPr>
            <w:tcW w:w="851" w:type="dxa"/>
            <w:vAlign w:val="center"/>
          </w:tcPr>
          <w:p w14:paraId="13ACB5E3" w14:textId="3B840F01" w:rsidR="009839BC" w:rsidRPr="00CF4096" w:rsidRDefault="009839BC" w:rsidP="00F0010C">
            <w:pPr>
              <w:spacing w:line="276" w:lineRule="auto"/>
              <w:jc w:val="center"/>
              <w:rPr>
                <w:rFonts w:ascii="Arial" w:hAnsi="Arial" w:cs="Arial"/>
                <w:b/>
                <w:bCs/>
                <w:sz w:val="26"/>
                <w:szCs w:val="26"/>
                <w:lang w:val="es-ES_tradnl"/>
              </w:rPr>
            </w:pPr>
            <w:r w:rsidRPr="00CF4096">
              <w:rPr>
                <w:rFonts w:ascii="Arial" w:hAnsi="Arial" w:cs="Arial"/>
                <w:b/>
                <w:bCs/>
                <w:sz w:val="26"/>
                <w:szCs w:val="26"/>
                <w:lang w:val="es-ES_tradnl"/>
              </w:rPr>
              <w:t>V</w:t>
            </w:r>
            <w:r w:rsidR="00C97380" w:rsidRPr="00CF4096">
              <w:rPr>
                <w:rFonts w:ascii="Arial" w:hAnsi="Arial" w:cs="Arial"/>
                <w:b/>
                <w:bCs/>
                <w:sz w:val="26"/>
                <w:szCs w:val="26"/>
                <w:lang w:val="es-ES_tradnl"/>
              </w:rPr>
              <w:t>I</w:t>
            </w:r>
            <w:r w:rsidRPr="00CF4096">
              <w:rPr>
                <w:rFonts w:ascii="Arial" w:hAnsi="Arial" w:cs="Arial"/>
                <w:b/>
                <w:bCs/>
                <w:sz w:val="26"/>
                <w:szCs w:val="26"/>
                <w:lang w:val="es-ES_tradnl"/>
              </w:rPr>
              <w:t>II.</w:t>
            </w:r>
          </w:p>
        </w:tc>
        <w:tc>
          <w:tcPr>
            <w:tcW w:w="2693" w:type="dxa"/>
            <w:vAlign w:val="center"/>
          </w:tcPr>
          <w:p w14:paraId="63CA757E" w14:textId="77777777" w:rsidR="009839BC" w:rsidRPr="00CF4096" w:rsidRDefault="009839BC" w:rsidP="00CF4096">
            <w:pPr>
              <w:pStyle w:val="corte4fondo"/>
              <w:ind w:right="51" w:firstLine="0"/>
              <w:jc w:val="center"/>
              <w:rPr>
                <w:rFonts w:cs="Arial"/>
                <w:b/>
                <w:bCs/>
                <w:sz w:val="24"/>
                <w:szCs w:val="24"/>
              </w:rPr>
            </w:pPr>
            <w:r w:rsidRPr="00CF4096">
              <w:rPr>
                <w:rFonts w:cs="Arial"/>
                <w:b/>
                <w:sz w:val="24"/>
                <w:szCs w:val="24"/>
              </w:rPr>
              <w:t>DECISIÓN</w:t>
            </w:r>
          </w:p>
        </w:tc>
        <w:tc>
          <w:tcPr>
            <w:tcW w:w="4394" w:type="dxa"/>
          </w:tcPr>
          <w:p w14:paraId="5A8A76FB" w14:textId="39ACD75D" w:rsidR="009839BC" w:rsidRPr="00E53572" w:rsidRDefault="00E53572" w:rsidP="00CF4096">
            <w:pPr>
              <w:spacing w:after="120" w:line="276" w:lineRule="auto"/>
              <w:jc w:val="both"/>
              <w:rPr>
                <w:rFonts w:ascii="Arial" w:hAnsi="Arial" w:cs="Arial"/>
                <w:lang w:val="es-ES"/>
              </w:rPr>
            </w:pPr>
            <w:r w:rsidRPr="00E53572">
              <w:rPr>
                <w:rFonts w:ascii="Arial" w:hAnsi="Arial" w:cs="Arial"/>
                <w:b/>
                <w:lang w:val="es-ES"/>
              </w:rPr>
              <w:t xml:space="preserve">ÚNICO. </w:t>
            </w:r>
            <w:r w:rsidRPr="00E53572">
              <w:rPr>
                <w:rFonts w:ascii="Arial" w:hAnsi="Arial" w:cs="Arial"/>
                <w:lang w:val="es-ES"/>
              </w:rPr>
              <w:t xml:space="preserve">La Justicia de la Unión ampara y protege a </w:t>
            </w:r>
            <w:r w:rsidRPr="00E53572">
              <w:rPr>
                <w:rFonts w:ascii="Arial" w:hAnsi="Arial" w:cs="Arial"/>
                <w:color w:val="FF0000"/>
                <w:lang w:val="es-ES"/>
              </w:rPr>
              <w:t>JMDF</w:t>
            </w:r>
            <w:r w:rsidRPr="00E53572">
              <w:rPr>
                <w:rFonts w:ascii="Arial" w:hAnsi="Arial" w:cs="Arial"/>
                <w:lang w:val="es-ES"/>
              </w:rPr>
              <w:t xml:space="preserve"> y </w:t>
            </w:r>
            <w:r w:rsidRPr="00E53572">
              <w:rPr>
                <w:rFonts w:ascii="Arial" w:hAnsi="Arial" w:cs="Arial"/>
                <w:color w:val="FF0000"/>
                <w:lang w:val="es-ES"/>
              </w:rPr>
              <w:t>LNGB</w:t>
            </w:r>
            <w:r w:rsidRPr="00E53572">
              <w:rPr>
                <w:rFonts w:ascii="Arial" w:hAnsi="Arial" w:cs="Arial"/>
                <w:lang w:val="es-ES"/>
              </w:rPr>
              <w:t xml:space="preserve">, en contra de la sentencia dictada el 1 de julio de 2019 por la Cuarta Sala Civil del </w:t>
            </w:r>
            <w:r w:rsidRPr="00E53572">
              <w:rPr>
                <w:rFonts w:ascii="Arial" w:hAnsi="Arial" w:cs="Arial"/>
                <w:lang w:val="es-ES"/>
              </w:rPr>
              <w:lastRenderedPageBreak/>
              <w:t xml:space="preserve">Tribunal Superior de Justicia de la Ciudad de México, en el toca de apelación 255/2019, </w:t>
            </w:r>
            <w:r w:rsidRPr="00E53572">
              <w:rPr>
                <w:rFonts w:ascii="Arial" w:hAnsi="Arial" w:cs="Arial"/>
                <w:color w:val="000000" w:themeColor="text1"/>
              </w:rPr>
              <w:t>y</w:t>
            </w:r>
            <w:r w:rsidRPr="00E53572">
              <w:rPr>
                <w:rFonts w:ascii="Arial" w:hAnsi="Arial" w:cs="Arial"/>
                <w:color w:val="000000" w:themeColor="text1"/>
                <w:spacing w:val="14"/>
              </w:rPr>
              <w:t xml:space="preserve"> </w:t>
            </w:r>
            <w:r w:rsidRPr="00E53572">
              <w:rPr>
                <w:rFonts w:ascii="Arial" w:hAnsi="Arial" w:cs="Arial"/>
                <w:color w:val="000000" w:themeColor="text1"/>
              </w:rPr>
              <w:t>para</w:t>
            </w:r>
            <w:r w:rsidRPr="00E53572">
              <w:rPr>
                <w:rFonts w:ascii="Arial" w:hAnsi="Arial" w:cs="Arial"/>
                <w:color w:val="000000" w:themeColor="text1"/>
                <w:spacing w:val="14"/>
              </w:rPr>
              <w:t xml:space="preserve"> </w:t>
            </w:r>
            <w:r w:rsidRPr="00E53572">
              <w:rPr>
                <w:rFonts w:ascii="Arial" w:hAnsi="Arial" w:cs="Arial"/>
                <w:color w:val="000000" w:themeColor="text1"/>
              </w:rPr>
              <w:t>los</w:t>
            </w:r>
            <w:r w:rsidRPr="00E53572">
              <w:rPr>
                <w:rFonts w:ascii="Arial" w:hAnsi="Arial" w:cs="Arial"/>
                <w:color w:val="000000" w:themeColor="text1"/>
                <w:spacing w:val="17"/>
              </w:rPr>
              <w:t xml:space="preserve"> </w:t>
            </w:r>
            <w:r w:rsidRPr="00E53572">
              <w:rPr>
                <w:rFonts w:ascii="Arial" w:hAnsi="Arial" w:cs="Arial"/>
                <w:color w:val="000000" w:themeColor="text1"/>
                <w:spacing w:val="-1"/>
              </w:rPr>
              <w:t>efectos</w:t>
            </w:r>
            <w:r w:rsidRPr="00E53572">
              <w:rPr>
                <w:rFonts w:ascii="Arial" w:hAnsi="Arial" w:cs="Arial"/>
                <w:color w:val="000000" w:themeColor="text1"/>
                <w:spacing w:val="15"/>
              </w:rPr>
              <w:t xml:space="preserve"> </w:t>
            </w:r>
            <w:r w:rsidRPr="00E53572">
              <w:rPr>
                <w:rFonts w:ascii="Arial" w:hAnsi="Arial" w:cs="Arial"/>
                <w:color w:val="000000" w:themeColor="text1"/>
              </w:rPr>
              <w:t>precisados</w:t>
            </w:r>
            <w:r w:rsidRPr="00E53572">
              <w:rPr>
                <w:rFonts w:ascii="Arial" w:hAnsi="Arial" w:cs="Arial"/>
                <w:color w:val="000000" w:themeColor="text1"/>
                <w:spacing w:val="17"/>
              </w:rPr>
              <w:t xml:space="preserve"> </w:t>
            </w:r>
            <w:r w:rsidRPr="00E53572">
              <w:rPr>
                <w:rFonts w:ascii="Arial" w:hAnsi="Arial" w:cs="Arial"/>
                <w:color w:val="000000" w:themeColor="text1"/>
                <w:spacing w:val="-1"/>
              </w:rPr>
              <w:t>en</w:t>
            </w:r>
            <w:r w:rsidRPr="00E53572">
              <w:rPr>
                <w:rFonts w:ascii="Arial" w:hAnsi="Arial" w:cs="Arial"/>
                <w:color w:val="000000" w:themeColor="text1"/>
                <w:spacing w:val="14"/>
              </w:rPr>
              <w:t xml:space="preserve"> </w:t>
            </w:r>
            <w:r w:rsidRPr="00E53572">
              <w:rPr>
                <w:rFonts w:ascii="Arial" w:hAnsi="Arial" w:cs="Arial"/>
                <w:color w:val="000000" w:themeColor="text1"/>
                <w:spacing w:val="-1"/>
              </w:rPr>
              <w:t>esta</w:t>
            </w:r>
            <w:r w:rsidRPr="00E53572">
              <w:rPr>
                <w:rFonts w:ascii="Arial" w:hAnsi="Arial" w:cs="Arial"/>
                <w:color w:val="000000" w:themeColor="text1"/>
                <w:spacing w:val="-8"/>
              </w:rPr>
              <w:t xml:space="preserve"> </w:t>
            </w:r>
            <w:r w:rsidRPr="00E53572">
              <w:rPr>
                <w:rFonts w:ascii="Arial" w:hAnsi="Arial" w:cs="Arial"/>
                <w:color w:val="000000" w:themeColor="text1"/>
              </w:rPr>
              <w:t>resolución.</w:t>
            </w:r>
          </w:p>
        </w:tc>
        <w:tc>
          <w:tcPr>
            <w:tcW w:w="993" w:type="dxa"/>
          </w:tcPr>
          <w:p w14:paraId="0D034F7B" w14:textId="4208B809" w:rsidR="009839BC" w:rsidRPr="00531FB7" w:rsidRDefault="00531FB7" w:rsidP="00F0010C">
            <w:pPr>
              <w:spacing w:line="276" w:lineRule="auto"/>
              <w:jc w:val="center"/>
              <w:rPr>
                <w:rFonts w:ascii="Arial" w:hAnsi="Arial" w:cs="Arial"/>
                <w:lang w:val="es-ES_tradnl"/>
              </w:rPr>
            </w:pPr>
            <w:r>
              <w:rPr>
                <w:rFonts w:ascii="Arial" w:hAnsi="Arial" w:cs="Arial"/>
                <w:lang w:val="es-ES_tradnl"/>
              </w:rPr>
              <w:lastRenderedPageBreak/>
              <w:t>9</w:t>
            </w:r>
            <w:r w:rsidR="00C67B63">
              <w:rPr>
                <w:rFonts w:ascii="Arial" w:hAnsi="Arial" w:cs="Arial"/>
                <w:lang w:val="es-ES_tradnl"/>
              </w:rPr>
              <w:t>5</w:t>
            </w:r>
          </w:p>
        </w:tc>
      </w:tr>
    </w:tbl>
    <w:p w14:paraId="19F5C214" w14:textId="77777777" w:rsidR="00255A8A" w:rsidRPr="003F6B95" w:rsidRDefault="00255A8A" w:rsidP="00882913">
      <w:pPr>
        <w:pStyle w:val="corte1datos"/>
        <w:ind w:left="3827"/>
        <w:jc w:val="both"/>
        <w:rPr>
          <w:rFonts w:cs="Arial"/>
          <w:sz w:val="28"/>
          <w:szCs w:val="28"/>
        </w:rPr>
        <w:sectPr w:rsidR="00255A8A" w:rsidRPr="003F6B95" w:rsidSect="00FA6A01">
          <w:headerReference w:type="even" r:id="rId8"/>
          <w:headerReference w:type="default" r:id="rId9"/>
          <w:footerReference w:type="even" r:id="rId10"/>
          <w:footerReference w:type="default" r:id="rId11"/>
          <w:headerReference w:type="first" r:id="rId12"/>
          <w:pgSz w:w="12240" w:h="20160" w:code="5"/>
          <w:pgMar w:top="2381" w:right="1701" w:bottom="1814" w:left="1701" w:header="709" w:footer="709" w:gutter="0"/>
          <w:cols w:space="708"/>
          <w:titlePg/>
          <w:docGrid w:linePitch="360"/>
        </w:sectPr>
      </w:pPr>
    </w:p>
    <w:p w14:paraId="16A8F685" w14:textId="77777777" w:rsidR="00DD6780" w:rsidRDefault="00DD6780" w:rsidP="008B0C56">
      <w:pPr>
        <w:pStyle w:val="corte1datos"/>
        <w:ind w:left="3827"/>
        <w:jc w:val="both"/>
        <w:rPr>
          <w:rFonts w:cs="Arial"/>
          <w:sz w:val="26"/>
          <w:szCs w:val="26"/>
        </w:rPr>
      </w:pPr>
    </w:p>
    <w:p w14:paraId="786909C0" w14:textId="7DD605C9" w:rsidR="008B0C56" w:rsidRPr="003F6B95" w:rsidRDefault="008B0C56" w:rsidP="008B0C56">
      <w:pPr>
        <w:pStyle w:val="corte1datos"/>
        <w:ind w:left="3827"/>
        <w:jc w:val="both"/>
        <w:rPr>
          <w:rFonts w:cs="Arial"/>
          <w:sz w:val="26"/>
          <w:szCs w:val="26"/>
        </w:rPr>
      </w:pPr>
      <w:r w:rsidRPr="003F6B95">
        <w:rPr>
          <w:rFonts w:cs="Arial"/>
          <w:sz w:val="26"/>
          <w:szCs w:val="26"/>
        </w:rPr>
        <w:t>AMPARO DIRECTO 15/2020</w:t>
      </w:r>
    </w:p>
    <w:p w14:paraId="70A80481" w14:textId="163CDC16" w:rsidR="008B0C56" w:rsidRDefault="008B0C56" w:rsidP="008B0C56">
      <w:pPr>
        <w:pStyle w:val="corte1datos"/>
        <w:ind w:left="3827"/>
        <w:jc w:val="both"/>
        <w:rPr>
          <w:rFonts w:cs="Arial"/>
          <w:color w:val="FF0000"/>
          <w:sz w:val="26"/>
          <w:szCs w:val="26"/>
          <w:lang w:val="es-ES"/>
        </w:rPr>
      </w:pPr>
      <w:r w:rsidRPr="003F6B95">
        <w:rPr>
          <w:rFonts w:cs="Arial"/>
          <w:sz w:val="26"/>
          <w:szCs w:val="26"/>
          <w:lang w:val="es-ES"/>
        </w:rPr>
        <w:t xml:space="preserve">quejosAS: </w:t>
      </w:r>
      <w:r w:rsidRPr="003F6B95">
        <w:rPr>
          <w:rFonts w:cs="Arial"/>
          <w:color w:val="FF0000"/>
          <w:sz w:val="26"/>
          <w:szCs w:val="26"/>
          <w:lang w:val="es-ES"/>
        </w:rPr>
        <w:t xml:space="preserve">jMDF </w:t>
      </w:r>
      <w:r w:rsidRPr="003F6B95">
        <w:rPr>
          <w:rFonts w:cs="Arial"/>
          <w:sz w:val="26"/>
          <w:szCs w:val="26"/>
          <w:lang w:val="es-ES"/>
        </w:rPr>
        <w:t>y</w:t>
      </w:r>
      <w:r w:rsidRPr="003F6B95">
        <w:rPr>
          <w:rFonts w:cs="Arial"/>
          <w:color w:val="FF0000"/>
          <w:sz w:val="26"/>
          <w:szCs w:val="26"/>
          <w:lang w:val="es-ES"/>
        </w:rPr>
        <w:t xml:space="preserve"> LNGB</w:t>
      </w:r>
    </w:p>
    <w:p w14:paraId="78C1CF82" w14:textId="77777777" w:rsidR="008B0C56" w:rsidRPr="003F6B95" w:rsidRDefault="008B0C56" w:rsidP="008B0C56">
      <w:pPr>
        <w:pStyle w:val="corte1datos"/>
        <w:ind w:left="3827"/>
        <w:jc w:val="both"/>
        <w:rPr>
          <w:rFonts w:cs="Arial"/>
          <w:color w:val="FF0000"/>
          <w:sz w:val="26"/>
          <w:szCs w:val="26"/>
          <w:lang w:val="es-ES"/>
        </w:rPr>
      </w:pPr>
    </w:p>
    <w:p w14:paraId="2B4A52CC" w14:textId="3E4297CD" w:rsidR="00F06EFE" w:rsidRPr="00160D35" w:rsidRDefault="008B0C56" w:rsidP="008B0C56">
      <w:pPr>
        <w:pStyle w:val="corte1datos"/>
        <w:ind w:left="3827"/>
        <w:jc w:val="both"/>
        <w:rPr>
          <w:rFonts w:cs="Arial"/>
          <w:sz w:val="26"/>
          <w:szCs w:val="26"/>
          <w:lang w:val="es-ES"/>
        </w:rPr>
      </w:pPr>
      <w:r w:rsidRPr="00160D35">
        <w:rPr>
          <w:rFonts w:cs="Arial"/>
          <w:sz w:val="26"/>
          <w:szCs w:val="26"/>
          <w:lang w:val="es-ES"/>
        </w:rPr>
        <w:t>TERCERAS INTERESADAS: REFORMA 222, SOCIEDAD ANÓNIMA DE CAPITAL VARIABLE; PROTECCIÓN PRIVADA 2010, SOCIEDAD DE RESPONSABILIDAD LIMITADA DE CAPITAL VARIABLE, Y GRUPO (SIC) DANHOS, sOCIEDAD ANÓNIMA DE CAPITAL VARIABLE</w:t>
      </w:r>
    </w:p>
    <w:p w14:paraId="1FC9613B" w14:textId="3FF7BB21" w:rsidR="00F06EFE" w:rsidRPr="003F6B95" w:rsidRDefault="00F06EFE" w:rsidP="00797BC5">
      <w:pPr>
        <w:pStyle w:val="corte1datos"/>
        <w:ind w:left="0" w:right="51"/>
        <w:jc w:val="both"/>
        <w:rPr>
          <w:rFonts w:cs="Arial"/>
          <w:sz w:val="28"/>
          <w:szCs w:val="28"/>
        </w:rPr>
      </w:pPr>
    </w:p>
    <w:p w14:paraId="0BA3D94C" w14:textId="6B556B67" w:rsidR="00F06EFE" w:rsidRPr="003F6B95" w:rsidRDefault="00F06EFE" w:rsidP="00F06EFE">
      <w:pPr>
        <w:pStyle w:val="corte1datos"/>
        <w:ind w:left="3828" w:right="51"/>
        <w:jc w:val="both"/>
        <w:rPr>
          <w:rFonts w:cs="Arial"/>
          <w:sz w:val="28"/>
          <w:szCs w:val="28"/>
        </w:rPr>
      </w:pPr>
    </w:p>
    <w:p w14:paraId="5419F384" w14:textId="77777777" w:rsidR="003E2EB7" w:rsidRPr="003F6B95" w:rsidRDefault="003E2EB7" w:rsidP="003E2EB7">
      <w:pPr>
        <w:tabs>
          <w:tab w:val="left" w:pos="7227"/>
        </w:tabs>
        <w:spacing w:before="240" w:line="276" w:lineRule="auto"/>
        <w:jc w:val="both"/>
        <w:rPr>
          <w:rFonts w:ascii="Arial" w:hAnsi="Arial" w:cs="Arial"/>
          <w:sz w:val="16"/>
          <w:szCs w:val="16"/>
          <w:lang w:val="es-ES_tradnl"/>
        </w:rPr>
      </w:pPr>
      <w:r w:rsidRPr="003F6B95">
        <w:rPr>
          <w:rFonts w:ascii="Arial" w:hAnsi="Arial" w:cs="Arial"/>
          <w:sz w:val="16"/>
          <w:szCs w:val="16"/>
          <w:lang w:val="es-ES_tradnl"/>
        </w:rPr>
        <w:t>VISTO BUENO</w:t>
      </w:r>
    </w:p>
    <w:p w14:paraId="7EDD974C" w14:textId="38CE284F" w:rsidR="003E2EB7" w:rsidRPr="003F6B95" w:rsidRDefault="003E2EB7" w:rsidP="00976F09">
      <w:pPr>
        <w:tabs>
          <w:tab w:val="left" w:pos="7309"/>
        </w:tabs>
        <w:spacing w:after="240" w:line="276" w:lineRule="auto"/>
        <w:jc w:val="both"/>
        <w:rPr>
          <w:rFonts w:ascii="Arial" w:hAnsi="Arial" w:cs="Arial"/>
          <w:sz w:val="16"/>
          <w:szCs w:val="16"/>
          <w:lang w:val="es-ES_tradnl"/>
        </w:rPr>
      </w:pPr>
      <w:r w:rsidRPr="003F6B95">
        <w:rPr>
          <w:rFonts w:ascii="Arial" w:hAnsi="Arial" w:cs="Arial"/>
          <w:sz w:val="16"/>
          <w:szCs w:val="16"/>
          <w:lang w:val="es-ES_tradnl"/>
        </w:rPr>
        <w:t>SR. MINISTRO</w:t>
      </w:r>
    </w:p>
    <w:p w14:paraId="6D9855AC" w14:textId="2988FD98" w:rsidR="003E2EB7" w:rsidRDefault="003E2EB7" w:rsidP="003E2EB7">
      <w:pPr>
        <w:spacing w:after="60" w:line="276" w:lineRule="auto"/>
        <w:jc w:val="both"/>
        <w:rPr>
          <w:rFonts w:ascii="Arial" w:hAnsi="Arial" w:cs="Arial"/>
          <w:b/>
          <w:sz w:val="26"/>
          <w:szCs w:val="26"/>
          <w:lang w:val="es-ES_tradnl"/>
        </w:rPr>
      </w:pPr>
      <w:r w:rsidRPr="003F6B95">
        <w:rPr>
          <w:rFonts w:ascii="Arial" w:hAnsi="Arial" w:cs="Arial"/>
          <w:b/>
          <w:sz w:val="26"/>
          <w:szCs w:val="26"/>
          <w:lang w:val="es-ES_tradnl"/>
        </w:rPr>
        <w:t>PONENTE: MINISTRO ALFREDO GUTIÉRREZ ORTIZ MENA</w:t>
      </w:r>
    </w:p>
    <w:p w14:paraId="65AB8A00" w14:textId="77777777" w:rsidR="008B0C56" w:rsidRDefault="008B0C56" w:rsidP="00976F09">
      <w:pPr>
        <w:tabs>
          <w:tab w:val="left" w:pos="7309"/>
        </w:tabs>
        <w:spacing w:after="240" w:line="276" w:lineRule="auto"/>
        <w:jc w:val="both"/>
        <w:rPr>
          <w:rFonts w:ascii="Arial" w:hAnsi="Arial" w:cs="Arial"/>
          <w:sz w:val="16"/>
          <w:szCs w:val="16"/>
          <w:lang w:val="es-ES_tradnl"/>
        </w:rPr>
      </w:pPr>
    </w:p>
    <w:p w14:paraId="24ACE2C3" w14:textId="083EA0CD" w:rsidR="003E2EB7" w:rsidRPr="003F6B95" w:rsidRDefault="003E2EB7" w:rsidP="00976F09">
      <w:pPr>
        <w:tabs>
          <w:tab w:val="left" w:pos="7309"/>
        </w:tabs>
        <w:spacing w:after="240" w:line="276" w:lineRule="auto"/>
        <w:jc w:val="both"/>
        <w:rPr>
          <w:rFonts w:ascii="Arial" w:hAnsi="Arial" w:cs="Arial"/>
          <w:sz w:val="16"/>
          <w:szCs w:val="16"/>
          <w:lang w:val="es-ES_tradnl"/>
        </w:rPr>
      </w:pPr>
      <w:r w:rsidRPr="003F6B95">
        <w:rPr>
          <w:rFonts w:ascii="Arial" w:hAnsi="Arial" w:cs="Arial"/>
          <w:sz w:val="16"/>
          <w:szCs w:val="16"/>
          <w:lang w:val="es-ES_tradnl"/>
        </w:rPr>
        <w:t>COTEJÓ</w:t>
      </w:r>
    </w:p>
    <w:p w14:paraId="17842052" w14:textId="77777777" w:rsidR="003E2EB7" w:rsidRPr="003F6B95" w:rsidRDefault="003E2EB7" w:rsidP="003E2EB7">
      <w:pPr>
        <w:spacing w:line="276" w:lineRule="auto"/>
        <w:jc w:val="both"/>
        <w:rPr>
          <w:rFonts w:ascii="Arial" w:hAnsi="Arial" w:cs="Arial"/>
          <w:b/>
          <w:sz w:val="26"/>
          <w:szCs w:val="26"/>
          <w:lang w:val="es-ES_tradnl"/>
        </w:rPr>
      </w:pPr>
      <w:r w:rsidRPr="003F6B95">
        <w:rPr>
          <w:rFonts w:ascii="Arial" w:hAnsi="Arial" w:cs="Arial"/>
          <w:b/>
          <w:sz w:val="26"/>
          <w:szCs w:val="26"/>
          <w:lang w:val="es-ES_tradnl"/>
        </w:rPr>
        <w:t>SECRETARIA: SOFÍA TREVIÑO FERNÁNDEZ</w:t>
      </w:r>
    </w:p>
    <w:p w14:paraId="68CA3398" w14:textId="77777777" w:rsidR="00FF0739" w:rsidRPr="003F6B95" w:rsidRDefault="00FF0739" w:rsidP="00FF0739">
      <w:pPr>
        <w:spacing w:line="276" w:lineRule="auto"/>
        <w:jc w:val="both"/>
        <w:rPr>
          <w:rFonts w:ascii="Arial" w:hAnsi="Arial" w:cs="Arial"/>
          <w:b/>
          <w:sz w:val="26"/>
          <w:szCs w:val="26"/>
          <w:lang w:val="es-ES_tradnl"/>
        </w:rPr>
      </w:pPr>
      <w:r w:rsidRPr="003F6B95">
        <w:rPr>
          <w:rFonts w:ascii="Arial" w:hAnsi="Arial" w:cs="Arial"/>
          <w:b/>
          <w:sz w:val="26"/>
          <w:szCs w:val="26"/>
          <w:lang w:val="es-ES_tradnl"/>
        </w:rPr>
        <w:t>COLABORADORA: CONSTANZA HERNÁNDEZ CARRILLO</w:t>
      </w:r>
    </w:p>
    <w:p w14:paraId="3BE9570E" w14:textId="77777777" w:rsidR="00F06EFE" w:rsidRPr="003F6B95" w:rsidRDefault="00F06EFE" w:rsidP="00F06EFE">
      <w:pPr>
        <w:pStyle w:val="corte4fondo"/>
        <w:ind w:right="51" w:firstLine="0"/>
        <w:rPr>
          <w:rFonts w:cs="Arial"/>
          <w:sz w:val="28"/>
          <w:szCs w:val="28"/>
        </w:rPr>
      </w:pPr>
    </w:p>
    <w:p w14:paraId="01BD97BF" w14:textId="3FA6F9BB" w:rsidR="00F06EFE" w:rsidRPr="003F6B95" w:rsidRDefault="00F06EFE" w:rsidP="00F06EFE">
      <w:pPr>
        <w:pStyle w:val="corte4fondo"/>
        <w:ind w:right="51" w:firstLine="0"/>
        <w:rPr>
          <w:rFonts w:cs="Arial"/>
          <w:sz w:val="26"/>
          <w:szCs w:val="26"/>
        </w:rPr>
      </w:pPr>
      <w:r w:rsidRPr="003F6B95">
        <w:rPr>
          <w:rFonts w:cs="Arial"/>
          <w:sz w:val="26"/>
          <w:szCs w:val="26"/>
        </w:rPr>
        <w:t>Ciudad de México. La Primera Sala de la Suprema Corte de Justicia de la Nación, en sesión correspondiente al</w:t>
      </w:r>
      <w:r w:rsidR="008266D5" w:rsidRPr="003F6B95">
        <w:rPr>
          <w:rFonts w:cs="Arial"/>
          <w:b/>
          <w:sz w:val="26"/>
          <w:szCs w:val="26"/>
        </w:rPr>
        <w:t xml:space="preserve"> </w:t>
      </w:r>
      <w:r w:rsidR="007D6F58">
        <w:rPr>
          <w:rFonts w:cs="Arial"/>
          <w:b/>
          <w:sz w:val="26"/>
          <w:szCs w:val="26"/>
        </w:rPr>
        <w:t>veintiséis de febrero de dos mil veinticinco</w:t>
      </w:r>
      <w:r w:rsidRPr="003F6B95">
        <w:rPr>
          <w:rFonts w:cs="Arial"/>
          <w:bCs/>
          <w:sz w:val="26"/>
          <w:szCs w:val="26"/>
        </w:rPr>
        <w:t>,</w:t>
      </w:r>
      <w:r w:rsidRPr="003F6B95">
        <w:rPr>
          <w:rFonts w:cs="Arial"/>
          <w:sz w:val="26"/>
          <w:szCs w:val="26"/>
        </w:rPr>
        <w:t xml:space="preserve"> emite la siguiente:</w:t>
      </w:r>
    </w:p>
    <w:p w14:paraId="45FE1482" w14:textId="77777777" w:rsidR="008B0C56" w:rsidRPr="003F6B95" w:rsidRDefault="008B0C56" w:rsidP="00F06EFE">
      <w:pPr>
        <w:pStyle w:val="corte4fondo"/>
        <w:ind w:right="51" w:firstLine="0"/>
        <w:rPr>
          <w:rFonts w:cs="Arial"/>
          <w:sz w:val="26"/>
          <w:szCs w:val="26"/>
        </w:rPr>
      </w:pPr>
    </w:p>
    <w:p w14:paraId="184C24A3" w14:textId="77777777" w:rsidR="00F06EFE" w:rsidRPr="003F6B95" w:rsidRDefault="00F06EFE" w:rsidP="00F06EFE">
      <w:pPr>
        <w:pStyle w:val="corte4fondo"/>
        <w:ind w:right="51" w:firstLine="0"/>
        <w:jc w:val="center"/>
        <w:rPr>
          <w:rFonts w:cs="Arial"/>
          <w:b/>
          <w:sz w:val="26"/>
          <w:szCs w:val="26"/>
        </w:rPr>
      </w:pPr>
      <w:r w:rsidRPr="003F6B95">
        <w:rPr>
          <w:rFonts w:cs="Arial"/>
          <w:b/>
          <w:sz w:val="26"/>
          <w:szCs w:val="26"/>
        </w:rPr>
        <w:t>S E N T E N C I A</w:t>
      </w:r>
    </w:p>
    <w:p w14:paraId="3C264ACC" w14:textId="77777777" w:rsidR="00F06EFE" w:rsidRPr="003F6B95" w:rsidRDefault="00F06EFE" w:rsidP="00F06EFE">
      <w:pPr>
        <w:pStyle w:val="corte4fondo"/>
        <w:tabs>
          <w:tab w:val="left" w:pos="142"/>
        </w:tabs>
        <w:ind w:firstLine="0"/>
        <w:rPr>
          <w:rFonts w:cs="Arial"/>
          <w:b/>
          <w:sz w:val="26"/>
          <w:szCs w:val="26"/>
        </w:rPr>
      </w:pPr>
    </w:p>
    <w:p w14:paraId="1DB9C930" w14:textId="21A97ABA" w:rsidR="00F06EFE" w:rsidRPr="00160D35" w:rsidRDefault="00F06EFE" w:rsidP="1A9D0C58">
      <w:pPr>
        <w:pStyle w:val="corte4fondo"/>
        <w:ind w:right="51" w:firstLine="0"/>
        <w:rPr>
          <w:rFonts w:cs="Arial"/>
          <w:sz w:val="26"/>
          <w:szCs w:val="26"/>
          <w:lang w:val="es-ES"/>
        </w:rPr>
      </w:pPr>
      <w:r w:rsidRPr="003F6B95">
        <w:rPr>
          <w:rFonts w:cs="Arial"/>
          <w:sz w:val="26"/>
          <w:szCs w:val="26"/>
          <w:lang w:val="es-ES"/>
        </w:rPr>
        <w:t xml:space="preserve">Mediante la cual se resuelve el amparo directo 15/2020, promovido por </w:t>
      </w:r>
      <w:r w:rsidRPr="003F6B95">
        <w:rPr>
          <w:rFonts w:cs="Arial"/>
          <w:color w:val="FF0000"/>
          <w:sz w:val="26"/>
          <w:szCs w:val="26"/>
          <w:lang w:val="es-ES"/>
        </w:rPr>
        <w:t xml:space="preserve">JMDF </w:t>
      </w:r>
      <w:r w:rsidRPr="003F6B95">
        <w:rPr>
          <w:rFonts w:cs="Arial"/>
          <w:sz w:val="26"/>
          <w:szCs w:val="26"/>
          <w:lang w:val="es-ES"/>
        </w:rPr>
        <w:t xml:space="preserve">y </w:t>
      </w:r>
      <w:r w:rsidRPr="003F6B95">
        <w:rPr>
          <w:rFonts w:cs="Arial"/>
          <w:color w:val="FF0000"/>
          <w:sz w:val="26"/>
          <w:szCs w:val="26"/>
          <w:lang w:val="es-ES"/>
        </w:rPr>
        <w:t>LNGB</w:t>
      </w:r>
      <w:r w:rsidRPr="003F6B95">
        <w:rPr>
          <w:rFonts w:cs="Arial"/>
          <w:sz w:val="26"/>
          <w:szCs w:val="26"/>
          <w:lang w:val="es-ES"/>
        </w:rPr>
        <w:t xml:space="preserve"> en contra de la sentencia dictada el </w:t>
      </w:r>
      <w:r w:rsidR="002D4F75" w:rsidRPr="003F6B95">
        <w:rPr>
          <w:rFonts w:cs="Arial"/>
          <w:sz w:val="26"/>
          <w:szCs w:val="26"/>
          <w:lang w:val="es-ES"/>
        </w:rPr>
        <w:t>1</w:t>
      </w:r>
      <w:r w:rsidRPr="003F6B95">
        <w:rPr>
          <w:rFonts w:cs="Arial"/>
          <w:sz w:val="26"/>
          <w:szCs w:val="26"/>
          <w:lang w:val="es-ES"/>
        </w:rPr>
        <w:t xml:space="preserve"> de julio de </w:t>
      </w:r>
      <w:r w:rsidR="002D4F75" w:rsidRPr="003F6B95">
        <w:rPr>
          <w:rFonts w:cs="Arial"/>
          <w:sz w:val="26"/>
          <w:szCs w:val="26"/>
          <w:lang w:val="es-ES"/>
        </w:rPr>
        <w:t xml:space="preserve">2019 </w:t>
      </w:r>
      <w:r w:rsidRPr="003F6B95">
        <w:rPr>
          <w:rFonts w:cs="Arial"/>
          <w:sz w:val="26"/>
          <w:szCs w:val="26"/>
          <w:lang w:val="es-ES"/>
        </w:rPr>
        <w:t xml:space="preserve">por la Cuarta Sala Civil del Tribunal Superior de Justicia de la Ciudad de México, en el toca de apelación </w:t>
      </w:r>
      <w:r w:rsidRPr="00160D35">
        <w:rPr>
          <w:rFonts w:cs="Arial"/>
          <w:sz w:val="26"/>
          <w:szCs w:val="26"/>
          <w:lang w:val="es-ES"/>
        </w:rPr>
        <w:t>255/2019.</w:t>
      </w:r>
    </w:p>
    <w:p w14:paraId="028F8BCC" w14:textId="77777777" w:rsidR="005F39CC" w:rsidRPr="003F6B95" w:rsidRDefault="005F39CC" w:rsidP="00F06EFE">
      <w:pPr>
        <w:pStyle w:val="corte4fondo"/>
        <w:tabs>
          <w:tab w:val="left" w:pos="0"/>
        </w:tabs>
        <w:ind w:right="51" w:firstLine="0"/>
        <w:rPr>
          <w:rFonts w:cs="Arial"/>
          <w:sz w:val="26"/>
          <w:szCs w:val="26"/>
        </w:rPr>
      </w:pPr>
    </w:p>
    <w:p w14:paraId="6059BB94" w14:textId="5DE4F063" w:rsidR="00F06EFE" w:rsidRPr="003F6B95" w:rsidRDefault="00536914" w:rsidP="00F06EFE">
      <w:pPr>
        <w:pStyle w:val="corte4fondo"/>
        <w:tabs>
          <w:tab w:val="left" w:pos="0"/>
        </w:tabs>
        <w:ind w:right="51" w:firstLine="0"/>
        <w:rPr>
          <w:rFonts w:cs="Arial"/>
          <w:sz w:val="26"/>
          <w:szCs w:val="26"/>
        </w:rPr>
      </w:pPr>
      <w:r w:rsidRPr="002830AE">
        <w:rPr>
          <w:rFonts w:cs="Arial"/>
          <w:sz w:val="26"/>
          <w:szCs w:val="26"/>
        </w:rPr>
        <w:t>E</w:t>
      </w:r>
      <w:r w:rsidR="00F06EFE" w:rsidRPr="002830AE">
        <w:rPr>
          <w:rFonts w:cs="Arial"/>
          <w:sz w:val="26"/>
          <w:szCs w:val="26"/>
        </w:rPr>
        <w:t xml:space="preserve">sta Primera Sala de la Suprema Corte de Justicia de la Nación </w:t>
      </w:r>
      <w:r w:rsidR="002D4F75" w:rsidRPr="002830AE">
        <w:rPr>
          <w:rFonts w:cs="Arial"/>
          <w:sz w:val="26"/>
          <w:szCs w:val="26"/>
        </w:rPr>
        <w:t xml:space="preserve">debe </w:t>
      </w:r>
      <w:r w:rsidR="004E183D" w:rsidRPr="002830AE">
        <w:rPr>
          <w:rFonts w:cs="Arial"/>
          <w:sz w:val="26"/>
          <w:szCs w:val="26"/>
        </w:rPr>
        <w:t>determinar</w:t>
      </w:r>
      <w:r w:rsidR="002D4F75" w:rsidRPr="002830AE">
        <w:rPr>
          <w:rFonts w:cs="Arial"/>
          <w:sz w:val="26"/>
          <w:szCs w:val="26"/>
        </w:rPr>
        <w:t xml:space="preserve"> </w:t>
      </w:r>
      <w:r w:rsidR="00A94343" w:rsidRPr="002830AE">
        <w:rPr>
          <w:rFonts w:cs="Arial"/>
          <w:sz w:val="26"/>
          <w:szCs w:val="26"/>
        </w:rPr>
        <w:t xml:space="preserve">si la </w:t>
      </w:r>
      <w:r w:rsidR="00A86A3F" w:rsidRPr="002830AE">
        <w:rPr>
          <w:rFonts w:cs="Arial"/>
          <w:sz w:val="26"/>
          <w:szCs w:val="26"/>
        </w:rPr>
        <w:t xml:space="preserve">sala </w:t>
      </w:r>
      <w:r w:rsidR="00A94343" w:rsidRPr="002830AE">
        <w:rPr>
          <w:rFonts w:cs="Arial"/>
          <w:sz w:val="26"/>
          <w:szCs w:val="26"/>
        </w:rPr>
        <w:t xml:space="preserve">responsable </w:t>
      </w:r>
      <w:r w:rsidR="00A86A3F" w:rsidRPr="002830AE">
        <w:rPr>
          <w:rFonts w:cs="Arial"/>
          <w:sz w:val="26"/>
          <w:szCs w:val="26"/>
        </w:rPr>
        <w:t>juzgó con</w:t>
      </w:r>
      <w:r w:rsidR="00A94343" w:rsidRPr="002830AE">
        <w:rPr>
          <w:rFonts w:cs="Arial"/>
          <w:sz w:val="26"/>
          <w:szCs w:val="26"/>
        </w:rPr>
        <w:t xml:space="preserve"> perspectiva de género, </w:t>
      </w:r>
      <w:r w:rsidR="00FC43AA" w:rsidRPr="002830AE">
        <w:rPr>
          <w:rFonts w:cs="Arial"/>
          <w:sz w:val="26"/>
          <w:szCs w:val="26"/>
        </w:rPr>
        <w:t>al resolver</w:t>
      </w:r>
      <w:r w:rsidR="00A94343" w:rsidRPr="002830AE">
        <w:rPr>
          <w:rFonts w:cs="Arial"/>
          <w:sz w:val="26"/>
          <w:szCs w:val="26"/>
        </w:rPr>
        <w:t xml:space="preserve"> un caso de </w:t>
      </w:r>
      <w:r w:rsidR="00F06EFE" w:rsidRPr="002830AE">
        <w:rPr>
          <w:rFonts w:cs="Arial"/>
          <w:sz w:val="26"/>
          <w:szCs w:val="26"/>
        </w:rPr>
        <w:t>responsabilidad civil extracontractual</w:t>
      </w:r>
      <w:r w:rsidR="009161FA" w:rsidRPr="002830AE">
        <w:rPr>
          <w:rFonts w:cs="Arial"/>
          <w:sz w:val="26"/>
          <w:szCs w:val="26"/>
        </w:rPr>
        <w:t xml:space="preserve"> </w:t>
      </w:r>
      <w:r w:rsidR="00CE4B85" w:rsidRPr="002830AE">
        <w:rPr>
          <w:rFonts w:cs="Arial"/>
          <w:sz w:val="26"/>
          <w:szCs w:val="26"/>
        </w:rPr>
        <w:t>relacionado con actos</w:t>
      </w:r>
      <w:r w:rsidR="001F530C" w:rsidRPr="002830AE">
        <w:rPr>
          <w:rFonts w:cs="Arial"/>
          <w:sz w:val="26"/>
          <w:szCs w:val="26"/>
        </w:rPr>
        <w:t xml:space="preserve"> discriminatorios </w:t>
      </w:r>
      <w:r w:rsidR="00CE4B85" w:rsidRPr="002830AE">
        <w:rPr>
          <w:rFonts w:cs="Arial"/>
          <w:sz w:val="26"/>
          <w:szCs w:val="26"/>
        </w:rPr>
        <w:t>contra personas de</w:t>
      </w:r>
      <w:r w:rsidR="00BC51A0" w:rsidRPr="002830AE">
        <w:rPr>
          <w:rFonts w:cs="Arial"/>
          <w:sz w:val="26"/>
          <w:szCs w:val="26"/>
        </w:rPr>
        <w:t xml:space="preserve"> la </w:t>
      </w:r>
      <w:r w:rsidR="00315DAD">
        <w:rPr>
          <w:rFonts w:cs="Arial"/>
          <w:sz w:val="26"/>
          <w:szCs w:val="26"/>
        </w:rPr>
        <w:t>población</w:t>
      </w:r>
      <w:r w:rsidR="00BC51A0" w:rsidRPr="002830AE">
        <w:rPr>
          <w:rFonts w:cs="Arial"/>
          <w:sz w:val="26"/>
          <w:szCs w:val="26"/>
        </w:rPr>
        <w:t xml:space="preserve"> LGBTI</w:t>
      </w:r>
      <w:r w:rsidR="004A3B3F">
        <w:rPr>
          <w:rFonts w:cs="Arial"/>
          <w:sz w:val="26"/>
          <w:szCs w:val="26"/>
        </w:rPr>
        <w:t>Q</w:t>
      </w:r>
      <w:r w:rsidR="00BC51A0" w:rsidRPr="002830AE">
        <w:rPr>
          <w:rFonts w:cs="Arial"/>
          <w:sz w:val="26"/>
          <w:szCs w:val="26"/>
        </w:rPr>
        <w:t xml:space="preserve">+, en </w:t>
      </w:r>
      <w:r w:rsidR="00CE4B85" w:rsidRPr="002830AE">
        <w:rPr>
          <w:rFonts w:cs="Arial"/>
          <w:sz w:val="26"/>
          <w:szCs w:val="26"/>
        </w:rPr>
        <w:t>particular</w:t>
      </w:r>
      <w:r w:rsidR="00BC51A0" w:rsidRPr="002830AE">
        <w:rPr>
          <w:rFonts w:cs="Arial"/>
          <w:sz w:val="26"/>
          <w:szCs w:val="26"/>
        </w:rPr>
        <w:t xml:space="preserve">, </w:t>
      </w:r>
      <w:r w:rsidR="00434B70" w:rsidRPr="002830AE">
        <w:rPr>
          <w:rFonts w:cs="Arial"/>
          <w:sz w:val="26"/>
          <w:szCs w:val="26"/>
        </w:rPr>
        <w:t>contra</w:t>
      </w:r>
      <w:r w:rsidR="00F06EFE" w:rsidRPr="002830AE">
        <w:rPr>
          <w:rFonts w:cs="Arial"/>
          <w:sz w:val="26"/>
          <w:szCs w:val="26"/>
        </w:rPr>
        <w:t xml:space="preserve"> personas trans.</w:t>
      </w:r>
    </w:p>
    <w:p w14:paraId="02A9B038" w14:textId="5192B2BA" w:rsidR="00CA157B" w:rsidRDefault="00CA157B">
      <w:pPr>
        <w:rPr>
          <w:rFonts w:ascii="Arial" w:eastAsia="Times New Roman" w:hAnsi="Arial" w:cs="Arial"/>
          <w:sz w:val="26"/>
          <w:szCs w:val="26"/>
          <w:lang w:val="es-ES_tradnl" w:eastAsia="es-MX"/>
        </w:rPr>
      </w:pPr>
    </w:p>
    <w:p w14:paraId="6077DD50" w14:textId="77777777" w:rsidR="00DD6780" w:rsidRDefault="00DD6780">
      <w:pPr>
        <w:rPr>
          <w:rFonts w:ascii="Arial" w:eastAsia="Times New Roman" w:hAnsi="Arial" w:cs="Arial"/>
          <w:sz w:val="26"/>
          <w:szCs w:val="26"/>
          <w:lang w:val="es-ES_tradnl" w:eastAsia="es-MX"/>
        </w:rPr>
      </w:pPr>
    </w:p>
    <w:p w14:paraId="44A0172C" w14:textId="77777777" w:rsidR="00DD6780" w:rsidRDefault="00DD6780">
      <w:pPr>
        <w:rPr>
          <w:rFonts w:ascii="Arial" w:eastAsia="Times New Roman" w:hAnsi="Arial" w:cs="Arial"/>
          <w:sz w:val="26"/>
          <w:szCs w:val="26"/>
          <w:lang w:val="es-ES_tradnl" w:eastAsia="es-MX"/>
        </w:rPr>
      </w:pPr>
    </w:p>
    <w:p w14:paraId="39D3CB84" w14:textId="7443316B" w:rsidR="00F06EFE" w:rsidRPr="003F6B95" w:rsidRDefault="00AF015F" w:rsidP="00976F09">
      <w:pPr>
        <w:pStyle w:val="corte4fondo"/>
        <w:tabs>
          <w:tab w:val="left" w:pos="0"/>
        </w:tabs>
        <w:ind w:right="51" w:firstLine="0"/>
        <w:jc w:val="center"/>
        <w:rPr>
          <w:rFonts w:cs="Arial"/>
          <w:b/>
          <w:bCs/>
          <w:sz w:val="26"/>
          <w:szCs w:val="26"/>
        </w:rPr>
      </w:pPr>
      <w:r w:rsidRPr="003F6B95">
        <w:rPr>
          <w:rFonts w:cs="Arial"/>
          <w:b/>
          <w:bCs/>
          <w:sz w:val="26"/>
          <w:szCs w:val="26"/>
        </w:rPr>
        <w:lastRenderedPageBreak/>
        <w:t xml:space="preserve">I. </w:t>
      </w:r>
      <w:r w:rsidR="00F06EFE" w:rsidRPr="003F6B95">
        <w:rPr>
          <w:rFonts w:cs="Arial"/>
          <w:b/>
          <w:bCs/>
          <w:sz w:val="26"/>
          <w:szCs w:val="26"/>
        </w:rPr>
        <w:t>ANTECEDENTES</w:t>
      </w:r>
      <w:r w:rsidR="00D04DA9" w:rsidRPr="003F6B95">
        <w:rPr>
          <w:rFonts w:cs="Arial"/>
          <w:b/>
          <w:bCs/>
          <w:sz w:val="26"/>
          <w:szCs w:val="26"/>
        </w:rPr>
        <w:t xml:space="preserve"> DEL ASUNTO</w:t>
      </w:r>
    </w:p>
    <w:p w14:paraId="77C82E03" w14:textId="559A14D7" w:rsidR="00F06EFE" w:rsidRPr="003F6B95" w:rsidRDefault="00F06EFE" w:rsidP="00F06EFE">
      <w:pPr>
        <w:pStyle w:val="corte4fondo"/>
        <w:tabs>
          <w:tab w:val="left" w:pos="0"/>
        </w:tabs>
        <w:ind w:right="51" w:firstLine="0"/>
        <w:rPr>
          <w:rFonts w:cs="Arial"/>
          <w:sz w:val="26"/>
          <w:szCs w:val="26"/>
        </w:rPr>
      </w:pPr>
    </w:p>
    <w:p w14:paraId="50ADFE07" w14:textId="5DFC41FB" w:rsidR="00E728E7" w:rsidRPr="00160D35" w:rsidRDefault="00F65EAE" w:rsidP="1A9D0C58">
      <w:pPr>
        <w:pStyle w:val="corte4fondo"/>
        <w:numPr>
          <w:ilvl w:val="0"/>
          <w:numId w:val="2"/>
        </w:numPr>
        <w:ind w:left="0" w:right="51" w:hanging="567"/>
        <w:rPr>
          <w:rFonts w:cs="Arial"/>
          <w:sz w:val="26"/>
          <w:szCs w:val="26"/>
          <w:lang w:val="es-ES"/>
        </w:rPr>
      </w:pPr>
      <w:r w:rsidRPr="003F6B95">
        <w:rPr>
          <w:rFonts w:cs="Arial"/>
          <w:b/>
          <w:sz w:val="26"/>
          <w:szCs w:val="26"/>
          <w:lang w:val="es-ES"/>
        </w:rPr>
        <w:t xml:space="preserve">Hechos. </w:t>
      </w:r>
      <w:r w:rsidR="008F1AF4" w:rsidRPr="003F6B95">
        <w:rPr>
          <w:rFonts w:cs="Arial"/>
          <w:sz w:val="26"/>
          <w:szCs w:val="26"/>
          <w:lang w:val="es-ES"/>
        </w:rPr>
        <w:t>Conforme al dicho de las hoy quejosas</w:t>
      </w:r>
      <w:r w:rsidR="008F1AF4" w:rsidRPr="003F6B95">
        <w:rPr>
          <w:rStyle w:val="Refdenotaalpie"/>
          <w:rFonts w:cs="Arial"/>
          <w:sz w:val="26"/>
          <w:szCs w:val="26"/>
          <w:lang w:val="es-ES"/>
        </w:rPr>
        <w:footnoteReference w:id="2"/>
      </w:r>
      <w:r w:rsidR="008F1AF4" w:rsidRPr="003F6B95">
        <w:rPr>
          <w:rFonts w:cs="Arial"/>
          <w:sz w:val="26"/>
          <w:szCs w:val="26"/>
          <w:lang w:val="es-ES"/>
        </w:rPr>
        <w:t>, e</w:t>
      </w:r>
      <w:r w:rsidR="00E728E7" w:rsidRPr="003F6B95">
        <w:rPr>
          <w:rFonts w:cs="Arial"/>
          <w:sz w:val="26"/>
          <w:szCs w:val="26"/>
          <w:lang w:val="es-ES"/>
        </w:rPr>
        <w:t xml:space="preserve">l </w:t>
      </w:r>
      <w:r w:rsidR="00D61E88" w:rsidRPr="003F6B95">
        <w:rPr>
          <w:rFonts w:cs="Arial"/>
          <w:sz w:val="26"/>
          <w:szCs w:val="26"/>
          <w:lang w:val="es-ES"/>
        </w:rPr>
        <w:t xml:space="preserve">25 </w:t>
      </w:r>
      <w:r w:rsidR="00E728E7" w:rsidRPr="003F6B95">
        <w:rPr>
          <w:rFonts w:cs="Arial"/>
          <w:sz w:val="26"/>
          <w:szCs w:val="26"/>
          <w:lang w:val="es-ES"/>
        </w:rPr>
        <w:t xml:space="preserve">de noviembre de </w:t>
      </w:r>
      <w:r w:rsidR="00D61E88" w:rsidRPr="003F6B95">
        <w:rPr>
          <w:rFonts w:cs="Arial"/>
          <w:sz w:val="26"/>
          <w:szCs w:val="26"/>
          <w:lang w:val="es-ES"/>
        </w:rPr>
        <w:t>2015</w:t>
      </w:r>
      <w:r w:rsidR="00E35199" w:rsidRPr="003F6B95">
        <w:rPr>
          <w:rFonts w:cs="Arial"/>
          <w:sz w:val="26"/>
          <w:szCs w:val="26"/>
          <w:lang w:val="es-ES"/>
        </w:rPr>
        <w:t>,</w:t>
      </w:r>
      <w:r w:rsidR="00D61E88" w:rsidRPr="003F6B95">
        <w:rPr>
          <w:rFonts w:cs="Arial"/>
          <w:sz w:val="26"/>
          <w:szCs w:val="26"/>
          <w:lang w:val="es-ES"/>
        </w:rPr>
        <w:t xml:space="preserve"> </w:t>
      </w:r>
      <w:r w:rsidR="00E728E7" w:rsidRPr="003F6B95">
        <w:rPr>
          <w:rFonts w:cs="Arial"/>
          <w:color w:val="FF0000"/>
          <w:sz w:val="26"/>
          <w:szCs w:val="26"/>
          <w:lang w:val="es-ES"/>
        </w:rPr>
        <w:t>JMDF</w:t>
      </w:r>
      <w:r w:rsidR="00E728E7" w:rsidRPr="003F6B95">
        <w:rPr>
          <w:rFonts w:cs="Arial"/>
          <w:sz w:val="26"/>
          <w:szCs w:val="26"/>
          <w:lang w:val="es-ES"/>
        </w:rPr>
        <w:t xml:space="preserve">, </w:t>
      </w:r>
      <w:r w:rsidR="00E728E7" w:rsidRPr="003F6B95">
        <w:rPr>
          <w:rFonts w:cs="Arial"/>
          <w:color w:val="FF0000"/>
          <w:sz w:val="26"/>
          <w:szCs w:val="26"/>
          <w:lang w:val="es-ES"/>
        </w:rPr>
        <w:t>LNGB</w:t>
      </w:r>
      <w:r w:rsidR="00E728E7" w:rsidRPr="003F6B95">
        <w:rPr>
          <w:rFonts w:cs="Arial"/>
          <w:sz w:val="26"/>
          <w:szCs w:val="26"/>
          <w:lang w:val="es-ES"/>
        </w:rPr>
        <w:t xml:space="preserve">, </w:t>
      </w:r>
      <w:r w:rsidR="00E728E7" w:rsidRPr="003F6B95">
        <w:rPr>
          <w:rFonts w:cs="Arial"/>
          <w:color w:val="FF0000"/>
          <w:sz w:val="26"/>
          <w:szCs w:val="26"/>
          <w:lang w:val="es-ES"/>
        </w:rPr>
        <w:t xml:space="preserve">RJBB </w:t>
      </w:r>
      <w:r w:rsidR="00E728E7" w:rsidRPr="003F6B95">
        <w:rPr>
          <w:rFonts w:cs="Arial"/>
          <w:sz w:val="26"/>
          <w:szCs w:val="26"/>
          <w:lang w:val="es-ES"/>
        </w:rPr>
        <w:t xml:space="preserve">y </w:t>
      </w:r>
      <w:r w:rsidR="00E728E7" w:rsidRPr="003F6B95">
        <w:rPr>
          <w:rFonts w:cs="Arial"/>
          <w:color w:val="FF0000"/>
          <w:sz w:val="26"/>
          <w:szCs w:val="26"/>
          <w:lang w:val="es-ES"/>
        </w:rPr>
        <w:t>AMF</w:t>
      </w:r>
      <w:r w:rsidR="003F3333" w:rsidRPr="003F6B95">
        <w:rPr>
          <w:rStyle w:val="Refdenotaalpie"/>
          <w:rFonts w:cs="Arial"/>
          <w:color w:val="000000" w:themeColor="text1"/>
          <w:sz w:val="26"/>
          <w:szCs w:val="26"/>
          <w:lang w:val="es-ES"/>
        </w:rPr>
        <w:footnoteReference w:id="3"/>
      </w:r>
      <w:r w:rsidR="00E728E7" w:rsidRPr="003F6B95">
        <w:rPr>
          <w:rFonts w:cs="Arial"/>
          <w:color w:val="000000" w:themeColor="text1"/>
          <w:sz w:val="26"/>
          <w:szCs w:val="26"/>
          <w:lang w:val="es-ES"/>
        </w:rPr>
        <w:t xml:space="preserve"> </w:t>
      </w:r>
      <w:r w:rsidR="00E728E7" w:rsidRPr="003F6B95">
        <w:rPr>
          <w:rFonts w:cs="Arial"/>
          <w:sz w:val="26"/>
          <w:szCs w:val="26"/>
          <w:lang w:val="es-ES"/>
        </w:rPr>
        <w:t xml:space="preserve">asistieron a la marcha conmemorativa del </w:t>
      </w:r>
      <w:r w:rsidR="009858A0" w:rsidRPr="003F6B95">
        <w:rPr>
          <w:rFonts w:cs="Arial"/>
          <w:sz w:val="26"/>
          <w:szCs w:val="26"/>
          <w:lang w:val="es-ES"/>
        </w:rPr>
        <w:t>“</w:t>
      </w:r>
      <w:r w:rsidR="008A1B92" w:rsidRPr="003F6B95">
        <w:rPr>
          <w:rFonts w:cs="Arial"/>
          <w:sz w:val="26"/>
          <w:szCs w:val="26"/>
          <w:lang w:val="es-ES"/>
        </w:rPr>
        <w:t>D</w:t>
      </w:r>
      <w:r w:rsidR="00E728E7" w:rsidRPr="003F6B95">
        <w:rPr>
          <w:rFonts w:cs="Arial"/>
          <w:sz w:val="26"/>
          <w:szCs w:val="26"/>
          <w:lang w:val="es-ES"/>
        </w:rPr>
        <w:t xml:space="preserve">ía internacional </w:t>
      </w:r>
      <w:r w:rsidR="008A1B92" w:rsidRPr="003F6B95">
        <w:rPr>
          <w:rFonts w:cs="Arial"/>
          <w:sz w:val="26"/>
          <w:szCs w:val="26"/>
          <w:lang w:val="es-ES"/>
        </w:rPr>
        <w:t xml:space="preserve">de la eliminación </w:t>
      </w:r>
      <w:r w:rsidR="00E728E7" w:rsidRPr="003F6B95">
        <w:rPr>
          <w:rFonts w:cs="Arial"/>
          <w:sz w:val="26"/>
          <w:szCs w:val="26"/>
          <w:lang w:val="es-ES"/>
        </w:rPr>
        <w:t>de la violencia contra</w:t>
      </w:r>
      <w:r w:rsidR="008A1B92" w:rsidRPr="003F6B95">
        <w:rPr>
          <w:rFonts w:cs="Arial"/>
          <w:sz w:val="26"/>
          <w:szCs w:val="26"/>
          <w:lang w:val="es-ES"/>
        </w:rPr>
        <w:t xml:space="preserve"> la </w:t>
      </w:r>
      <w:r w:rsidR="008A1B92" w:rsidRPr="00160D35">
        <w:rPr>
          <w:rFonts w:cs="Arial"/>
          <w:sz w:val="26"/>
          <w:szCs w:val="26"/>
          <w:lang w:val="es-ES"/>
        </w:rPr>
        <w:t>mujer”</w:t>
      </w:r>
      <w:r w:rsidR="00E728E7" w:rsidRPr="00160D35">
        <w:rPr>
          <w:rFonts w:cs="Arial"/>
          <w:sz w:val="26"/>
          <w:szCs w:val="26"/>
          <w:lang w:val="es-ES"/>
        </w:rPr>
        <w:t>, en la Ciudad de México</w:t>
      </w:r>
      <w:r w:rsidR="005E3B5D" w:rsidRPr="00160D35">
        <w:rPr>
          <w:rStyle w:val="Refdenotaalpie"/>
          <w:rFonts w:cs="Arial"/>
          <w:sz w:val="26"/>
          <w:szCs w:val="26"/>
          <w:lang w:val="es-ES"/>
        </w:rPr>
        <w:footnoteReference w:id="4"/>
      </w:r>
      <w:r w:rsidR="00E728E7" w:rsidRPr="00160D35">
        <w:rPr>
          <w:rFonts w:cs="Arial"/>
          <w:sz w:val="26"/>
          <w:szCs w:val="26"/>
          <w:lang w:val="es-ES"/>
        </w:rPr>
        <w:t>. Posteriormente, acudieron a</w:t>
      </w:r>
      <w:r w:rsidR="00567F09" w:rsidRPr="00160D35">
        <w:rPr>
          <w:rFonts w:cs="Arial"/>
          <w:sz w:val="26"/>
          <w:szCs w:val="26"/>
          <w:lang w:val="es-ES"/>
        </w:rPr>
        <w:t xml:space="preserve">l centro </w:t>
      </w:r>
      <w:r w:rsidR="00E728E7" w:rsidRPr="00160D35">
        <w:rPr>
          <w:rFonts w:cs="Arial"/>
          <w:sz w:val="26"/>
          <w:szCs w:val="26"/>
          <w:lang w:val="es-ES"/>
        </w:rPr>
        <w:t>comercial</w:t>
      </w:r>
      <w:r w:rsidR="00567F09" w:rsidRPr="00160D35">
        <w:rPr>
          <w:rFonts w:cs="Arial"/>
          <w:sz w:val="26"/>
          <w:szCs w:val="26"/>
          <w:lang w:val="es-ES"/>
        </w:rPr>
        <w:t xml:space="preserve"> </w:t>
      </w:r>
      <w:r w:rsidR="00E728E7" w:rsidRPr="00160D35">
        <w:rPr>
          <w:rFonts w:cs="Arial"/>
          <w:sz w:val="26"/>
          <w:szCs w:val="26"/>
          <w:lang w:val="es-ES"/>
        </w:rPr>
        <w:t xml:space="preserve">“Reforma 222”. </w:t>
      </w:r>
    </w:p>
    <w:p w14:paraId="3DF73D77" w14:textId="77777777" w:rsidR="00E728E7" w:rsidRPr="003F6B95" w:rsidRDefault="00E728E7" w:rsidP="00E728E7">
      <w:pPr>
        <w:pStyle w:val="corte4fondo"/>
        <w:tabs>
          <w:tab w:val="left" w:pos="0"/>
        </w:tabs>
        <w:ind w:right="51" w:firstLine="0"/>
        <w:rPr>
          <w:rFonts w:cs="Arial"/>
          <w:sz w:val="26"/>
          <w:szCs w:val="26"/>
        </w:rPr>
      </w:pPr>
    </w:p>
    <w:p w14:paraId="50FDDFC9" w14:textId="0E4896D3" w:rsidR="00E728E7" w:rsidRPr="003F6B95" w:rsidRDefault="00E728E7" w:rsidP="1A9D0C58">
      <w:pPr>
        <w:pStyle w:val="corte4fondo"/>
        <w:numPr>
          <w:ilvl w:val="0"/>
          <w:numId w:val="2"/>
        </w:numPr>
        <w:ind w:left="0" w:right="51" w:hanging="567"/>
        <w:rPr>
          <w:rFonts w:cs="Arial"/>
          <w:sz w:val="26"/>
          <w:szCs w:val="26"/>
          <w:lang w:val="es-ES"/>
        </w:rPr>
      </w:pPr>
      <w:r w:rsidRPr="003F6B95">
        <w:rPr>
          <w:rFonts w:cs="Arial"/>
          <w:sz w:val="26"/>
          <w:szCs w:val="26"/>
          <w:lang w:val="es-ES"/>
        </w:rPr>
        <w:t xml:space="preserve">Una vez </w:t>
      </w:r>
      <w:r w:rsidR="00D230F7" w:rsidRPr="003F6B95">
        <w:rPr>
          <w:rFonts w:cs="Arial"/>
          <w:sz w:val="26"/>
          <w:szCs w:val="26"/>
          <w:lang w:val="es-ES"/>
        </w:rPr>
        <w:t>dentro</w:t>
      </w:r>
      <w:r w:rsidRPr="003F6B95">
        <w:rPr>
          <w:rFonts w:cs="Arial"/>
          <w:sz w:val="26"/>
          <w:szCs w:val="26"/>
          <w:lang w:val="es-ES"/>
        </w:rPr>
        <w:t xml:space="preserve"> de la plaza, </w:t>
      </w:r>
      <w:r w:rsidR="007F655A" w:rsidRPr="003F6B95">
        <w:rPr>
          <w:rFonts w:cs="Arial"/>
          <w:color w:val="FF0000"/>
          <w:sz w:val="26"/>
          <w:szCs w:val="26"/>
          <w:lang w:val="es-ES"/>
        </w:rPr>
        <w:t>LNGB</w:t>
      </w:r>
      <w:r w:rsidR="007F655A" w:rsidRPr="003F6B95">
        <w:rPr>
          <w:rFonts w:cs="Arial"/>
          <w:sz w:val="26"/>
          <w:szCs w:val="26"/>
          <w:lang w:val="es-ES"/>
        </w:rPr>
        <w:t xml:space="preserve"> y </w:t>
      </w:r>
      <w:r w:rsidR="007F655A" w:rsidRPr="003F6B95">
        <w:rPr>
          <w:rFonts w:cs="Arial"/>
          <w:color w:val="FF0000"/>
          <w:sz w:val="26"/>
          <w:szCs w:val="26"/>
          <w:lang w:val="es-ES"/>
        </w:rPr>
        <w:t>RJBB</w:t>
      </w:r>
      <w:r w:rsidR="007F655A" w:rsidRPr="003F6B95">
        <w:rPr>
          <w:rFonts w:cs="Arial"/>
          <w:sz w:val="26"/>
          <w:szCs w:val="26"/>
          <w:lang w:val="es-ES"/>
        </w:rPr>
        <w:t xml:space="preserve"> acudieron a las oficinas de </w:t>
      </w:r>
      <w:r w:rsidR="007F655A" w:rsidRPr="00FB54ED">
        <w:rPr>
          <w:rFonts w:cs="Arial"/>
          <w:sz w:val="26"/>
          <w:szCs w:val="26"/>
          <w:lang w:val="es-ES"/>
        </w:rPr>
        <w:t>“Telcel</w:t>
      </w:r>
      <w:r w:rsidR="007F655A" w:rsidRPr="003F6B95">
        <w:rPr>
          <w:rFonts w:cs="Arial"/>
          <w:sz w:val="26"/>
          <w:szCs w:val="26"/>
          <w:lang w:val="es-ES"/>
        </w:rPr>
        <w:t>”</w:t>
      </w:r>
      <w:r w:rsidR="00961194" w:rsidRPr="003F6B95">
        <w:rPr>
          <w:rFonts w:cs="Arial"/>
          <w:sz w:val="26"/>
          <w:szCs w:val="26"/>
          <w:lang w:val="es-ES"/>
        </w:rPr>
        <w:t xml:space="preserve">. </w:t>
      </w:r>
      <w:r w:rsidRPr="003F6B95">
        <w:rPr>
          <w:rFonts w:cs="Arial"/>
          <w:color w:val="FF0000"/>
          <w:sz w:val="26"/>
          <w:szCs w:val="26"/>
          <w:lang w:val="es-ES"/>
        </w:rPr>
        <w:t>JMDF</w:t>
      </w:r>
      <w:r w:rsidR="00C42F8B">
        <w:rPr>
          <w:rFonts w:cs="Arial"/>
          <w:color w:val="FF0000"/>
          <w:sz w:val="26"/>
          <w:szCs w:val="26"/>
          <w:lang w:val="es-ES"/>
        </w:rPr>
        <w:t xml:space="preserve"> </w:t>
      </w:r>
      <w:r w:rsidRPr="003F6B95">
        <w:rPr>
          <w:rFonts w:cs="Arial"/>
          <w:sz w:val="26"/>
          <w:szCs w:val="26"/>
          <w:lang w:val="es-ES"/>
        </w:rPr>
        <w:t xml:space="preserve">y </w:t>
      </w:r>
      <w:r w:rsidRPr="003F6B95">
        <w:rPr>
          <w:rFonts w:cs="Arial"/>
          <w:color w:val="FF0000"/>
          <w:sz w:val="26"/>
          <w:szCs w:val="26"/>
          <w:lang w:val="es-ES"/>
        </w:rPr>
        <w:t>AMF</w:t>
      </w:r>
      <w:r w:rsidRPr="003F6B95">
        <w:rPr>
          <w:rFonts w:cs="Arial"/>
          <w:sz w:val="26"/>
          <w:szCs w:val="26"/>
          <w:lang w:val="es-ES"/>
        </w:rPr>
        <w:t xml:space="preserve"> se dirigieron a</w:t>
      </w:r>
      <w:r w:rsidR="009C5181" w:rsidRPr="003F6B95">
        <w:rPr>
          <w:rFonts w:cs="Arial"/>
          <w:sz w:val="26"/>
          <w:szCs w:val="26"/>
          <w:lang w:val="es-ES"/>
        </w:rPr>
        <w:t>l área de sanitarios</w:t>
      </w:r>
      <w:r w:rsidR="00D230F7" w:rsidRPr="003F6B95">
        <w:rPr>
          <w:rFonts w:cs="Arial"/>
          <w:sz w:val="26"/>
          <w:szCs w:val="26"/>
          <w:lang w:val="es-ES"/>
        </w:rPr>
        <w:t>.</w:t>
      </w:r>
      <w:r w:rsidRPr="003F6B95">
        <w:rPr>
          <w:rFonts w:cs="Arial"/>
          <w:sz w:val="26"/>
          <w:szCs w:val="26"/>
          <w:lang w:val="es-ES"/>
        </w:rPr>
        <w:t xml:space="preserve"> </w:t>
      </w:r>
    </w:p>
    <w:p w14:paraId="367F0EE4" w14:textId="77777777" w:rsidR="00E728E7" w:rsidRPr="003F6B95" w:rsidRDefault="00E728E7" w:rsidP="00976F09">
      <w:pPr>
        <w:pStyle w:val="corte4fondo"/>
        <w:tabs>
          <w:tab w:val="left" w:pos="0"/>
        </w:tabs>
        <w:ind w:right="51" w:firstLine="0"/>
        <w:rPr>
          <w:rFonts w:cs="Arial"/>
          <w:sz w:val="26"/>
          <w:szCs w:val="26"/>
        </w:rPr>
      </w:pPr>
    </w:p>
    <w:p w14:paraId="3C40D3DC" w14:textId="55B6638F" w:rsidR="003D6906" w:rsidRPr="003F6B95" w:rsidRDefault="00E728E7" w:rsidP="1A9D0C58">
      <w:pPr>
        <w:pStyle w:val="corte4fondo"/>
        <w:numPr>
          <w:ilvl w:val="0"/>
          <w:numId w:val="2"/>
        </w:numPr>
        <w:ind w:left="0" w:right="51" w:hanging="567"/>
        <w:rPr>
          <w:rFonts w:cs="Arial"/>
          <w:sz w:val="26"/>
          <w:szCs w:val="26"/>
          <w:lang w:val="es-ES"/>
        </w:rPr>
      </w:pPr>
      <w:r w:rsidRPr="003F6B95">
        <w:rPr>
          <w:rFonts w:cs="Arial"/>
          <w:sz w:val="26"/>
          <w:szCs w:val="26"/>
          <w:lang w:val="es-ES"/>
        </w:rPr>
        <w:t xml:space="preserve">Al momento de </w:t>
      </w:r>
      <w:r w:rsidR="007644C3" w:rsidRPr="003F6B95">
        <w:rPr>
          <w:rFonts w:cs="Arial"/>
          <w:sz w:val="26"/>
          <w:szCs w:val="26"/>
          <w:lang w:val="es-ES"/>
        </w:rPr>
        <w:t xml:space="preserve">pretender </w:t>
      </w:r>
      <w:r w:rsidRPr="003F6B95">
        <w:rPr>
          <w:rFonts w:cs="Arial"/>
          <w:sz w:val="26"/>
          <w:szCs w:val="26"/>
          <w:lang w:val="es-ES"/>
        </w:rPr>
        <w:t xml:space="preserve">ingresar a </w:t>
      </w:r>
      <w:r w:rsidR="009E0096">
        <w:rPr>
          <w:rFonts w:cs="Arial"/>
          <w:sz w:val="26"/>
          <w:szCs w:val="26"/>
          <w:lang w:val="es-ES"/>
        </w:rPr>
        <w:t>los baños de mujeres</w:t>
      </w:r>
      <w:r w:rsidRPr="003F6B95">
        <w:rPr>
          <w:rFonts w:cs="Arial"/>
          <w:sz w:val="26"/>
          <w:szCs w:val="26"/>
          <w:lang w:val="es-ES"/>
        </w:rPr>
        <w:t xml:space="preserve">, </w:t>
      </w:r>
      <w:r w:rsidR="00797BC5" w:rsidRPr="003F6B95">
        <w:rPr>
          <w:rFonts w:cs="Arial"/>
          <w:sz w:val="26"/>
          <w:szCs w:val="26"/>
          <w:lang w:val="es-ES"/>
        </w:rPr>
        <w:t xml:space="preserve">el </w:t>
      </w:r>
      <w:r w:rsidRPr="003F6B95">
        <w:rPr>
          <w:rFonts w:cs="Arial"/>
          <w:sz w:val="26"/>
          <w:szCs w:val="26"/>
          <w:lang w:val="es-ES"/>
        </w:rPr>
        <w:t>personal de seguridad de</w:t>
      </w:r>
      <w:r w:rsidR="00135169" w:rsidRPr="003F6B95">
        <w:rPr>
          <w:rFonts w:cs="Arial"/>
          <w:sz w:val="26"/>
          <w:szCs w:val="26"/>
          <w:lang w:val="es-ES"/>
        </w:rPr>
        <w:t xml:space="preserve"> la </w:t>
      </w:r>
      <w:r w:rsidRPr="003F6B95">
        <w:rPr>
          <w:rFonts w:cs="Arial"/>
          <w:sz w:val="26"/>
          <w:szCs w:val="26"/>
          <w:lang w:val="es-ES"/>
        </w:rPr>
        <w:t xml:space="preserve">empresa </w:t>
      </w:r>
      <w:r w:rsidRPr="00FB54ED">
        <w:rPr>
          <w:rFonts w:cs="Arial"/>
          <w:sz w:val="26"/>
          <w:szCs w:val="26"/>
          <w:lang w:val="es-ES"/>
        </w:rPr>
        <w:t>Protección Privada 2010, Sociedad de Responsabilidad Limitada de Capital Variable (en adelante</w:t>
      </w:r>
      <w:r w:rsidR="00775C1C" w:rsidRPr="00FB54ED">
        <w:rPr>
          <w:rFonts w:cs="Arial"/>
          <w:sz w:val="26"/>
          <w:szCs w:val="26"/>
          <w:lang w:val="es-ES"/>
        </w:rPr>
        <w:t>,</w:t>
      </w:r>
      <w:r w:rsidRPr="00FB54ED">
        <w:rPr>
          <w:rFonts w:cs="Arial"/>
          <w:sz w:val="26"/>
          <w:szCs w:val="26"/>
          <w:lang w:val="es-ES"/>
        </w:rPr>
        <w:t xml:space="preserve"> Protección Privada 2010) </w:t>
      </w:r>
      <w:r w:rsidRPr="003F6B95">
        <w:rPr>
          <w:rFonts w:cs="Arial"/>
          <w:sz w:val="26"/>
          <w:szCs w:val="26"/>
          <w:lang w:val="es-ES"/>
        </w:rPr>
        <w:t xml:space="preserve">impidió el acceso a </w:t>
      </w:r>
      <w:bookmarkStart w:id="0" w:name="_Hlk78784026"/>
      <w:r w:rsidRPr="003F6B95">
        <w:rPr>
          <w:rFonts w:cs="Arial"/>
          <w:color w:val="FF0000"/>
          <w:sz w:val="26"/>
          <w:szCs w:val="26"/>
          <w:lang w:val="es-ES"/>
        </w:rPr>
        <w:t>JMDF</w:t>
      </w:r>
      <w:r w:rsidRPr="003F6B95">
        <w:rPr>
          <w:rFonts w:cs="Arial"/>
          <w:sz w:val="26"/>
          <w:szCs w:val="26"/>
          <w:lang w:val="es-ES"/>
        </w:rPr>
        <w:t xml:space="preserve"> y </w:t>
      </w:r>
      <w:r w:rsidRPr="003F6B95">
        <w:rPr>
          <w:rFonts w:cs="Arial"/>
          <w:color w:val="FF0000"/>
          <w:sz w:val="26"/>
          <w:szCs w:val="26"/>
          <w:lang w:val="es-ES"/>
        </w:rPr>
        <w:t>AMF</w:t>
      </w:r>
      <w:r w:rsidRPr="003F6B95">
        <w:rPr>
          <w:rFonts w:cs="Arial"/>
          <w:sz w:val="26"/>
          <w:szCs w:val="26"/>
          <w:lang w:val="es-ES"/>
        </w:rPr>
        <w:t xml:space="preserve"> </w:t>
      </w:r>
      <w:r w:rsidR="00B804D6" w:rsidRPr="003F6B95">
        <w:rPr>
          <w:rFonts w:cs="Arial"/>
          <w:sz w:val="26"/>
          <w:szCs w:val="26"/>
          <w:lang w:val="es-ES"/>
        </w:rPr>
        <w:t>a los sanitarios</w:t>
      </w:r>
      <w:r w:rsidR="00961194" w:rsidRPr="003F6B95">
        <w:rPr>
          <w:rFonts w:cs="Arial"/>
          <w:sz w:val="26"/>
          <w:szCs w:val="26"/>
          <w:lang w:val="es-ES"/>
        </w:rPr>
        <w:t xml:space="preserve"> y</w:t>
      </w:r>
      <w:r w:rsidR="00B804D6" w:rsidRPr="003F6B95">
        <w:rPr>
          <w:rFonts w:cs="Arial"/>
          <w:sz w:val="26"/>
          <w:szCs w:val="26"/>
          <w:lang w:val="es-ES"/>
        </w:rPr>
        <w:t xml:space="preserve"> </w:t>
      </w:r>
      <w:r w:rsidR="00E56119" w:rsidRPr="003F6B95">
        <w:rPr>
          <w:rFonts w:cs="Arial"/>
          <w:sz w:val="26"/>
          <w:szCs w:val="26"/>
          <w:lang w:val="es-ES"/>
        </w:rPr>
        <w:t>les solicitó sus identificaciones oficiales</w:t>
      </w:r>
      <w:r w:rsidR="00961194" w:rsidRPr="003F6B95">
        <w:rPr>
          <w:rFonts w:cs="Arial"/>
          <w:sz w:val="26"/>
          <w:szCs w:val="26"/>
          <w:lang w:val="es-ES"/>
        </w:rPr>
        <w:t>. Asimismo,</w:t>
      </w:r>
      <w:r w:rsidR="00E56119" w:rsidRPr="003F6B95">
        <w:rPr>
          <w:rFonts w:cs="Arial"/>
          <w:sz w:val="26"/>
          <w:szCs w:val="26"/>
          <w:lang w:val="es-ES"/>
        </w:rPr>
        <w:t xml:space="preserve"> les señaló que no podían </w:t>
      </w:r>
      <w:r w:rsidR="00A6083D" w:rsidRPr="003F6B95">
        <w:rPr>
          <w:rFonts w:cs="Arial"/>
          <w:sz w:val="26"/>
          <w:szCs w:val="26"/>
          <w:lang w:val="es-ES"/>
        </w:rPr>
        <w:t>acceder</w:t>
      </w:r>
      <w:r w:rsidR="00E56119" w:rsidRPr="003F6B95">
        <w:rPr>
          <w:rFonts w:cs="Arial"/>
          <w:sz w:val="26"/>
          <w:szCs w:val="26"/>
          <w:lang w:val="es-ES"/>
        </w:rPr>
        <w:t xml:space="preserve"> dado que eran “</w:t>
      </w:r>
      <w:bookmarkEnd w:id="0"/>
      <w:r w:rsidR="00E56119" w:rsidRPr="003F6B95">
        <w:rPr>
          <w:rFonts w:cs="Arial"/>
          <w:sz w:val="26"/>
          <w:szCs w:val="26"/>
          <w:lang w:val="es-ES"/>
        </w:rPr>
        <w:t xml:space="preserve">dos </w:t>
      </w:r>
      <w:r w:rsidRPr="003F6B95">
        <w:rPr>
          <w:rFonts w:cs="Arial"/>
          <w:sz w:val="26"/>
          <w:szCs w:val="26"/>
          <w:lang w:val="es-ES"/>
        </w:rPr>
        <w:t>hombres”</w:t>
      </w:r>
      <w:r w:rsidR="008A4FE9" w:rsidRPr="003F6B95">
        <w:rPr>
          <w:rFonts w:cs="Arial"/>
          <w:sz w:val="26"/>
          <w:szCs w:val="26"/>
          <w:lang w:val="es-ES"/>
        </w:rPr>
        <w:t>.</w:t>
      </w:r>
    </w:p>
    <w:p w14:paraId="7E7AC8D5" w14:textId="77777777" w:rsidR="00E728E7" w:rsidRPr="003F6B95" w:rsidRDefault="00E728E7" w:rsidP="00976F09">
      <w:pPr>
        <w:pStyle w:val="corte4fondo"/>
        <w:tabs>
          <w:tab w:val="left" w:pos="0"/>
        </w:tabs>
        <w:ind w:right="51" w:firstLine="0"/>
        <w:rPr>
          <w:rFonts w:cs="Arial"/>
          <w:sz w:val="26"/>
          <w:szCs w:val="26"/>
        </w:rPr>
      </w:pPr>
    </w:p>
    <w:p w14:paraId="11E55401" w14:textId="27C5D5C9" w:rsidR="006958C4" w:rsidRPr="003F6B95" w:rsidRDefault="00E728E7" w:rsidP="003F6B95">
      <w:pPr>
        <w:pStyle w:val="corte4fondo"/>
        <w:numPr>
          <w:ilvl w:val="0"/>
          <w:numId w:val="2"/>
        </w:numPr>
        <w:ind w:left="0" w:right="51" w:hanging="567"/>
        <w:rPr>
          <w:rFonts w:cs="Arial"/>
          <w:sz w:val="26"/>
          <w:szCs w:val="26"/>
        </w:rPr>
      </w:pPr>
      <w:r w:rsidRPr="003F6B95">
        <w:rPr>
          <w:rFonts w:cs="Arial"/>
          <w:sz w:val="26"/>
          <w:szCs w:val="26"/>
          <w:lang w:val="es-ES"/>
        </w:rPr>
        <w:t xml:space="preserve">Después de algunos minutos de discusión, </w:t>
      </w:r>
      <w:r w:rsidRPr="003F6B95">
        <w:rPr>
          <w:rFonts w:cs="Arial"/>
          <w:color w:val="FF0000"/>
          <w:sz w:val="26"/>
          <w:szCs w:val="26"/>
          <w:lang w:val="es-ES"/>
        </w:rPr>
        <w:t>JMDF</w:t>
      </w:r>
      <w:r w:rsidRPr="003F6B95">
        <w:rPr>
          <w:rFonts w:cs="Arial"/>
          <w:sz w:val="26"/>
          <w:szCs w:val="26"/>
          <w:lang w:val="es-ES"/>
        </w:rPr>
        <w:t xml:space="preserve"> y </w:t>
      </w:r>
      <w:r w:rsidRPr="003F6B95">
        <w:rPr>
          <w:rFonts w:cs="Arial"/>
          <w:color w:val="FF0000"/>
          <w:sz w:val="26"/>
          <w:szCs w:val="26"/>
          <w:lang w:val="es-ES"/>
        </w:rPr>
        <w:t>AMF</w:t>
      </w:r>
      <w:r w:rsidRPr="003F6B95">
        <w:rPr>
          <w:rFonts w:cs="Arial"/>
          <w:sz w:val="26"/>
          <w:szCs w:val="26"/>
          <w:lang w:val="es-ES"/>
        </w:rPr>
        <w:t xml:space="preserve"> lograron ingresar</w:t>
      </w:r>
      <w:r w:rsidR="00AE363A" w:rsidRPr="003F6B95">
        <w:rPr>
          <w:rFonts w:cs="Arial"/>
          <w:sz w:val="26"/>
          <w:szCs w:val="26"/>
          <w:lang w:val="es-ES"/>
        </w:rPr>
        <w:t>. N</w:t>
      </w:r>
      <w:r w:rsidRPr="003F6B95">
        <w:rPr>
          <w:rFonts w:cs="Arial"/>
          <w:sz w:val="26"/>
          <w:szCs w:val="26"/>
          <w:lang w:val="es-ES"/>
        </w:rPr>
        <w:t xml:space="preserve">o obstante, </w:t>
      </w:r>
      <w:r w:rsidR="00AE363A" w:rsidRPr="003F6B95">
        <w:rPr>
          <w:rFonts w:cs="Arial"/>
          <w:sz w:val="26"/>
          <w:szCs w:val="26"/>
          <w:lang w:val="es-ES"/>
        </w:rPr>
        <w:t>al encontrarse</w:t>
      </w:r>
      <w:r w:rsidRPr="003F6B95">
        <w:rPr>
          <w:rFonts w:cs="Arial"/>
          <w:sz w:val="26"/>
          <w:szCs w:val="26"/>
          <w:lang w:val="es-ES"/>
        </w:rPr>
        <w:t xml:space="preserve"> en el interior de</w:t>
      </w:r>
      <w:r w:rsidR="00AA2E08" w:rsidRPr="003F6B95">
        <w:rPr>
          <w:rFonts w:cs="Arial"/>
          <w:sz w:val="26"/>
          <w:szCs w:val="26"/>
          <w:lang w:val="es-ES"/>
        </w:rPr>
        <w:t xml:space="preserve"> los</w:t>
      </w:r>
      <w:r w:rsidRPr="003F6B95">
        <w:rPr>
          <w:rFonts w:cs="Arial"/>
          <w:sz w:val="26"/>
          <w:szCs w:val="26"/>
          <w:lang w:val="es-ES"/>
        </w:rPr>
        <w:t xml:space="preserve"> </w:t>
      </w:r>
      <w:r w:rsidR="00287D39">
        <w:rPr>
          <w:rFonts w:cs="Arial"/>
          <w:sz w:val="26"/>
          <w:szCs w:val="26"/>
          <w:lang w:val="es-ES"/>
        </w:rPr>
        <w:t>sanitarios</w:t>
      </w:r>
      <w:r w:rsidRPr="003F6B95">
        <w:rPr>
          <w:rFonts w:cs="Arial"/>
          <w:sz w:val="26"/>
          <w:szCs w:val="26"/>
          <w:lang w:val="es-ES"/>
        </w:rPr>
        <w:t xml:space="preserve"> </w:t>
      </w:r>
      <w:r w:rsidR="0081687D" w:rsidRPr="003F6B95">
        <w:rPr>
          <w:rFonts w:cs="Arial"/>
          <w:sz w:val="26"/>
          <w:szCs w:val="26"/>
          <w:lang w:val="es-ES"/>
        </w:rPr>
        <w:t xml:space="preserve">se percataron </w:t>
      </w:r>
      <w:r w:rsidRPr="003F6B95">
        <w:rPr>
          <w:rFonts w:cs="Arial"/>
          <w:sz w:val="26"/>
          <w:szCs w:val="26"/>
          <w:lang w:val="es-ES"/>
        </w:rPr>
        <w:t xml:space="preserve">de que el personal de seguridad </w:t>
      </w:r>
      <w:r w:rsidR="00AE363A" w:rsidRPr="003F6B95">
        <w:rPr>
          <w:rFonts w:cs="Arial"/>
          <w:sz w:val="26"/>
          <w:szCs w:val="26"/>
          <w:lang w:val="es-ES"/>
        </w:rPr>
        <w:t xml:space="preserve">y </w:t>
      </w:r>
      <w:r w:rsidRPr="003F6B95">
        <w:rPr>
          <w:rFonts w:cs="Arial"/>
          <w:sz w:val="26"/>
          <w:szCs w:val="26"/>
          <w:lang w:val="es-ES"/>
        </w:rPr>
        <w:t>de limpieza de</w:t>
      </w:r>
      <w:r w:rsidR="00AE363A" w:rsidRPr="003F6B95">
        <w:rPr>
          <w:rFonts w:cs="Arial"/>
          <w:sz w:val="26"/>
          <w:szCs w:val="26"/>
          <w:lang w:val="es-ES"/>
        </w:rPr>
        <w:t xml:space="preserve">l centro </w:t>
      </w:r>
      <w:r w:rsidRPr="003F6B95">
        <w:rPr>
          <w:rFonts w:cs="Arial"/>
          <w:sz w:val="26"/>
          <w:szCs w:val="26"/>
          <w:lang w:val="es-ES"/>
        </w:rPr>
        <w:t xml:space="preserve">comercial </w:t>
      </w:r>
      <w:r w:rsidR="00573E94" w:rsidRPr="003F6B95">
        <w:rPr>
          <w:rFonts w:cs="Arial"/>
          <w:sz w:val="26"/>
          <w:szCs w:val="26"/>
          <w:lang w:val="es-ES"/>
        </w:rPr>
        <w:t>advertía a otras mujeres que no debían entrar, por</w:t>
      </w:r>
      <w:r w:rsidRPr="003F6B95">
        <w:rPr>
          <w:rFonts w:cs="Arial"/>
          <w:sz w:val="26"/>
          <w:szCs w:val="26"/>
          <w:lang w:val="es-ES"/>
        </w:rPr>
        <w:t xml:space="preserve">que “había dos hombres en el baño”. </w:t>
      </w:r>
      <w:r w:rsidR="006958C4" w:rsidRPr="003F6B95">
        <w:rPr>
          <w:rFonts w:cs="Arial"/>
          <w:sz w:val="26"/>
          <w:szCs w:val="26"/>
          <w:lang w:val="es-ES"/>
        </w:rPr>
        <w:t>Esto desató insultos en contra de las dos mujeres, por parte de los presentes en el lugar.</w:t>
      </w:r>
    </w:p>
    <w:p w14:paraId="76ECBADA" w14:textId="77777777" w:rsidR="007C0448" w:rsidRPr="003F6B95" w:rsidRDefault="007C0448" w:rsidP="00976F09">
      <w:pPr>
        <w:pStyle w:val="corte4fondo"/>
        <w:tabs>
          <w:tab w:val="left" w:pos="0"/>
        </w:tabs>
        <w:ind w:right="51" w:firstLine="0"/>
        <w:rPr>
          <w:rFonts w:cs="Arial"/>
          <w:sz w:val="26"/>
          <w:szCs w:val="26"/>
        </w:rPr>
      </w:pPr>
    </w:p>
    <w:p w14:paraId="4E858627" w14:textId="5A196AF1" w:rsidR="00362B7B" w:rsidRPr="003F6B95" w:rsidRDefault="007C0448" w:rsidP="1A9D0C58">
      <w:pPr>
        <w:pStyle w:val="corte4fondo"/>
        <w:numPr>
          <w:ilvl w:val="0"/>
          <w:numId w:val="2"/>
        </w:numPr>
        <w:ind w:left="0" w:right="51" w:hanging="567"/>
        <w:rPr>
          <w:rFonts w:cs="Arial"/>
          <w:sz w:val="26"/>
          <w:szCs w:val="26"/>
          <w:lang w:val="es-ES"/>
        </w:rPr>
      </w:pPr>
      <w:r w:rsidRPr="003F6B95">
        <w:rPr>
          <w:rFonts w:cs="Arial"/>
          <w:sz w:val="26"/>
          <w:szCs w:val="26"/>
          <w:lang w:val="es-ES"/>
        </w:rPr>
        <w:t xml:space="preserve">Inmediatamente </w:t>
      </w:r>
      <w:r w:rsidR="006E7A39" w:rsidRPr="003F6B95">
        <w:rPr>
          <w:rFonts w:cs="Arial"/>
          <w:sz w:val="26"/>
          <w:szCs w:val="26"/>
          <w:lang w:val="es-ES"/>
        </w:rPr>
        <w:t xml:space="preserve">después, </w:t>
      </w:r>
      <w:bookmarkStart w:id="1" w:name="_Hlk78882421"/>
      <w:r w:rsidR="006E7A39" w:rsidRPr="003F6B95">
        <w:rPr>
          <w:rFonts w:cs="Arial"/>
          <w:color w:val="FF0000"/>
          <w:sz w:val="26"/>
          <w:szCs w:val="26"/>
          <w:lang w:val="es-ES"/>
        </w:rPr>
        <w:t>LNGB</w:t>
      </w:r>
      <w:r w:rsidR="006E7A39" w:rsidRPr="003F6B95">
        <w:rPr>
          <w:rFonts w:cs="Arial"/>
          <w:sz w:val="26"/>
          <w:szCs w:val="26"/>
          <w:lang w:val="es-ES"/>
        </w:rPr>
        <w:t xml:space="preserve"> y </w:t>
      </w:r>
      <w:r w:rsidR="006E7A39" w:rsidRPr="003F6B95">
        <w:rPr>
          <w:rFonts w:cs="Arial"/>
          <w:color w:val="FF0000"/>
          <w:sz w:val="26"/>
          <w:szCs w:val="26"/>
          <w:lang w:val="es-ES"/>
        </w:rPr>
        <w:t>RJBB</w:t>
      </w:r>
      <w:r w:rsidR="006E7A39" w:rsidRPr="003F6B95">
        <w:rPr>
          <w:rFonts w:cs="Arial"/>
          <w:sz w:val="26"/>
          <w:szCs w:val="26"/>
          <w:lang w:val="es-ES"/>
        </w:rPr>
        <w:t xml:space="preserve"> se</w:t>
      </w:r>
      <w:r w:rsidRPr="003F6B95">
        <w:rPr>
          <w:rFonts w:cs="Arial"/>
          <w:sz w:val="26"/>
          <w:szCs w:val="26"/>
          <w:lang w:val="es-ES"/>
        </w:rPr>
        <w:t xml:space="preserve"> reunieron con </w:t>
      </w:r>
      <w:r w:rsidR="006E7A39" w:rsidRPr="003F6B95">
        <w:rPr>
          <w:rFonts w:cs="Arial"/>
          <w:sz w:val="26"/>
          <w:szCs w:val="26"/>
          <w:lang w:val="es-ES"/>
        </w:rPr>
        <w:t xml:space="preserve">las señoras </w:t>
      </w:r>
      <w:r w:rsidR="006E7A39" w:rsidRPr="003F6B95">
        <w:rPr>
          <w:rFonts w:cs="Arial"/>
          <w:color w:val="FF0000"/>
          <w:sz w:val="26"/>
          <w:szCs w:val="26"/>
          <w:lang w:val="es-ES"/>
        </w:rPr>
        <w:t>DF</w:t>
      </w:r>
      <w:r w:rsidR="006E7A39" w:rsidRPr="003F6B95">
        <w:rPr>
          <w:rFonts w:cs="Arial"/>
          <w:sz w:val="26"/>
          <w:szCs w:val="26"/>
          <w:lang w:val="es-ES"/>
        </w:rPr>
        <w:t xml:space="preserve"> y </w:t>
      </w:r>
      <w:r w:rsidR="006E7A39" w:rsidRPr="003F6B95">
        <w:rPr>
          <w:rFonts w:cs="Arial"/>
          <w:color w:val="FF0000"/>
          <w:sz w:val="26"/>
          <w:szCs w:val="26"/>
          <w:lang w:val="es-ES"/>
        </w:rPr>
        <w:t xml:space="preserve">MF </w:t>
      </w:r>
      <w:r w:rsidR="006E7A39" w:rsidRPr="003F6B95">
        <w:rPr>
          <w:rFonts w:cs="Arial"/>
          <w:sz w:val="26"/>
          <w:szCs w:val="26"/>
          <w:lang w:val="es-ES"/>
        </w:rPr>
        <w:t>en el área de sanitarios</w:t>
      </w:r>
      <w:r w:rsidR="003471A3" w:rsidRPr="003F6B95">
        <w:rPr>
          <w:rFonts w:cs="Arial"/>
          <w:sz w:val="26"/>
          <w:szCs w:val="26"/>
          <w:lang w:val="es-ES"/>
        </w:rPr>
        <w:t>, y también fueron objeto de agresiones por parte del personal de seguridad y de limpieza</w:t>
      </w:r>
      <w:r w:rsidR="006E7A39" w:rsidRPr="003F6B95">
        <w:rPr>
          <w:rFonts w:cs="Arial"/>
          <w:sz w:val="26"/>
          <w:szCs w:val="26"/>
          <w:lang w:val="es-ES"/>
        </w:rPr>
        <w:t>.</w:t>
      </w:r>
      <w:r w:rsidR="006E7A39" w:rsidRPr="003F6B95">
        <w:rPr>
          <w:rFonts w:cs="Arial"/>
          <w:color w:val="FF0000"/>
          <w:sz w:val="26"/>
          <w:szCs w:val="26"/>
          <w:lang w:val="es-ES"/>
        </w:rPr>
        <w:t xml:space="preserve"> </w:t>
      </w:r>
      <w:bookmarkEnd w:id="1"/>
      <w:r w:rsidR="009B3469" w:rsidRPr="003F6B95">
        <w:rPr>
          <w:rFonts w:cs="Arial"/>
          <w:color w:val="000000" w:themeColor="text1"/>
          <w:sz w:val="26"/>
          <w:szCs w:val="26"/>
          <w:lang w:val="es-ES"/>
        </w:rPr>
        <w:t>Por ello, las</w:t>
      </w:r>
      <w:r w:rsidR="003471A3" w:rsidRPr="003F6B95">
        <w:rPr>
          <w:rFonts w:cs="Arial"/>
          <w:color w:val="000000" w:themeColor="text1"/>
          <w:sz w:val="26"/>
          <w:szCs w:val="26"/>
          <w:lang w:val="es-ES"/>
        </w:rPr>
        <w:t xml:space="preserve"> cuatro personas</w:t>
      </w:r>
      <w:r w:rsidRPr="003F6B95">
        <w:rPr>
          <w:rFonts w:cs="Arial"/>
          <w:color w:val="000000" w:themeColor="text1"/>
          <w:sz w:val="26"/>
          <w:szCs w:val="26"/>
          <w:lang w:val="es-ES"/>
        </w:rPr>
        <w:t xml:space="preserve"> acudieron </w:t>
      </w:r>
      <w:r w:rsidRPr="003F6B95">
        <w:rPr>
          <w:rFonts w:cs="Arial"/>
          <w:sz w:val="26"/>
          <w:szCs w:val="26"/>
          <w:lang w:val="es-ES"/>
        </w:rPr>
        <w:t>a</w:t>
      </w:r>
      <w:r w:rsidR="00DB2045" w:rsidRPr="003F6B95">
        <w:rPr>
          <w:rFonts w:cs="Arial"/>
          <w:sz w:val="26"/>
          <w:szCs w:val="26"/>
          <w:lang w:val="es-ES"/>
        </w:rPr>
        <w:t xml:space="preserve">l </w:t>
      </w:r>
      <w:r w:rsidRPr="003F6B95">
        <w:rPr>
          <w:rFonts w:cs="Arial"/>
          <w:sz w:val="26"/>
          <w:szCs w:val="26"/>
          <w:lang w:val="es-ES"/>
        </w:rPr>
        <w:t xml:space="preserve">módulo </w:t>
      </w:r>
      <w:r w:rsidR="009B3469" w:rsidRPr="003F6B95">
        <w:rPr>
          <w:rFonts w:cs="Arial"/>
          <w:sz w:val="26"/>
          <w:szCs w:val="26"/>
          <w:lang w:val="es-ES"/>
        </w:rPr>
        <w:t>de quejas del centro comercial “</w:t>
      </w:r>
      <w:r w:rsidR="009B3469" w:rsidRPr="00FB54ED">
        <w:rPr>
          <w:rFonts w:cs="Arial"/>
          <w:sz w:val="26"/>
          <w:szCs w:val="26"/>
          <w:lang w:val="es-ES"/>
        </w:rPr>
        <w:t>Reforma 222</w:t>
      </w:r>
      <w:r w:rsidR="009B3469" w:rsidRPr="003F6B95">
        <w:rPr>
          <w:rFonts w:cs="Arial"/>
          <w:sz w:val="26"/>
          <w:szCs w:val="26"/>
          <w:lang w:val="es-ES"/>
        </w:rPr>
        <w:t>”</w:t>
      </w:r>
      <w:r w:rsidR="00260834" w:rsidRPr="003F6B95">
        <w:rPr>
          <w:rFonts w:cs="Arial"/>
          <w:sz w:val="26"/>
          <w:szCs w:val="26"/>
          <w:lang w:val="es-ES"/>
        </w:rPr>
        <w:t>,</w:t>
      </w:r>
      <w:r w:rsidRPr="003F6B95">
        <w:rPr>
          <w:rFonts w:cs="Arial"/>
          <w:sz w:val="26"/>
          <w:szCs w:val="26"/>
          <w:lang w:val="es-ES"/>
        </w:rPr>
        <w:t xml:space="preserve"> para levantar una queja. </w:t>
      </w:r>
    </w:p>
    <w:p w14:paraId="22D1903C" w14:textId="77777777" w:rsidR="00362B7B" w:rsidRPr="003F6B95" w:rsidRDefault="00362B7B" w:rsidP="00976F09">
      <w:pPr>
        <w:pStyle w:val="corte4fondo"/>
        <w:tabs>
          <w:tab w:val="left" w:pos="0"/>
        </w:tabs>
        <w:ind w:right="51" w:firstLine="0"/>
        <w:rPr>
          <w:rFonts w:cs="Arial"/>
          <w:sz w:val="26"/>
          <w:szCs w:val="26"/>
        </w:rPr>
      </w:pPr>
    </w:p>
    <w:p w14:paraId="32B42A9D" w14:textId="3D1AEC9E" w:rsidR="00456F1C" w:rsidRPr="003F6B95" w:rsidRDefault="00362B7B" w:rsidP="00EC4800">
      <w:pPr>
        <w:pStyle w:val="corte4fondo"/>
        <w:numPr>
          <w:ilvl w:val="0"/>
          <w:numId w:val="2"/>
        </w:numPr>
        <w:tabs>
          <w:tab w:val="left" w:pos="0"/>
        </w:tabs>
        <w:ind w:left="0" w:right="51" w:hanging="567"/>
        <w:rPr>
          <w:rFonts w:cs="Arial"/>
          <w:sz w:val="26"/>
          <w:szCs w:val="26"/>
        </w:rPr>
      </w:pPr>
      <w:r w:rsidRPr="003F6B95">
        <w:rPr>
          <w:rFonts w:cs="Arial"/>
          <w:sz w:val="26"/>
          <w:szCs w:val="26"/>
        </w:rPr>
        <w:lastRenderedPageBreak/>
        <w:t xml:space="preserve">En dicho módulo, las partes recibieron un trato indiferente y agresivo ante la denuncia de los actos discriminatorios que acababan de suscitarse. Incluso, las personas fueron rodeadas de forma intimidatoria por los elementos de seguridad del centro comercial. </w:t>
      </w:r>
      <w:r w:rsidR="003C05DD" w:rsidRPr="003F6B95">
        <w:rPr>
          <w:rFonts w:cs="Arial"/>
          <w:sz w:val="26"/>
          <w:szCs w:val="26"/>
        </w:rPr>
        <w:t>En consecuencia, el grupo decidió retirarse del lugar.</w:t>
      </w:r>
    </w:p>
    <w:p w14:paraId="5EC9E87D" w14:textId="77777777" w:rsidR="00885B96" w:rsidRPr="003F6B95" w:rsidRDefault="00885B96" w:rsidP="00976F09">
      <w:pPr>
        <w:pStyle w:val="corte4fondo"/>
        <w:tabs>
          <w:tab w:val="left" w:pos="0"/>
        </w:tabs>
        <w:ind w:right="51" w:firstLine="0"/>
        <w:rPr>
          <w:rFonts w:cs="Arial"/>
          <w:b/>
          <w:bCs/>
          <w:sz w:val="26"/>
          <w:szCs w:val="26"/>
        </w:rPr>
      </w:pPr>
    </w:p>
    <w:p w14:paraId="3E6C6479" w14:textId="1993ABA9" w:rsidR="00885B96" w:rsidRPr="003F6B95" w:rsidRDefault="00885B96" w:rsidP="1A9D0C58">
      <w:pPr>
        <w:pStyle w:val="corte4fondo"/>
        <w:numPr>
          <w:ilvl w:val="0"/>
          <w:numId w:val="2"/>
        </w:numPr>
        <w:ind w:left="0" w:right="51" w:hanging="567"/>
        <w:rPr>
          <w:rFonts w:cs="Arial"/>
          <w:sz w:val="26"/>
          <w:szCs w:val="26"/>
          <w:lang w:val="es-ES"/>
        </w:rPr>
      </w:pPr>
      <w:r w:rsidRPr="003F6B95">
        <w:rPr>
          <w:rFonts w:cs="Arial"/>
          <w:b/>
          <w:sz w:val="26"/>
          <w:szCs w:val="26"/>
          <w:lang w:val="es-ES"/>
        </w:rPr>
        <w:t xml:space="preserve">Procedimiento ante </w:t>
      </w:r>
      <w:r w:rsidR="00C64352" w:rsidRPr="003F6B95">
        <w:rPr>
          <w:rFonts w:cs="Arial"/>
          <w:b/>
          <w:sz w:val="26"/>
          <w:szCs w:val="26"/>
          <w:lang w:val="es-ES"/>
        </w:rPr>
        <w:t xml:space="preserve">el </w:t>
      </w:r>
      <w:r w:rsidRPr="003F6B95">
        <w:rPr>
          <w:rFonts w:cs="Arial"/>
          <w:b/>
          <w:sz w:val="26"/>
          <w:szCs w:val="26"/>
          <w:lang w:val="es-ES"/>
        </w:rPr>
        <w:t xml:space="preserve">COPRED. </w:t>
      </w:r>
      <w:r w:rsidR="00456F1C" w:rsidRPr="003F6B95">
        <w:rPr>
          <w:rFonts w:cs="Arial"/>
          <w:sz w:val="26"/>
          <w:szCs w:val="26"/>
          <w:lang w:val="es-ES"/>
        </w:rPr>
        <w:t>Dos días después, e</w:t>
      </w:r>
      <w:r w:rsidRPr="003F6B95">
        <w:rPr>
          <w:rFonts w:cs="Arial"/>
          <w:sz w:val="26"/>
          <w:szCs w:val="26"/>
          <w:lang w:val="es-ES"/>
        </w:rPr>
        <w:t xml:space="preserve">l </w:t>
      </w:r>
      <w:r w:rsidR="000D7384" w:rsidRPr="003F6B95">
        <w:rPr>
          <w:rFonts w:cs="Arial"/>
          <w:sz w:val="26"/>
          <w:szCs w:val="26"/>
          <w:lang w:val="es-ES"/>
        </w:rPr>
        <w:t xml:space="preserve">27 </w:t>
      </w:r>
      <w:r w:rsidRPr="003F6B95">
        <w:rPr>
          <w:rFonts w:cs="Arial"/>
          <w:sz w:val="26"/>
          <w:szCs w:val="26"/>
          <w:lang w:val="es-ES"/>
        </w:rPr>
        <w:t xml:space="preserve">de noviembre de </w:t>
      </w:r>
      <w:r w:rsidR="000D7384" w:rsidRPr="003F6B95">
        <w:rPr>
          <w:rFonts w:cs="Arial"/>
          <w:sz w:val="26"/>
          <w:szCs w:val="26"/>
          <w:lang w:val="es-ES"/>
        </w:rPr>
        <w:t>2015</w:t>
      </w:r>
      <w:r w:rsidRPr="003F6B95">
        <w:rPr>
          <w:rFonts w:cs="Arial"/>
          <w:sz w:val="26"/>
          <w:szCs w:val="26"/>
          <w:lang w:val="es-ES"/>
        </w:rPr>
        <w:t xml:space="preserve">, </w:t>
      </w:r>
      <w:r w:rsidRPr="003F6B95">
        <w:rPr>
          <w:rFonts w:cs="Arial"/>
          <w:color w:val="FF0000"/>
          <w:sz w:val="26"/>
          <w:szCs w:val="26"/>
          <w:lang w:val="es-ES"/>
        </w:rPr>
        <w:t>JMDF</w:t>
      </w:r>
      <w:r w:rsidRPr="003F6B95">
        <w:rPr>
          <w:rFonts w:cs="Arial"/>
          <w:sz w:val="26"/>
          <w:szCs w:val="26"/>
          <w:lang w:val="es-ES"/>
        </w:rPr>
        <w:t xml:space="preserve">, </w:t>
      </w:r>
      <w:r w:rsidRPr="003F6B95">
        <w:rPr>
          <w:rFonts w:cs="Arial"/>
          <w:color w:val="FF0000"/>
          <w:sz w:val="26"/>
          <w:szCs w:val="26"/>
          <w:lang w:val="es-ES"/>
        </w:rPr>
        <w:t xml:space="preserve">AMF </w:t>
      </w:r>
      <w:r w:rsidRPr="003F6B95">
        <w:rPr>
          <w:rFonts w:cs="Arial"/>
          <w:sz w:val="26"/>
          <w:szCs w:val="26"/>
          <w:lang w:val="es-ES"/>
        </w:rPr>
        <w:t xml:space="preserve">y </w:t>
      </w:r>
      <w:r w:rsidRPr="003F6B95">
        <w:rPr>
          <w:rFonts w:cs="Arial"/>
          <w:color w:val="FF0000"/>
          <w:sz w:val="26"/>
          <w:szCs w:val="26"/>
          <w:lang w:val="es-ES"/>
        </w:rPr>
        <w:t>LNGB</w:t>
      </w:r>
      <w:r w:rsidRPr="003F6B95">
        <w:rPr>
          <w:rFonts w:cs="Arial"/>
          <w:sz w:val="26"/>
          <w:szCs w:val="26"/>
          <w:lang w:val="es-ES"/>
        </w:rPr>
        <w:t xml:space="preserve"> presentaron una queja ante el Consejo para Prevenir y Eliminar la Discriminación </w:t>
      </w:r>
      <w:r w:rsidR="0098036F" w:rsidRPr="003F6B95">
        <w:rPr>
          <w:rFonts w:cs="Arial"/>
          <w:sz w:val="26"/>
          <w:szCs w:val="26"/>
          <w:lang w:val="es-ES"/>
        </w:rPr>
        <w:t>de la</w:t>
      </w:r>
      <w:r w:rsidRPr="003F6B95">
        <w:rPr>
          <w:rFonts w:cs="Arial"/>
          <w:sz w:val="26"/>
          <w:szCs w:val="26"/>
          <w:lang w:val="es-ES"/>
        </w:rPr>
        <w:t xml:space="preserve"> Ciudad de México (en adelante COPRED). En dicha queja señalaron como presuntos responsables al “representante legal de la </w:t>
      </w:r>
      <w:r w:rsidRPr="005229E1">
        <w:rPr>
          <w:rFonts w:cs="Arial"/>
          <w:sz w:val="26"/>
          <w:szCs w:val="26"/>
          <w:lang w:val="es-ES"/>
        </w:rPr>
        <w:t>Plaza Reforma 222” y al “representante legal de la empresa de seguridad privada”, y narraron los actos presuntamente discriminatorios materia de la inconformidad. Ese mismo día se admitió a trámite la queja por la</w:t>
      </w:r>
      <w:r w:rsidR="0098036F" w:rsidRPr="005229E1">
        <w:rPr>
          <w:rFonts w:cs="Arial"/>
          <w:sz w:val="26"/>
          <w:szCs w:val="26"/>
          <w:lang w:val="es-ES"/>
        </w:rPr>
        <w:t xml:space="preserve"> presunta comisión</w:t>
      </w:r>
      <w:r w:rsidRPr="005229E1">
        <w:rPr>
          <w:rFonts w:cs="Arial"/>
          <w:sz w:val="26"/>
          <w:szCs w:val="26"/>
          <w:lang w:val="es-ES"/>
        </w:rPr>
        <w:t xml:space="preserve"> </w:t>
      </w:r>
      <w:r w:rsidR="0098036F" w:rsidRPr="005229E1">
        <w:rPr>
          <w:rFonts w:cs="Arial"/>
          <w:sz w:val="26"/>
          <w:szCs w:val="26"/>
          <w:lang w:val="es-ES"/>
        </w:rPr>
        <w:t>de un</w:t>
      </w:r>
      <w:r w:rsidRPr="005229E1">
        <w:rPr>
          <w:rFonts w:cs="Arial"/>
          <w:sz w:val="26"/>
          <w:szCs w:val="26"/>
          <w:lang w:val="es-ES"/>
        </w:rPr>
        <w:t xml:space="preserve"> acto de discriminación</w:t>
      </w:r>
      <w:r w:rsidR="0098036F" w:rsidRPr="005229E1">
        <w:rPr>
          <w:rFonts w:cs="Arial"/>
          <w:sz w:val="26"/>
          <w:szCs w:val="26"/>
          <w:lang w:val="es-ES"/>
        </w:rPr>
        <w:t>;</w:t>
      </w:r>
      <w:r w:rsidRPr="005229E1">
        <w:rPr>
          <w:rFonts w:cs="Arial"/>
          <w:sz w:val="26"/>
          <w:szCs w:val="26"/>
          <w:lang w:val="es-ES"/>
        </w:rPr>
        <w:t xml:space="preserve"> se le asignó el número de expediente COPRED/DCND/Q-140-2015</w:t>
      </w:r>
      <w:r w:rsidR="00260834" w:rsidRPr="005229E1">
        <w:rPr>
          <w:rFonts w:cs="Arial"/>
          <w:sz w:val="26"/>
          <w:szCs w:val="26"/>
          <w:lang w:val="es-ES"/>
        </w:rPr>
        <w:t xml:space="preserve">, </w:t>
      </w:r>
      <w:r w:rsidRPr="005229E1">
        <w:rPr>
          <w:rFonts w:cs="Arial"/>
          <w:sz w:val="26"/>
          <w:szCs w:val="26"/>
          <w:lang w:val="es-ES"/>
        </w:rPr>
        <w:t xml:space="preserve">y se dio </w:t>
      </w:r>
      <w:r w:rsidRPr="003F6B95">
        <w:rPr>
          <w:rFonts w:cs="Arial"/>
          <w:sz w:val="26"/>
          <w:szCs w:val="26"/>
          <w:lang w:val="es-ES"/>
        </w:rPr>
        <w:t xml:space="preserve">inicio al procedimiento conciliatorio. </w:t>
      </w:r>
    </w:p>
    <w:p w14:paraId="5CE5BE4A" w14:textId="77777777" w:rsidR="00F73161" w:rsidRPr="003F6B95" w:rsidRDefault="00F73161" w:rsidP="00976F09">
      <w:pPr>
        <w:pStyle w:val="corte4fondo"/>
        <w:tabs>
          <w:tab w:val="left" w:pos="0"/>
        </w:tabs>
        <w:ind w:right="51" w:firstLine="0"/>
        <w:rPr>
          <w:rFonts w:cs="Arial"/>
          <w:b/>
          <w:bCs/>
          <w:sz w:val="26"/>
          <w:szCs w:val="26"/>
        </w:rPr>
      </w:pPr>
    </w:p>
    <w:p w14:paraId="5B97520E" w14:textId="62C149ED" w:rsidR="00EB64ED" w:rsidRPr="003F6B95" w:rsidRDefault="00F73161" w:rsidP="00EC4800">
      <w:pPr>
        <w:pStyle w:val="corte4fondo"/>
        <w:numPr>
          <w:ilvl w:val="0"/>
          <w:numId w:val="2"/>
        </w:numPr>
        <w:tabs>
          <w:tab w:val="left" w:pos="0"/>
        </w:tabs>
        <w:ind w:left="0" w:right="51" w:hanging="567"/>
        <w:rPr>
          <w:rFonts w:cs="Arial"/>
          <w:sz w:val="26"/>
          <w:szCs w:val="26"/>
        </w:rPr>
      </w:pPr>
      <w:r w:rsidRPr="003F6B95">
        <w:rPr>
          <w:rFonts w:cs="Arial"/>
          <w:sz w:val="26"/>
          <w:szCs w:val="26"/>
        </w:rPr>
        <w:t xml:space="preserve">El </w:t>
      </w:r>
      <w:r w:rsidR="00AD12E4" w:rsidRPr="003F6B95">
        <w:rPr>
          <w:rFonts w:cs="Arial"/>
          <w:sz w:val="26"/>
          <w:szCs w:val="26"/>
        </w:rPr>
        <w:t xml:space="preserve">21 </w:t>
      </w:r>
      <w:r w:rsidRPr="003F6B95">
        <w:rPr>
          <w:rFonts w:cs="Arial"/>
          <w:sz w:val="26"/>
          <w:szCs w:val="26"/>
        </w:rPr>
        <w:t>de enero de</w:t>
      </w:r>
      <w:r w:rsidR="00AD12E4" w:rsidRPr="003F6B95">
        <w:rPr>
          <w:rFonts w:cs="Arial"/>
          <w:sz w:val="26"/>
          <w:szCs w:val="26"/>
        </w:rPr>
        <w:t xml:space="preserve"> 2016</w:t>
      </w:r>
      <w:r w:rsidRPr="003F6B95">
        <w:rPr>
          <w:rFonts w:cs="Arial"/>
          <w:sz w:val="26"/>
          <w:szCs w:val="26"/>
        </w:rPr>
        <w:t xml:space="preserve"> se llevó a cabo la audiencia de conciliación a que se refiere</w:t>
      </w:r>
      <w:r w:rsidR="00751FDA" w:rsidRPr="003F6B95">
        <w:rPr>
          <w:rFonts w:cs="Arial"/>
          <w:sz w:val="26"/>
          <w:szCs w:val="26"/>
        </w:rPr>
        <w:t>n los</w:t>
      </w:r>
      <w:r w:rsidRPr="003F6B95">
        <w:rPr>
          <w:rFonts w:cs="Arial"/>
          <w:sz w:val="26"/>
          <w:szCs w:val="26"/>
        </w:rPr>
        <w:t xml:space="preserve"> artículo</w:t>
      </w:r>
      <w:r w:rsidR="00751FDA" w:rsidRPr="003F6B95">
        <w:rPr>
          <w:rFonts w:cs="Arial"/>
          <w:sz w:val="26"/>
          <w:szCs w:val="26"/>
        </w:rPr>
        <w:t>s 73 y</w:t>
      </w:r>
      <w:r w:rsidRPr="003F6B95">
        <w:rPr>
          <w:rFonts w:cs="Arial"/>
          <w:sz w:val="26"/>
          <w:szCs w:val="26"/>
        </w:rPr>
        <w:t xml:space="preserve"> 74 de la Ley para Prevenir y Eliminar la Discriminación </w:t>
      </w:r>
      <w:r w:rsidR="00751FDA" w:rsidRPr="003F6B95">
        <w:rPr>
          <w:rFonts w:cs="Arial"/>
          <w:sz w:val="26"/>
          <w:szCs w:val="26"/>
        </w:rPr>
        <w:t>del Distrito Federal</w:t>
      </w:r>
      <w:r w:rsidR="00C851A1" w:rsidRPr="003F6B95">
        <w:rPr>
          <w:rStyle w:val="Refdenotaalpie"/>
          <w:rFonts w:cs="Arial"/>
          <w:sz w:val="26"/>
          <w:szCs w:val="26"/>
        </w:rPr>
        <w:footnoteReference w:id="5"/>
      </w:r>
      <w:r w:rsidR="00802FA8" w:rsidRPr="003F6B95">
        <w:rPr>
          <w:rFonts w:cs="Arial"/>
          <w:sz w:val="26"/>
          <w:szCs w:val="26"/>
        </w:rPr>
        <w:t>.</w:t>
      </w:r>
      <w:r w:rsidRPr="003F6B95">
        <w:rPr>
          <w:rFonts w:cs="Arial"/>
          <w:sz w:val="26"/>
          <w:szCs w:val="26"/>
        </w:rPr>
        <w:t xml:space="preserve"> </w:t>
      </w:r>
      <w:r w:rsidR="00802FA8" w:rsidRPr="005229E1">
        <w:rPr>
          <w:rFonts w:cs="Arial"/>
          <w:sz w:val="26"/>
          <w:szCs w:val="26"/>
        </w:rPr>
        <w:t xml:space="preserve">A dicha audiencia </w:t>
      </w:r>
      <w:r w:rsidRPr="005229E1">
        <w:rPr>
          <w:rFonts w:cs="Arial"/>
          <w:sz w:val="26"/>
          <w:szCs w:val="26"/>
        </w:rPr>
        <w:t>acudieron los representantes de las personas morales Protección Privada 2010 y Reforma 222,</w:t>
      </w:r>
      <w:r w:rsidR="00775C1C" w:rsidRPr="005229E1">
        <w:rPr>
          <w:rFonts w:cs="Arial"/>
          <w:sz w:val="26"/>
          <w:szCs w:val="26"/>
        </w:rPr>
        <w:t xml:space="preserve"> Sociedad Anónima de Capital Variable</w:t>
      </w:r>
      <w:r w:rsidR="00802FA8" w:rsidRPr="005229E1">
        <w:rPr>
          <w:rFonts w:cs="Arial"/>
          <w:sz w:val="26"/>
          <w:szCs w:val="26"/>
        </w:rPr>
        <w:t xml:space="preserve"> </w:t>
      </w:r>
      <w:r w:rsidRPr="005229E1">
        <w:rPr>
          <w:rFonts w:cs="Arial"/>
          <w:sz w:val="26"/>
          <w:szCs w:val="26"/>
        </w:rPr>
        <w:t>(en adelante</w:t>
      </w:r>
      <w:r w:rsidR="00775C1C" w:rsidRPr="005229E1">
        <w:rPr>
          <w:rFonts w:cs="Arial"/>
          <w:sz w:val="26"/>
          <w:szCs w:val="26"/>
        </w:rPr>
        <w:t>,</w:t>
      </w:r>
      <w:r w:rsidRPr="005229E1">
        <w:rPr>
          <w:rFonts w:cs="Arial"/>
          <w:sz w:val="26"/>
          <w:szCs w:val="26"/>
        </w:rPr>
        <w:t xml:space="preserve"> Reforma 222</w:t>
      </w:r>
      <w:r w:rsidRPr="003F6B95">
        <w:rPr>
          <w:rFonts w:cs="Arial"/>
          <w:sz w:val="26"/>
          <w:szCs w:val="26"/>
        </w:rPr>
        <w:t>)</w:t>
      </w:r>
      <w:r w:rsidR="00802FA8" w:rsidRPr="003F6B95">
        <w:rPr>
          <w:rFonts w:cs="Arial"/>
          <w:sz w:val="26"/>
          <w:szCs w:val="26"/>
        </w:rPr>
        <w:t xml:space="preserve"> y las </w:t>
      </w:r>
      <w:r w:rsidRPr="003F6B95">
        <w:rPr>
          <w:rFonts w:cs="Arial"/>
          <w:sz w:val="26"/>
          <w:szCs w:val="26"/>
        </w:rPr>
        <w:t xml:space="preserve">querellantes. </w:t>
      </w:r>
      <w:r w:rsidR="00D85416" w:rsidRPr="003F6B95">
        <w:rPr>
          <w:rFonts w:cs="Arial"/>
          <w:sz w:val="26"/>
          <w:szCs w:val="26"/>
        </w:rPr>
        <w:t>La</w:t>
      </w:r>
      <w:r w:rsidRPr="003F6B95">
        <w:rPr>
          <w:rFonts w:cs="Arial"/>
          <w:sz w:val="26"/>
          <w:szCs w:val="26"/>
        </w:rPr>
        <w:t>s partes llegaron a un acuerdo</w:t>
      </w:r>
      <w:r w:rsidR="008E4C43" w:rsidRPr="003F6B95">
        <w:rPr>
          <w:rFonts w:cs="Arial"/>
          <w:sz w:val="26"/>
          <w:szCs w:val="26"/>
        </w:rPr>
        <w:t>,</w:t>
      </w:r>
      <w:r w:rsidRPr="003F6B95">
        <w:rPr>
          <w:rFonts w:cs="Arial"/>
          <w:sz w:val="26"/>
          <w:szCs w:val="26"/>
        </w:rPr>
        <w:t xml:space="preserve"> en el que las empresas se comprometieron a</w:t>
      </w:r>
      <w:r w:rsidR="00D85416" w:rsidRPr="003F6B95">
        <w:rPr>
          <w:rFonts w:cs="Arial"/>
          <w:sz w:val="26"/>
          <w:szCs w:val="26"/>
        </w:rPr>
        <w:t xml:space="preserve"> lo </w:t>
      </w:r>
      <w:r w:rsidR="00574BE6" w:rsidRPr="003F6B95">
        <w:rPr>
          <w:rFonts w:cs="Arial"/>
          <w:sz w:val="26"/>
          <w:szCs w:val="26"/>
        </w:rPr>
        <w:t>siguiente</w:t>
      </w:r>
      <w:r w:rsidRPr="003F6B95">
        <w:rPr>
          <w:rFonts w:cs="Arial"/>
          <w:sz w:val="26"/>
          <w:szCs w:val="26"/>
        </w:rPr>
        <w:t xml:space="preserve">: </w:t>
      </w:r>
    </w:p>
    <w:p w14:paraId="5733BB47" w14:textId="77777777" w:rsidR="00EB64ED" w:rsidRPr="003F6B95" w:rsidRDefault="00EB64ED" w:rsidP="00EB64ED">
      <w:pPr>
        <w:pStyle w:val="Prrafodelista"/>
        <w:rPr>
          <w:rFonts w:ascii="Arial" w:hAnsi="Arial" w:cs="Arial"/>
          <w:sz w:val="26"/>
          <w:szCs w:val="26"/>
        </w:rPr>
      </w:pPr>
    </w:p>
    <w:p w14:paraId="03F1563A" w14:textId="297DA3D1" w:rsidR="00EB64ED" w:rsidRPr="003F6B95" w:rsidRDefault="00EB64ED" w:rsidP="00EC4800">
      <w:pPr>
        <w:pStyle w:val="corte4fondo"/>
        <w:numPr>
          <w:ilvl w:val="0"/>
          <w:numId w:val="9"/>
        </w:numPr>
        <w:tabs>
          <w:tab w:val="left" w:pos="0"/>
        </w:tabs>
        <w:ind w:right="51"/>
        <w:rPr>
          <w:rFonts w:cs="Arial"/>
          <w:sz w:val="24"/>
          <w:szCs w:val="24"/>
        </w:rPr>
      </w:pPr>
      <w:r w:rsidRPr="003F6B95">
        <w:rPr>
          <w:rFonts w:cs="Arial"/>
          <w:sz w:val="24"/>
          <w:szCs w:val="24"/>
        </w:rPr>
        <w:t>R</w:t>
      </w:r>
      <w:r w:rsidR="00F73161" w:rsidRPr="003F6B95">
        <w:rPr>
          <w:rFonts w:cs="Arial"/>
          <w:sz w:val="24"/>
          <w:szCs w:val="24"/>
        </w:rPr>
        <w:t>ealizar una disculpa pública en el medio de comunicación impreso de mayor circulación en la entidad</w:t>
      </w:r>
      <w:r w:rsidRPr="003F6B95">
        <w:rPr>
          <w:rFonts w:cs="Arial"/>
          <w:sz w:val="24"/>
          <w:szCs w:val="24"/>
        </w:rPr>
        <w:t>.</w:t>
      </w:r>
    </w:p>
    <w:p w14:paraId="7427E457" w14:textId="77777777" w:rsidR="00EB64ED" w:rsidRPr="003F6B95" w:rsidRDefault="00EB64ED" w:rsidP="00EC4800">
      <w:pPr>
        <w:pStyle w:val="corte4fondo"/>
        <w:numPr>
          <w:ilvl w:val="0"/>
          <w:numId w:val="9"/>
        </w:numPr>
        <w:tabs>
          <w:tab w:val="left" w:pos="0"/>
        </w:tabs>
        <w:ind w:right="51"/>
        <w:rPr>
          <w:rFonts w:cs="Arial"/>
          <w:sz w:val="24"/>
          <w:szCs w:val="24"/>
        </w:rPr>
      </w:pPr>
      <w:r w:rsidRPr="003F6B95">
        <w:rPr>
          <w:rFonts w:cs="Arial"/>
          <w:sz w:val="24"/>
          <w:szCs w:val="24"/>
        </w:rPr>
        <w:t>C</w:t>
      </w:r>
      <w:r w:rsidR="00F73161" w:rsidRPr="003F6B95">
        <w:rPr>
          <w:rFonts w:cs="Arial"/>
          <w:sz w:val="24"/>
          <w:szCs w:val="24"/>
        </w:rPr>
        <w:t>apacitar al personal de seguridad, de administración y de atención al público en el tema de no discriminación y derechos humanos</w:t>
      </w:r>
      <w:r w:rsidRPr="003F6B95">
        <w:rPr>
          <w:rFonts w:cs="Arial"/>
          <w:sz w:val="24"/>
          <w:szCs w:val="24"/>
        </w:rPr>
        <w:t>.</w:t>
      </w:r>
    </w:p>
    <w:p w14:paraId="5C1A4452" w14:textId="77777777" w:rsidR="00EB64ED" w:rsidRPr="003F6B95" w:rsidRDefault="00EB64ED" w:rsidP="00EC4800">
      <w:pPr>
        <w:pStyle w:val="corte4fondo"/>
        <w:numPr>
          <w:ilvl w:val="0"/>
          <w:numId w:val="9"/>
        </w:numPr>
        <w:tabs>
          <w:tab w:val="left" w:pos="0"/>
        </w:tabs>
        <w:ind w:right="51"/>
        <w:rPr>
          <w:rFonts w:cs="Arial"/>
          <w:sz w:val="24"/>
          <w:szCs w:val="24"/>
        </w:rPr>
      </w:pPr>
      <w:r w:rsidRPr="003F6B95">
        <w:rPr>
          <w:rFonts w:cs="Arial"/>
          <w:sz w:val="24"/>
          <w:szCs w:val="24"/>
        </w:rPr>
        <w:t>R</w:t>
      </w:r>
      <w:r w:rsidR="00F73161" w:rsidRPr="003F6B95">
        <w:rPr>
          <w:rFonts w:cs="Arial"/>
          <w:sz w:val="24"/>
          <w:szCs w:val="24"/>
        </w:rPr>
        <w:t>eforzar el área de atención de quejas del centro comercial</w:t>
      </w:r>
      <w:r w:rsidRPr="003F6B95">
        <w:rPr>
          <w:rFonts w:cs="Arial"/>
          <w:sz w:val="24"/>
          <w:szCs w:val="24"/>
        </w:rPr>
        <w:t xml:space="preserve">. </w:t>
      </w:r>
    </w:p>
    <w:p w14:paraId="3E52BF66" w14:textId="77777777" w:rsidR="00EB64ED" w:rsidRPr="003F6B95" w:rsidRDefault="00EB64ED" w:rsidP="00EC4800">
      <w:pPr>
        <w:pStyle w:val="corte4fondo"/>
        <w:numPr>
          <w:ilvl w:val="0"/>
          <w:numId w:val="9"/>
        </w:numPr>
        <w:tabs>
          <w:tab w:val="left" w:pos="0"/>
        </w:tabs>
        <w:ind w:right="51"/>
        <w:rPr>
          <w:rFonts w:cs="Arial"/>
          <w:sz w:val="24"/>
          <w:szCs w:val="24"/>
        </w:rPr>
      </w:pPr>
      <w:r w:rsidRPr="003F6B95">
        <w:rPr>
          <w:rFonts w:cs="Arial"/>
          <w:sz w:val="24"/>
          <w:szCs w:val="24"/>
        </w:rPr>
        <w:lastRenderedPageBreak/>
        <w:t>C</w:t>
      </w:r>
      <w:r w:rsidR="00F73161" w:rsidRPr="003F6B95">
        <w:rPr>
          <w:rFonts w:cs="Arial"/>
          <w:sz w:val="24"/>
          <w:szCs w:val="24"/>
        </w:rPr>
        <w:t>olocar una placa con una leyenda de no discriminación en sus instalaciones</w:t>
      </w:r>
      <w:r w:rsidRPr="003F6B95">
        <w:rPr>
          <w:rFonts w:cs="Arial"/>
          <w:sz w:val="24"/>
          <w:szCs w:val="24"/>
        </w:rPr>
        <w:t>.</w:t>
      </w:r>
    </w:p>
    <w:p w14:paraId="61999B40" w14:textId="2A2EDFB1" w:rsidR="00F73161" w:rsidRPr="003F6B95" w:rsidRDefault="00EB64ED" w:rsidP="00EC4800">
      <w:pPr>
        <w:pStyle w:val="corte4fondo"/>
        <w:numPr>
          <w:ilvl w:val="0"/>
          <w:numId w:val="9"/>
        </w:numPr>
        <w:tabs>
          <w:tab w:val="left" w:pos="0"/>
        </w:tabs>
        <w:ind w:right="51"/>
        <w:rPr>
          <w:rFonts w:cs="Arial"/>
          <w:sz w:val="24"/>
          <w:szCs w:val="24"/>
        </w:rPr>
      </w:pPr>
      <w:r w:rsidRPr="003F6B95">
        <w:rPr>
          <w:rFonts w:cs="Arial"/>
          <w:sz w:val="24"/>
          <w:szCs w:val="24"/>
        </w:rPr>
        <w:t>R</w:t>
      </w:r>
      <w:r w:rsidR="00F73161" w:rsidRPr="003F6B95">
        <w:rPr>
          <w:rFonts w:cs="Arial"/>
          <w:sz w:val="24"/>
          <w:szCs w:val="24"/>
        </w:rPr>
        <w:t xml:space="preserve">evisar la procedencia de la reparación económica para las personas afectadas por un monto </w:t>
      </w:r>
      <w:r w:rsidR="00F73161" w:rsidRPr="005229E1">
        <w:rPr>
          <w:rFonts w:cs="Arial"/>
          <w:sz w:val="24"/>
          <w:szCs w:val="24"/>
        </w:rPr>
        <w:t xml:space="preserve">de $160,000.00 (ciento sesenta mil pesos), por los </w:t>
      </w:r>
      <w:r w:rsidR="00F73161" w:rsidRPr="003F6B95">
        <w:rPr>
          <w:rFonts w:cs="Arial"/>
          <w:sz w:val="24"/>
          <w:szCs w:val="24"/>
        </w:rPr>
        <w:t>daños psicológicos sufridos derivados de los tratos discriminatorios que resintieron.</w:t>
      </w:r>
    </w:p>
    <w:p w14:paraId="0BC76D9D" w14:textId="77777777" w:rsidR="00D9249F" w:rsidRPr="003F6B95" w:rsidRDefault="00D9249F" w:rsidP="00D9249F">
      <w:pPr>
        <w:pStyle w:val="corte4fondo"/>
        <w:tabs>
          <w:tab w:val="left" w:pos="0"/>
        </w:tabs>
        <w:ind w:right="51" w:firstLine="0"/>
        <w:rPr>
          <w:rFonts w:cs="Arial"/>
          <w:sz w:val="26"/>
          <w:szCs w:val="26"/>
        </w:rPr>
      </w:pPr>
    </w:p>
    <w:p w14:paraId="1A32D8CE" w14:textId="1117490E" w:rsidR="00D9249F" w:rsidRPr="003F6B95" w:rsidRDefault="00D9249F" w:rsidP="1A9D0C58">
      <w:pPr>
        <w:pStyle w:val="corte4fondo"/>
        <w:numPr>
          <w:ilvl w:val="0"/>
          <w:numId w:val="2"/>
        </w:numPr>
        <w:ind w:left="0" w:right="51" w:hanging="567"/>
        <w:rPr>
          <w:rFonts w:cs="Arial"/>
          <w:sz w:val="26"/>
          <w:szCs w:val="26"/>
          <w:lang w:val="es-ES"/>
        </w:rPr>
      </w:pPr>
      <w:r w:rsidRPr="003F6B95">
        <w:rPr>
          <w:rFonts w:cs="Arial"/>
          <w:sz w:val="26"/>
          <w:szCs w:val="26"/>
          <w:lang w:val="es-ES"/>
        </w:rPr>
        <w:t xml:space="preserve">El </w:t>
      </w:r>
      <w:r w:rsidR="00C64352" w:rsidRPr="003F6B95">
        <w:rPr>
          <w:rFonts w:cs="Arial"/>
          <w:sz w:val="26"/>
          <w:szCs w:val="26"/>
          <w:lang w:val="es-ES"/>
        </w:rPr>
        <w:t xml:space="preserve">24 </w:t>
      </w:r>
      <w:r w:rsidRPr="003F6B95">
        <w:rPr>
          <w:rFonts w:cs="Arial"/>
          <w:sz w:val="26"/>
          <w:szCs w:val="26"/>
          <w:lang w:val="es-ES"/>
        </w:rPr>
        <w:t xml:space="preserve">de agosto de </w:t>
      </w:r>
      <w:r w:rsidR="00C64352" w:rsidRPr="003F6B95">
        <w:rPr>
          <w:rFonts w:cs="Arial"/>
          <w:sz w:val="26"/>
          <w:szCs w:val="26"/>
          <w:lang w:val="es-ES"/>
        </w:rPr>
        <w:t>2017</w:t>
      </w:r>
      <w:r w:rsidRPr="003F6B95">
        <w:rPr>
          <w:rFonts w:cs="Arial"/>
          <w:sz w:val="26"/>
          <w:szCs w:val="26"/>
          <w:lang w:val="es-ES"/>
        </w:rPr>
        <w:t xml:space="preserve">, </w:t>
      </w:r>
      <w:r w:rsidR="008C3DCF" w:rsidRPr="003F6B95">
        <w:rPr>
          <w:rFonts w:cs="Arial"/>
          <w:sz w:val="26"/>
          <w:szCs w:val="26"/>
          <w:lang w:val="es-ES"/>
        </w:rPr>
        <w:t xml:space="preserve">el </w:t>
      </w:r>
      <w:r w:rsidRPr="003F6B95">
        <w:rPr>
          <w:rFonts w:cs="Arial"/>
          <w:sz w:val="26"/>
          <w:szCs w:val="26"/>
          <w:lang w:val="es-ES"/>
        </w:rPr>
        <w:t>COPRED emitió un acuerdo de conclusión en el que tuvo por cumplidos los primeros cuatro puntos del convenio celebrado en la audiencia de conciliación, m</w:t>
      </w:r>
      <w:r w:rsidR="00741D09">
        <w:rPr>
          <w:rFonts w:cs="Arial"/>
          <w:sz w:val="26"/>
          <w:szCs w:val="26"/>
          <w:lang w:val="es-ES"/>
        </w:rPr>
        <w:t>a</w:t>
      </w:r>
      <w:r w:rsidRPr="003F6B95">
        <w:rPr>
          <w:rFonts w:cs="Arial"/>
          <w:sz w:val="26"/>
          <w:szCs w:val="26"/>
          <w:lang w:val="es-ES"/>
        </w:rPr>
        <w:t xml:space="preserve">s no el punto </w:t>
      </w:r>
      <w:r w:rsidR="00BF57E0" w:rsidRPr="003F6B95">
        <w:rPr>
          <w:rFonts w:cs="Arial"/>
          <w:sz w:val="26"/>
          <w:szCs w:val="26"/>
          <w:lang w:val="es-ES"/>
        </w:rPr>
        <w:t xml:space="preserve">cinco, </w:t>
      </w:r>
      <w:r w:rsidRPr="003F6B95">
        <w:rPr>
          <w:rFonts w:cs="Arial"/>
          <w:sz w:val="26"/>
          <w:szCs w:val="26"/>
          <w:lang w:val="es-ES"/>
        </w:rPr>
        <w:t xml:space="preserve">asociado a la reparación económica. Al no haber acuerdo respecto </w:t>
      </w:r>
      <w:r w:rsidR="00813539" w:rsidRPr="003F6B95">
        <w:rPr>
          <w:rFonts w:cs="Arial"/>
          <w:sz w:val="26"/>
          <w:szCs w:val="26"/>
          <w:lang w:val="es-ES"/>
        </w:rPr>
        <w:t xml:space="preserve">del pago de </w:t>
      </w:r>
      <w:r w:rsidRPr="003F6B95">
        <w:rPr>
          <w:rFonts w:cs="Arial"/>
          <w:sz w:val="26"/>
          <w:szCs w:val="26"/>
          <w:lang w:val="es-ES"/>
        </w:rPr>
        <w:t xml:space="preserve">la indemnización económica, </w:t>
      </w:r>
      <w:r w:rsidR="008C3DCF" w:rsidRPr="003F6B95">
        <w:rPr>
          <w:rFonts w:cs="Arial"/>
          <w:sz w:val="26"/>
          <w:szCs w:val="26"/>
          <w:lang w:val="es-ES"/>
        </w:rPr>
        <w:t xml:space="preserve">el </w:t>
      </w:r>
      <w:r w:rsidRPr="003F6B95">
        <w:rPr>
          <w:rFonts w:cs="Arial"/>
          <w:sz w:val="26"/>
          <w:szCs w:val="26"/>
          <w:lang w:val="es-ES"/>
        </w:rPr>
        <w:t>COPRED dejó a salvo los derechos de las partes</w:t>
      </w:r>
      <w:r w:rsidR="00C64352" w:rsidRPr="003F6B95">
        <w:rPr>
          <w:rFonts w:cs="Arial"/>
          <w:sz w:val="26"/>
          <w:szCs w:val="26"/>
          <w:lang w:val="es-ES"/>
        </w:rPr>
        <w:t>,</w:t>
      </w:r>
      <w:r w:rsidRPr="003F6B95">
        <w:rPr>
          <w:rFonts w:cs="Arial"/>
          <w:sz w:val="26"/>
          <w:szCs w:val="26"/>
          <w:lang w:val="es-ES"/>
        </w:rPr>
        <w:t xml:space="preserve"> para hacerlos valer en la vía que consideraran procedente</w:t>
      </w:r>
      <w:r w:rsidR="00635FC6" w:rsidRPr="003F6B95">
        <w:rPr>
          <w:rStyle w:val="Refdenotaalpie"/>
          <w:rFonts w:cs="Arial"/>
          <w:sz w:val="26"/>
          <w:szCs w:val="26"/>
          <w:lang w:val="es-ES"/>
        </w:rPr>
        <w:footnoteReference w:id="6"/>
      </w:r>
      <w:r w:rsidRPr="003F6B95">
        <w:rPr>
          <w:rFonts w:cs="Arial"/>
          <w:sz w:val="26"/>
          <w:szCs w:val="26"/>
          <w:lang w:val="es-ES"/>
        </w:rPr>
        <w:t>.</w:t>
      </w:r>
    </w:p>
    <w:p w14:paraId="5DAE47D3" w14:textId="77777777" w:rsidR="00364962" w:rsidRPr="003F6B95" w:rsidRDefault="00364962" w:rsidP="00364962">
      <w:pPr>
        <w:pStyle w:val="corte4fondo"/>
        <w:tabs>
          <w:tab w:val="left" w:pos="0"/>
        </w:tabs>
        <w:ind w:right="51" w:firstLine="0"/>
        <w:rPr>
          <w:rFonts w:cs="Arial"/>
          <w:sz w:val="26"/>
          <w:szCs w:val="26"/>
        </w:rPr>
      </w:pPr>
    </w:p>
    <w:p w14:paraId="788230D5" w14:textId="41523680" w:rsidR="00635FC6" w:rsidRPr="003F6B95" w:rsidRDefault="00364962" w:rsidP="1A9D0C58">
      <w:pPr>
        <w:pStyle w:val="corte4fondo"/>
        <w:numPr>
          <w:ilvl w:val="0"/>
          <w:numId w:val="2"/>
        </w:numPr>
        <w:ind w:left="0" w:right="51" w:hanging="567"/>
        <w:rPr>
          <w:rFonts w:cs="Arial"/>
          <w:sz w:val="26"/>
          <w:szCs w:val="26"/>
          <w:lang w:val="es-ES"/>
        </w:rPr>
      </w:pPr>
      <w:r w:rsidRPr="003F6B95">
        <w:rPr>
          <w:rFonts w:cs="Arial"/>
          <w:b/>
          <w:sz w:val="26"/>
          <w:szCs w:val="26"/>
          <w:lang w:val="es-ES"/>
        </w:rPr>
        <w:t>Juicio ordinario civil</w:t>
      </w:r>
      <w:r w:rsidR="006F5E27" w:rsidRPr="003F6B95">
        <w:rPr>
          <w:rFonts w:cs="Arial"/>
          <w:b/>
          <w:sz w:val="26"/>
          <w:szCs w:val="26"/>
          <w:lang w:val="es-ES"/>
        </w:rPr>
        <w:t xml:space="preserve"> </w:t>
      </w:r>
      <w:r w:rsidR="001E31BA" w:rsidRPr="003F6B95">
        <w:rPr>
          <w:rFonts w:cs="Arial"/>
          <w:b/>
          <w:sz w:val="26"/>
          <w:szCs w:val="26"/>
          <w:lang w:val="es-ES"/>
        </w:rPr>
        <w:t>1137/2017</w:t>
      </w:r>
      <w:r w:rsidRPr="003F6B95">
        <w:rPr>
          <w:rFonts w:cs="Arial"/>
          <w:b/>
          <w:sz w:val="26"/>
          <w:szCs w:val="26"/>
          <w:lang w:val="es-ES"/>
        </w:rPr>
        <w:t>.</w:t>
      </w:r>
      <w:r w:rsidRPr="003F6B95">
        <w:rPr>
          <w:rFonts w:cs="Arial"/>
          <w:sz w:val="26"/>
          <w:szCs w:val="26"/>
          <w:lang w:val="es-ES"/>
        </w:rPr>
        <w:t xml:space="preserve"> El </w:t>
      </w:r>
      <w:r w:rsidR="00C64352" w:rsidRPr="003F6B95">
        <w:rPr>
          <w:rFonts w:cs="Arial"/>
          <w:sz w:val="26"/>
          <w:szCs w:val="26"/>
          <w:lang w:val="es-ES"/>
        </w:rPr>
        <w:t xml:space="preserve">24 </w:t>
      </w:r>
      <w:r w:rsidRPr="003F6B95">
        <w:rPr>
          <w:rFonts w:cs="Arial"/>
          <w:sz w:val="26"/>
          <w:szCs w:val="26"/>
          <w:lang w:val="es-ES"/>
        </w:rPr>
        <w:t xml:space="preserve">de noviembre de </w:t>
      </w:r>
      <w:r w:rsidR="00C64352" w:rsidRPr="003F6B95">
        <w:rPr>
          <w:rFonts w:cs="Arial"/>
          <w:sz w:val="26"/>
          <w:szCs w:val="26"/>
          <w:lang w:val="es-ES"/>
        </w:rPr>
        <w:t>2017</w:t>
      </w:r>
      <w:r w:rsidRPr="003F6B95">
        <w:rPr>
          <w:rFonts w:cs="Arial"/>
          <w:sz w:val="26"/>
          <w:szCs w:val="26"/>
          <w:lang w:val="es-ES"/>
        </w:rPr>
        <w:t xml:space="preserve">, </w:t>
      </w:r>
      <w:r w:rsidRPr="003F6B95">
        <w:rPr>
          <w:rFonts w:cs="Arial"/>
          <w:color w:val="FF0000"/>
          <w:sz w:val="26"/>
          <w:szCs w:val="26"/>
          <w:lang w:val="es-ES"/>
        </w:rPr>
        <w:t>JMDF</w:t>
      </w:r>
      <w:r w:rsidRPr="003F6B95">
        <w:rPr>
          <w:rFonts w:cs="Arial"/>
          <w:sz w:val="26"/>
          <w:szCs w:val="26"/>
          <w:lang w:val="es-ES"/>
        </w:rPr>
        <w:t xml:space="preserve"> y </w:t>
      </w:r>
      <w:r w:rsidRPr="003F6B95">
        <w:rPr>
          <w:rFonts w:cs="Arial"/>
          <w:color w:val="FF0000"/>
          <w:sz w:val="26"/>
          <w:szCs w:val="26"/>
          <w:lang w:val="es-ES"/>
        </w:rPr>
        <w:t xml:space="preserve">LNGB </w:t>
      </w:r>
      <w:r w:rsidRPr="003F6B95">
        <w:rPr>
          <w:rFonts w:cs="Arial"/>
          <w:sz w:val="26"/>
          <w:szCs w:val="26"/>
          <w:lang w:val="es-ES"/>
        </w:rPr>
        <w:t xml:space="preserve">demandaron en la vía ordinaria civil a </w:t>
      </w:r>
      <w:r w:rsidR="0068272C" w:rsidRPr="003F6B95">
        <w:rPr>
          <w:rFonts w:cs="Arial"/>
          <w:sz w:val="26"/>
          <w:szCs w:val="26"/>
          <w:lang w:val="es-ES"/>
        </w:rPr>
        <w:t>“</w:t>
      </w:r>
      <w:r w:rsidRPr="005229E1">
        <w:rPr>
          <w:rFonts w:cs="Arial"/>
          <w:sz w:val="26"/>
          <w:szCs w:val="26"/>
          <w:lang w:val="es-ES"/>
        </w:rPr>
        <w:t xml:space="preserve">Grupo Danhos, </w:t>
      </w:r>
      <w:r w:rsidR="00775C1C" w:rsidRPr="005229E1">
        <w:rPr>
          <w:rFonts w:cs="Arial"/>
          <w:sz w:val="26"/>
          <w:szCs w:val="26"/>
          <w:lang w:val="es-ES"/>
        </w:rPr>
        <w:t>Sociedad Anónima de Capital Variable</w:t>
      </w:r>
      <w:r w:rsidR="0068272C" w:rsidRPr="005229E1">
        <w:rPr>
          <w:rFonts w:cs="Arial"/>
          <w:sz w:val="26"/>
          <w:szCs w:val="26"/>
          <w:lang w:val="es-ES"/>
        </w:rPr>
        <w:t>”</w:t>
      </w:r>
      <w:r w:rsidRPr="005229E1">
        <w:rPr>
          <w:rFonts w:cs="Arial"/>
          <w:sz w:val="26"/>
          <w:szCs w:val="26"/>
          <w:lang w:val="es-ES"/>
        </w:rPr>
        <w:t xml:space="preserve"> (en adelante</w:t>
      </w:r>
      <w:r w:rsidR="00775C1C" w:rsidRPr="005229E1">
        <w:rPr>
          <w:rFonts w:cs="Arial"/>
          <w:sz w:val="26"/>
          <w:szCs w:val="26"/>
          <w:lang w:val="es-ES"/>
        </w:rPr>
        <w:t>,</w:t>
      </w:r>
      <w:r w:rsidRPr="005229E1">
        <w:rPr>
          <w:rFonts w:cs="Arial"/>
          <w:sz w:val="26"/>
          <w:szCs w:val="26"/>
          <w:lang w:val="es-ES"/>
        </w:rPr>
        <w:t xml:space="preserve"> </w:t>
      </w:r>
      <w:r w:rsidR="00DC7967" w:rsidRPr="005229E1">
        <w:rPr>
          <w:rFonts w:cs="Arial"/>
          <w:sz w:val="26"/>
          <w:szCs w:val="26"/>
          <w:lang w:val="es-ES"/>
        </w:rPr>
        <w:t>“</w:t>
      </w:r>
      <w:r w:rsidRPr="005229E1">
        <w:rPr>
          <w:rFonts w:cs="Arial"/>
          <w:sz w:val="26"/>
          <w:szCs w:val="26"/>
          <w:lang w:val="es-ES"/>
        </w:rPr>
        <w:t>Grupo Danhos</w:t>
      </w:r>
      <w:r w:rsidR="00DC7967" w:rsidRPr="005229E1">
        <w:rPr>
          <w:rFonts w:cs="Arial"/>
          <w:sz w:val="26"/>
          <w:szCs w:val="26"/>
          <w:lang w:val="es-ES"/>
        </w:rPr>
        <w:t>”</w:t>
      </w:r>
      <w:r w:rsidRPr="005229E1">
        <w:rPr>
          <w:rFonts w:cs="Arial"/>
          <w:sz w:val="26"/>
          <w:szCs w:val="26"/>
          <w:lang w:val="es-ES"/>
        </w:rPr>
        <w:t>), Reforma 222 y Protección Privada 2010</w:t>
      </w:r>
      <w:r w:rsidR="00862FE1" w:rsidRPr="005229E1">
        <w:rPr>
          <w:rFonts w:cs="Arial"/>
          <w:sz w:val="26"/>
          <w:szCs w:val="26"/>
          <w:lang w:val="es-ES"/>
        </w:rPr>
        <w:t xml:space="preserve">. </w:t>
      </w:r>
      <w:r w:rsidR="00862FE1" w:rsidRPr="003F6B95">
        <w:rPr>
          <w:rFonts w:cs="Arial"/>
          <w:sz w:val="26"/>
          <w:szCs w:val="26"/>
          <w:lang w:val="es-ES"/>
        </w:rPr>
        <w:t>Las actoras reclamaron de las empresas</w:t>
      </w:r>
      <w:r w:rsidRPr="003F6B95">
        <w:rPr>
          <w:rFonts w:cs="Arial"/>
          <w:sz w:val="26"/>
          <w:szCs w:val="26"/>
          <w:lang w:val="es-ES"/>
        </w:rPr>
        <w:t xml:space="preserve"> la reparación integral del daño por la violación de sus derechos a la igualdad y no discriminación, libre desarrollo de la personalidad </w:t>
      </w:r>
      <w:r w:rsidR="005C521B" w:rsidRPr="003F6B95">
        <w:rPr>
          <w:rFonts w:cs="Arial"/>
          <w:sz w:val="26"/>
          <w:szCs w:val="26"/>
          <w:lang w:val="es-ES"/>
        </w:rPr>
        <w:t xml:space="preserve">e </w:t>
      </w:r>
      <w:r w:rsidRPr="003F6B95">
        <w:rPr>
          <w:rFonts w:cs="Arial"/>
          <w:sz w:val="26"/>
          <w:szCs w:val="26"/>
          <w:lang w:val="es-ES"/>
        </w:rPr>
        <w:t>identidad y expresión de género</w:t>
      </w:r>
      <w:r w:rsidR="005C521B" w:rsidRPr="003F6B95">
        <w:rPr>
          <w:rFonts w:cs="Arial"/>
          <w:sz w:val="26"/>
          <w:szCs w:val="26"/>
          <w:lang w:val="es-ES"/>
        </w:rPr>
        <w:t>,</w:t>
      </w:r>
      <w:r w:rsidRPr="003F6B95">
        <w:rPr>
          <w:rFonts w:cs="Arial"/>
          <w:sz w:val="26"/>
          <w:szCs w:val="26"/>
          <w:lang w:val="es-ES"/>
        </w:rPr>
        <w:t xml:space="preserve"> derivada de los actos discriminatorios cometidos el </w:t>
      </w:r>
      <w:r w:rsidR="005C521B" w:rsidRPr="003F6B95">
        <w:rPr>
          <w:rFonts w:cs="Arial"/>
          <w:sz w:val="26"/>
          <w:szCs w:val="26"/>
          <w:lang w:val="es-ES"/>
        </w:rPr>
        <w:t xml:space="preserve">25 </w:t>
      </w:r>
      <w:r w:rsidRPr="003F6B95">
        <w:rPr>
          <w:rFonts w:cs="Arial"/>
          <w:sz w:val="26"/>
          <w:szCs w:val="26"/>
          <w:lang w:val="es-ES"/>
        </w:rPr>
        <w:t xml:space="preserve">de noviembre de </w:t>
      </w:r>
      <w:r w:rsidR="005C521B" w:rsidRPr="003F6B95">
        <w:rPr>
          <w:rFonts w:cs="Arial"/>
          <w:sz w:val="26"/>
          <w:szCs w:val="26"/>
          <w:lang w:val="es-ES"/>
        </w:rPr>
        <w:t>2015</w:t>
      </w:r>
      <w:r w:rsidR="00903969" w:rsidRPr="003F6B95">
        <w:rPr>
          <w:rFonts w:cs="Arial"/>
          <w:sz w:val="26"/>
          <w:szCs w:val="26"/>
          <w:lang w:val="es-ES"/>
        </w:rPr>
        <w:t>. En su escrito de demanda inicial, las quejosas solicitaron las prestaciones siguientes:</w:t>
      </w:r>
    </w:p>
    <w:p w14:paraId="2BF5AA7C" w14:textId="77777777" w:rsidR="00924E7D" w:rsidRPr="003F6B95" w:rsidRDefault="00924E7D" w:rsidP="00976F09">
      <w:pPr>
        <w:pStyle w:val="corte4fondo"/>
        <w:tabs>
          <w:tab w:val="left" w:pos="0"/>
        </w:tabs>
        <w:ind w:left="720" w:right="51" w:firstLine="0"/>
        <w:rPr>
          <w:rFonts w:cs="Arial"/>
          <w:sz w:val="24"/>
          <w:szCs w:val="24"/>
        </w:rPr>
      </w:pPr>
    </w:p>
    <w:p w14:paraId="4FFE70AE" w14:textId="2049029B" w:rsidR="00635FC6" w:rsidRPr="003F6B95" w:rsidRDefault="00635FC6" w:rsidP="00976F09">
      <w:pPr>
        <w:pStyle w:val="corte4fondo"/>
        <w:numPr>
          <w:ilvl w:val="0"/>
          <w:numId w:val="18"/>
        </w:numPr>
        <w:tabs>
          <w:tab w:val="left" w:pos="0"/>
        </w:tabs>
        <w:ind w:right="51"/>
        <w:rPr>
          <w:rFonts w:cs="Arial"/>
          <w:sz w:val="24"/>
          <w:szCs w:val="24"/>
        </w:rPr>
      </w:pPr>
      <w:r w:rsidRPr="003F6B95">
        <w:rPr>
          <w:rFonts w:cs="Arial"/>
          <w:sz w:val="24"/>
          <w:szCs w:val="24"/>
        </w:rPr>
        <w:t>La declaración judicial de que las demandadas cometieron actos de discriminación por razón de género que transgredieron los derechos humanos de las demandantes (medida de satisfacción).</w:t>
      </w:r>
    </w:p>
    <w:p w14:paraId="396C469B" w14:textId="5AC4CFBA" w:rsidR="00635FC6" w:rsidRPr="003F6B95" w:rsidRDefault="00635FC6" w:rsidP="00976F09">
      <w:pPr>
        <w:pStyle w:val="corte4fondo"/>
        <w:numPr>
          <w:ilvl w:val="0"/>
          <w:numId w:val="18"/>
        </w:numPr>
        <w:tabs>
          <w:tab w:val="left" w:pos="0"/>
        </w:tabs>
        <w:ind w:right="51"/>
        <w:rPr>
          <w:rFonts w:cs="Arial"/>
          <w:sz w:val="24"/>
          <w:szCs w:val="24"/>
        </w:rPr>
      </w:pPr>
      <w:r w:rsidRPr="005229E1">
        <w:rPr>
          <w:rFonts w:cs="Arial"/>
          <w:sz w:val="24"/>
          <w:szCs w:val="24"/>
        </w:rPr>
        <w:t xml:space="preserve">La realización de un evento público en las instalaciones del centro comercial “Reforma 222” en </w:t>
      </w:r>
      <w:r w:rsidRPr="003F6B95">
        <w:rPr>
          <w:rFonts w:cs="Arial"/>
          <w:sz w:val="24"/>
          <w:szCs w:val="24"/>
        </w:rPr>
        <w:t>el que se les pidiera una disculpa pública y se difundieran los derechos de las personas</w:t>
      </w:r>
      <w:r w:rsidRPr="003F6B95">
        <w:rPr>
          <w:rFonts w:cs="Arial"/>
          <w:i/>
          <w:iCs/>
          <w:sz w:val="24"/>
          <w:szCs w:val="24"/>
        </w:rPr>
        <w:t xml:space="preserve"> </w:t>
      </w:r>
      <w:r w:rsidRPr="003F6B95">
        <w:rPr>
          <w:rFonts w:cs="Arial"/>
          <w:sz w:val="24"/>
          <w:szCs w:val="24"/>
        </w:rPr>
        <w:t xml:space="preserve">trans. La convocatoria a ese evento </w:t>
      </w:r>
      <w:r w:rsidR="00BA1A3B" w:rsidRPr="003F6B95">
        <w:rPr>
          <w:rFonts w:cs="Arial"/>
          <w:sz w:val="24"/>
          <w:szCs w:val="24"/>
        </w:rPr>
        <w:t>deberá</w:t>
      </w:r>
      <w:r w:rsidRPr="003F6B95">
        <w:rPr>
          <w:rFonts w:cs="Arial"/>
          <w:sz w:val="24"/>
          <w:szCs w:val="24"/>
        </w:rPr>
        <w:t xml:space="preserve"> difundi</w:t>
      </w:r>
      <w:r w:rsidR="00BA1A3B" w:rsidRPr="003F6B95">
        <w:rPr>
          <w:rFonts w:cs="Arial"/>
          <w:sz w:val="24"/>
          <w:szCs w:val="24"/>
        </w:rPr>
        <w:t>rse</w:t>
      </w:r>
      <w:r w:rsidRPr="003F6B95">
        <w:rPr>
          <w:rFonts w:cs="Arial"/>
          <w:sz w:val="24"/>
          <w:szCs w:val="24"/>
        </w:rPr>
        <w:t xml:space="preserve"> en al menos dos medios de comunicación impresos de cobertura nacional, así como en los centros comerciales, residenciales y áreas de trabajo operados por las demandadas, con una anticipación no menor a quince días naturales (medida de satisfacción).</w:t>
      </w:r>
    </w:p>
    <w:p w14:paraId="6402E8B8" w14:textId="247205F2" w:rsidR="00635FC6" w:rsidRPr="003F6B95" w:rsidRDefault="00635FC6" w:rsidP="00976F09">
      <w:pPr>
        <w:pStyle w:val="corte4fondo"/>
        <w:numPr>
          <w:ilvl w:val="0"/>
          <w:numId w:val="18"/>
        </w:numPr>
        <w:tabs>
          <w:tab w:val="left" w:pos="0"/>
        </w:tabs>
        <w:ind w:right="51"/>
        <w:rPr>
          <w:rFonts w:cs="Arial"/>
          <w:sz w:val="24"/>
          <w:szCs w:val="24"/>
        </w:rPr>
      </w:pPr>
      <w:r w:rsidRPr="003F6B95">
        <w:rPr>
          <w:rFonts w:cs="Arial"/>
          <w:sz w:val="24"/>
          <w:szCs w:val="24"/>
        </w:rPr>
        <w:lastRenderedPageBreak/>
        <w:t>La colocación de una placa de no discriminación en los accesos de todos los centros comerciales, residenciales y áreas de trabajo operados por las empresas codemandadas (medida de satisfacción).</w:t>
      </w:r>
    </w:p>
    <w:p w14:paraId="47928CD1" w14:textId="29FB2135" w:rsidR="00635FC6" w:rsidRPr="003F6B95" w:rsidRDefault="00635FC6" w:rsidP="00976F09">
      <w:pPr>
        <w:pStyle w:val="corte4fondo"/>
        <w:numPr>
          <w:ilvl w:val="0"/>
          <w:numId w:val="18"/>
        </w:numPr>
        <w:tabs>
          <w:tab w:val="left" w:pos="0"/>
        </w:tabs>
        <w:ind w:right="51"/>
        <w:rPr>
          <w:rFonts w:cs="Arial"/>
          <w:sz w:val="24"/>
          <w:szCs w:val="24"/>
        </w:rPr>
      </w:pPr>
      <w:r w:rsidRPr="003F6B95">
        <w:rPr>
          <w:rFonts w:cs="Arial"/>
          <w:sz w:val="24"/>
          <w:szCs w:val="24"/>
        </w:rPr>
        <w:t xml:space="preserve">La implementación de una política laboral incluyente frente a las y los miembros de la </w:t>
      </w:r>
      <w:r w:rsidR="00315DAD">
        <w:rPr>
          <w:rFonts w:cs="Arial"/>
          <w:sz w:val="24"/>
          <w:szCs w:val="24"/>
        </w:rPr>
        <w:t>población</w:t>
      </w:r>
      <w:r w:rsidRPr="003F6B95">
        <w:rPr>
          <w:rFonts w:cs="Arial"/>
          <w:sz w:val="24"/>
          <w:szCs w:val="24"/>
        </w:rPr>
        <w:t xml:space="preserve"> LGBTI</w:t>
      </w:r>
      <w:r w:rsidR="004A3B3F">
        <w:rPr>
          <w:rFonts w:cs="Arial"/>
          <w:sz w:val="24"/>
          <w:szCs w:val="24"/>
        </w:rPr>
        <w:t>Q</w:t>
      </w:r>
      <w:r w:rsidR="00AD56D6" w:rsidRPr="003F6B95">
        <w:rPr>
          <w:rFonts w:cs="Arial"/>
          <w:sz w:val="24"/>
          <w:szCs w:val="24"/>
        </w:rPr>
        <w:t>+</w:t>
      </w:r>
      <w:r w:rsidRPr="003F6B95">
        <w:rPr>
          <w:rFonts w:cs="Arial"/>
          <w:sz w:val="24"/>
          <w:szCs w:val="24"/>
        </w:rPr>
        <w:t>, en específico de las personas trans (medida de no repetición).</w:t>
      </w:r>
    </w:p>
    <w:p w14:paraId="233724FB" w14:textId="19AFB5B3" w:rsidR="00635FC6" w:rsidRPr="003F6B95" w:rsidRDefault="00635FC6" w:rsidP="00976F09">
      <w:pPr>
        <w:pStyle w:val="corte4fondo"/>
        <w:numPr>
          <w:ilvl w:val="0"/>
          <w:numId w:val="18"/>
        </w:numPr>
        <w:tabs>
          <w:tab w:val="left" w:pos="0"/>
        </w:tabs>
        <w:ind w:right="51"/>
        <w:rPr>
          <w:rFonts w:cs="Arial"/>
          <w:sz w:val="24"/>
          <w:szCs w:val="24"/>
        </w:rPr>
      </w:pPr>
      <w:r w:rsidRPr="003F6B95">
        <w:rPr>
          <w:rFonts w:cs="Arial"/>
          <w:sz w:val="24"/>
          <w:szCs w:val="24"/>
        </w:rPr>
        <w:t xml:space="preserve">La incorporación de un procedimiento </w:t>
      </w:r>
      <w:r w:rsidR="00C851A1" w:rsidRPr="003F6B95">
        <w:rPr>
          <w:rFonts w:cs="Arial"/>
          <w:sz w:val="24"/>
          <w:szCs w:val="24"/>
        </w:rPr>
        <w:t xml:space="preserve">más eficiente </w:t>
      </w:r>
      <w:r w:rsidRPr="003F6B95">
        <w:rPr>
          <w:rFonts w:cs="Arial"/>
          <w:sz w:val="24"/>
          <w:szCs w:val="24"/>
        </w:rPr>
        <w:t>en el centro de</w:t>
      </w:r>
      <w:r w:rsidR="00C851A1" w:rsidRPr="003F6B95">
        <w:rPr>
          <w:rFonts w:cs="Arial"/>
          <w:sz w:val="24"/>
          <w:szCs w:val="24"/>
        </w:rPr>
        <w:t xml:space="preserve"> </w:t>
      </w:r>
      <w:r w:rsidRPr="003F6B95">
        <w:rPr>
          <w:rFonts w:cs="Arial"/>
          <w:sz w:val="24"/>
          <w:szCs w:val="24"/>
        </w:rPr>
        <w:t>quejas (medida de no repetición).</w:t>
      </w:r>
    </w:p>
    <w:p w14:paraId="04EE4355" w14:textId="6966E0E4" w:rsidR="00635FC6" w:rsidRPr="003F6B95" w:rsidRDefault="00635FC6" w:rsidP="1A9D0C58">
      <w:pPr>
        <w:pStyle w:val="corte4fondo"/>
        <w:numPr>
          <w:ilvl w:val="0"/>
          <w:numId w:val="18"/>
        </w:numPr>
        <w:ind w:right="51"/>
        <w:rPr>
          <w:rFonts w:cs="Arial"/>
          <w:sz w:val="24"/>
          <w:szCs w:val="24"/>
          <w:lang w:val="es-ES"/>
        </w:rPr>
      </w:pPr>
      <w:r w:rsidRPr="003F6B95">
        <w:rPr>
          <w:rFonts w:cs="Arial"/>
          <w:sz w:val="24"/>
          <w:szCs w:val="24"/>
          <w:lang w:val="es-ES"/>
        </w:rPr>
        <w:t>La modificación de las áreas de sanitarios ubicadas en todos los centros comerciales, residenciales y áreas de trabajo operados por las codemandadas, a efecto de establecer un área neutra e incluyente, en lugar de dos áreas divididas por parámetros binarios de género hombre-mujer (medida de no repetición).</w:t>
      </w:r>
    </w:p>
    <w:p w14:paraId="3194B364" w14:textId="01B9F753" w:rsidR="00635FC6" w:rsidRPr="003F6B95" w:rsidRDefault="00635FC6" w:rsidP="00976F09">
      <w:pPr>
        <w:pStyle w:val="corte4fondo"/>
        <w:numPr>
          <w:ilvl w:val="0"/>
          <w:numId w:val="18"/>
        </w:numPr>
        <w:tabs>
          <w:tab w:val="left" w:pos="0"/>
        </w:tabs>
        <w:ind w:right="51"/>
        <w:rPr>
          <w:rFonts w:cs="Arial"/>
          <w:sz w:val="24"/>
          <w:szCs w:val="24"/>
        </w:rPr>
      </w:pPr>
      <w:r w:rsidRPr="003F6B95">
        <w:rPr>
          <w:rFonts w:cs="Arial"/>
          <w:sz w:val="24"/>
          <w:szCs w:val="24"/>
        </w:rPr>
        <w:t>La implementación de un programa de capacitación en materia de género, igualdad y no discriminación para el personal administrativo, de intendencia y de seguridad perteneciente a todos los centros comerciales, residenciales y áreas de trabajo operados por las codemandadas (medida de no repetición).</w:t>
      </w:r>
    </w:p>
    <w:p w14:paraId="1B559501" w14:textId="4587EEC9" w:rsidR="00635FC6" w:rsidRPr="005229E1" w:rsidRDefault="00635FC6" w:rsidP="00976F09">
      <w:pPr>
        <w:pStyle w:val="corte4fondo"/>
        <w:numPr>
          <w:ilvl w:val="0"/>
          <w:numId w:val="18"/>
        </w:numPr>
        <w:tabs>
          <w:tab w:val="left" w:pos="0"/>
        </w:tabs>
        <w:ind w:right="51"/>
        <w:rPr>
          <w:rFonts w:cs="Arial"/>
          <w:sz w:val="24"/>
          <w:szCs w:val="24"/>
        </w:rPr>
      </w:pPr>
      <w:r w:rsidRPr="003F6B95">
        <w:rPr>
          <w:rFonts w:cs="Arial"/>
          <w:sz w:val="24"/>
          <w:szCs w:val="24"/>
        </w:rPr>
        <w:t xml:space="preserve">El pago de una indemnización </w:t>
      </w:r>
      <w:r w:rsidRPr="005229E1">
        <w:rPr>
          <w:rFonts w:cs="Arial"/>
          <w:sz w:val="24"/>
          <w:szCs w:val="24"/>
        </w:rPr>
        <w:t xml:space="preserve">por daño moral derivado de los actos discriminatorios, cuyo monto no sea menor de </w:t>
      </w:r>
      <w:r w:rsidR="008D22CF" w:rsidRPr="005229E1">
        <w:rPr>
          <w:rFonts w:cs="Arial"/>
          <w:sz w:val="24"/>
          <w:szCs w:val="24"/>
        </w:rPr>
        <w:t>$10,000,000.00 (d</w:t>
      </w:r>
      <w:r w:rsidRPr="005229E1">
        <w:rPr>
          <w:rFonts w:cs="Arial"/>
          <w:sz w:val="24"/>
          <w:szCs w:val="24"/>
        </w:rPr>
        <w:t>iez millones de pesos</w:t>
      </w:r>
      <w:r w:rsidR="008D22CF" w:rsidRPr="005229E1">
        <w:rPr>
          <w:rFonts w:cs="Arial"/>
          <w:sz w:val="24"/>
          <w:szCs w:val="24"/>
        </w:rPr>
        <w:t>)</w:t>
      </w:r>
      <w:r w:rsidRPr="005229E1">
        <w:rPr>
          <w:rFonts w:cs="Arial"/>
          <w:sz w:val="24"/>
          <w:szCs w:val="24"/>
        </w:rPr>
        <w:t xml:space="preserve"> (medida compensatoria).</w:t>
      </w:r>
    </w:p>
    <w:p w14:paraId="502879CE" w14:textId="088E4C8F" w:rsidR="00635FC6" w:rsidRPr="003F6B95" w:rsidRDefault="00635FC6" w:rsidP="00976F09">
      <w:pPr>
        <w:pStyle w:val="corte4fondo"/>
        <w:numPr>
          <w:ilvl w:val="0"/>
          <w:numId w:val="18"/>
        </w:numPr>
        <w:tabs>
          <w:tab w:val="left" w:pos="0"/>
        </w:tabs>
        <w:ind w:right="51"/>
        <w:rPr>
          <w:rFonts w:cs="Arial"/>
          <w:sz w:val="24"/>
          <w:szCs w:val="24"/>
        </w:rPr>
      </w:pPr>
      <w:r w:rsidRPr="003F6B95">
        <w:rPr>
          <w:rFonts w:cs="Arial"/>
          <w:sz w:val="24"/>
          <w:szCs w:val="24"/>
        </w:rPr>
        <w:t>Los gastos y costas del juicio.</w:t>
      </w:r>
    </w:p>
    <w:p w14:paraId="2D2439D0" w14:textId="32200F54" w:rsidR="0091650F" w:rsidRPr="003F6B95" w:rsidRDefault="0091650F" w:rsidP="0091650F">
      <w:pPr>
        <w:pStyle w:val="corte4fondo"/>
        <w:tabs>
          <w:tab w:val="left" w:pos="0"/>
        </w:tabs>
        <w:ind w:right="51" w:firstLine="0"/>
        <w:rPr>
          <w:rFonts w:cs="Arial"/>
          <w:sz w:val="26"/>
          <w:szCs w:val="26"/>
        </w:rPr>
      </w:pPr>
    </w:p>
    <w:p w14:paraId="7982E72C" w14:textId="00177B08" w:rsidR="00F61896" w:rsidRPr="00434C4B" w:rsidRDefault="00E87B25" w:rsidP="004C2073">
      <w:pPr>
        <w:pStyle w:val="corte4fondo"/>
        <w:numPr>
          <w:ilvl w:val="0"/>
          <w:numId w:val="2"/>
        </w:numPr>
        <w:ind w:left="0" w:right="51" w:hanging="426"/>
        <w:rPr>
          <w:rFonts w:cs="Arial"/>
          <w:sz w:val="26"/>
          <w:szCs w:val="26"/>
          <w:lang w:val="es-ES"/>
        </w:rPr>
      </w:pPr>
      <w:r w:rsidRPr="00434C4B">
        <w:rPr>
          <w:rFonts w:cs="Arial"/>
          <w:sz w:val="26"/>
          <w:szCs w:val="26"/>
          <w:lang w:val="es-ES"/>
        </w:rPr>
        <w:t>Las actoras también señalaron que</w:t>
      </w:r>
      <w:r w:rsidR="00E117A4" w:rsidRPr="00434C4B">
        <w:rPr>
          <w:rFonts w:cs="Arial"/>
          <w:sz w:val="26"/>
          <w:szCs w:val="26"/>
          <w:lang w:val="es-ES"/>
        </w:rPr>
        <w:t>,</w:t>
      </w:r>
      <w:r w:rsidRPr="00434C4B">
        <w:rPr>
          <w:rFonts w:cs="Arial"/>
          <w:sz w:val="26"/>
          <w:szCs w:val="26"/>
          <w:lang w:val="es-ES"/>
        </w:rPr>
        <w:t xml:space="preserve"> </w:t>
      </w:r>
      <w:r w:rsidR="00E117A4" w:rsidRPr="00434C4B">
        <w:rPr>
          <w:rFonts w:cs="Arial"/>
          <w:sz w:val="26"/>
          <w:szCs w:val="26"/>
          <w:lang w:val="es-ES"/>
        </w:rPr>
        <w:t xml:space="preserve">el motivo </w:t>
      </w:r>
      <w:r w:rsidR="000505F3" w:rsidRPr="00434C4B">
        <w:rPr>
          <w:rFonts w:cs="Arial"/>
          <w:sz w:val="26"/>
          <w:szCs w:val="26"/>
          <w:lang w:val="es-ES"/>
        </w:rPr>
        <w:t xml:space="preserve">por </w:t>
      </w:r>
      <w:r w:rsidR="00E117A4" w:rsidRPr="00434C4B">
        <w:rPr>
          <w:rFonts w:cs="Arial"/>
          <w:sz w:val="26"/>
          <w:szCs w:val="26"/>
          <w:lang w:val="es-ES"/>
        </w:rPr>
        <w:t>el</w:t>
      </w:r>
      <w:r w:rsidR="000505F3" w:rsidRPr="00434C4B">
        <w:rPr>
          <w:rFonts w:cs="Arial"/>
          <w:sz w:val="26"/>
          <w:szCs w:val="26"/>
          <w:lang w:val="es-ES"/>
        </w:rPr>
        <w:t xml:space="preserve"> que</w:t>
      </w:r>
      <w:r w:rsidR="00E67C66" w:rsidRPr="00434C4B">
        <w:rPr>
          <w:rFonts w:cs="Arial"/>
          <w:sz w:val="26"/>
          <w:szCs w:val="26"/>
          <w:lang w:val="es-ES"/>
        </w:rPr>
        <w:t xml:space="preserve"> la señora </w:t>
      </w:r>
      <w:r w:rsidR="00E67C66" w:rsidRPr="00434C4B">
        <w:rPr>
          <w:rFonts w:cs="Arial"/>
          <w:color w:val="FF0000"/>
          <w:sz w:val="26"/>
          <w:szCs w:val="26"/>
          <w:lang w:val="es-ES"/>
        </w:rPr>
        <w:t>AMF</w:t>
      </w:r>
      <w:r w:rsidR="00E67C66" w:rsidRPr="00351CE0">
        <w:rPr>
          <w:rFonts w:cs="Arial"/>
          <w:color w:val="000000" w:themeColor="text1"/>
          <w:sz w:val="26"/>
          <w:szCs w:val="26"/>
          <w:lang w:val="es-ES"/>
        </w:rPr>
        <w:t xml:space="preserve"> no era actora del juicio civil </w:t>
      </w:r>
      <w:r w:rsidR="000505F3" w:rsidRPr="00351CE0">
        <w:rPr>
          <w:rFonts w:cs="Arial"/>
          <w:color w:val="000000" w:themeColor="text1"/>
          <w:sz w:val="26"/>
          <w:szCs w:val="26"/>
          <w:lang w:val="es-ES"/>
        </w:rPr>
        <w:t>derivó de que, e</w:t>
      </w:r>
      <w:r w:rsidR="004C2073" w:rsidRPr="00351CE0">
        <w:rPr>
          <w:rFonts w:cs="Arial"/>
          <w:sz w:val="26"/>
          <w:szCs w:val="26"/>
        </w:rPr>
        <w:t>l 13 de octubre de</w:t>
      </w:r>
      <w:r w:rsidR="002B1A31" w:rsidRPr="00351CE0">
        <w:rPr>
          <w:rFonts w:cs="Arial"/>
          <w:sz w:val="26"/>
          <w:szCs w:val="26"/>
        </w:rPr>
        <w:t xml:space="preserve"> 2016</w:t>
      </w:r>
      <w:r w:rsidR="004C2073" w:rsidRPr="00351CE0">
        <w:rPr>
          <w:rFonts w:cs="Arial"/>
          <w:sz w:val="26"/>
          <w:szCs w:val="26"/>
        </w:rPr>
        <w:t>, la</w:t>
      </w:r>
      <w:r w:rsidR="004C2073" w:rsidRPr="00434C4B">
        <w:rPr>
          <w:rFonts w:cs="Arial"/>
          <w:sz w:val="26"/>
          <w:szCs w:val="26"/>
        </w:rPr>
        <w:t xml:space="preserve"> señora </w:t>
      </w:r>
      <w:r w:rsidR="000505F3" w:rsidRPr="00434C4B">
        <w:rPr>
          <w:rFonts w:cs="Arial"/>
          <w:color w:val="FF0000"/>
          <w:sz w:val="26"/>
          <w:szCs w:val="26"/>
          <w:lang w:val="es-ES"/>
        </w:rPr>
        <w:t>MF</w:t>
      </w:r>
      <w:r w:rsidR="000505F3" w:rsidRPr="00434C4B">
        <w:rPr>
          <w:rFonts w:cs="Arial"/>
          <w:color w:val="000000" w:themeColor="text1"/>
          <w:sz w:val="26"/>
          <w:szCs w:val="26"/>
          <w:lang w:val="es-ES"/>
        </w:rPr>
        <w:t xml:space="preserve"> </w:t>
      </w:r>
      <w:r w:rsidR="004C2073" w:rsidRPr="00434C4B">
        <w:rPr>
          <w:rFonts w:cs="Arial"/>
          <w:sz w:val="26"/>
          <w:szCs w:val="26"/>
        </w:rPr>
        <w:t>fue estrangulada al interior de un hotel ubicado en la Ciudad de México. Para las actoras, la muerte de su compañera y amiga consistió en un “crimen de odio en contra de la población LGBTI”</w:t>
      </w:r>
      <w:r w:rsidR="000505F3" w:rsidRPr="00434C4B">
        <w:rPr>
          <w:rStyle w:val="Refdenotaalpie"/>
          <w:rFonts w:cs="Arial"/>
          <w:sz w:val="26"/>
          <w:szCs w:val="26"/>
        </w:rPr>
        <w:footnoteReference w:id="7"/>
      </w:r>
      <w:r w:rsidR="004C2073" w:rsidRPr="00434C4B">
        <w:rPr>
          <w:rFonts w:cs="Arial"/>
          <w:sz w:val="26"/>
          <w:szCs w:val="26"/>
        </w:rPr>
        <w:t>.</w:t>
      </w:r>
    </w:p>
    <w:p w14:paraId="774A6C82" w14:textId="37D9CB92" w:rsidR="00E67C66" w:rsidRPr="00785F8D" w:rsidRDefault="00E67C66" w:rsidP="00785F8D">
      <w:pPr>
        <w:pStyle w:val="corte4fondo"/>
        <w:ind w:right="51" w:firstLine="0"/>
        <w:rPr>
          <w:rFonts w:cs="Arial"/>
          <w:sz w:val="26"/>
          <w:szCs w:val="26"/>
          <w:lang w:val="es-ES"/>
        </w:rPr>
      </w:pPr>
    </w:p>
    <w:p w14:paraId="054C145E" w14:textId="4DD198E0" w:rsidR="00CD3BAA" w:rsidRPr="003F6B95" w:rsidRDefault="00241DAF" w:rsidP="1A9D0C58">
      <w:pPr>
        <w:pStyle w:val="corte4fondo"/>
        <w:numPr>
          <w:ilvl w:val="0"/>
          <w:numId w:val="2"/>
        </w:numPr>
        <w:ind w:left="0" w:right="51" w:hanging="426"/>
        <w:rPr>
          <w:rFonts w:cs="Arial"/>
          <w:sz w:val="26"/>
          <w:szCs w:val="26"/>
          <w:lang w:val="es-ES"/>
        </w:rPr>
      </w:pPr>
      <w:r w:rsidRPr="003F6B95">
        <w:rPr>
          <w:rFonts w:cs="Arial"/>
          <w:b/>
          <w:bCs/>
          <w:sz w:val="26"/>
          <w:szCs w:val="26"/>
        </w:rPr>
        <w:t xml:space="preserve">Contestación de demanda. </w:t>
      </w:r>
      <w:r w:rsidR="00134A72" w:rsidRPr="003F6B95">
        <w:rPr>
          <w:rFonts w:cs="Arial"/>
          <w:sz w:val="26"/>
          <w:szCs w:val="26"/>
        </w:rPr>
        <w:t xml:space="preserve">Las empresas </w:t>
      </w:r>
      <w:r w:rsidRPr="005229E1">
        <w:rPr>
          <w:rFonts w:cs="Arial"/>
          <w:sz w:val="26"/>
          <w:szCs w:val="26"/>
        </w:rPr>
        <w:t>Protección Privada 2010 y Reforma 222 formularon su contestación de demand</w:t>
      </w:r>
      <w:r w:rsidRPr="003F6B95">
        <w:rPr>
          <w:rFonts w:cs="Arial"/>
          <w:sz w:val="26"/>
          <w:szCs w:val="26"/>
        </w:rPr>
        <w:t>a</w:t>
      </w:r>
      <w:r w:rsidR="00447CB8" w:rsidRPr="003F6B95">
        <w:rPr>
          <w:rFonts w:cs="Arial"/>
          <w:sz w:val="26"/>
          <w:szCs w:val="26"/>
        </w:rPr>
        <w:t xml:space="preserve"> respectiva</w:t>
      </w:r>
      <w:r w:rsidR="00134A72" w:rsidRPr="003F6B95">
        <w:rPr>
          <w:rFonts w:cs="Arial"/>
          <w:sz w:val="26"/>
          <w:szCs w:val="26"/>
        </w:rPr>
        <w:t>, por medio de sus representantes legales</w:t>
      </w:r>
      <w:r w:rsidRPr="003F6B95">
        <w:rPr>
          <w:rFonts w:cs="Arial"/>
          <w:sz w:val="26"/>
          <w:szCs w:val="26"/>
        </w:rPr>
        <w:t xml:space="preserve">. En los escritos, argumentaron que en el convenio celebrado ante </w:t>
      </w:r>
      <w:r w:rsidR="008C3DCF" w:rsidRPr="003F6B95">
        <w:rPr>
          <w:rFonts w:cs="Arial"/>
          <w:sz w:val="26"/>
          <w:szCs w:val="26"/>
        </w:rPr>
        <w:t>el</w:t>
      </w:r>
      <w:r w:rsidRPr="003F6B95">
        <w:rPr>
          <w:rFonts w:cs="Arial"/>
          <w:sz w:val="26"/>
          <w:szCs w:val="26"/>
        </w:rPr>
        <w:t xml:space="preserve"> COPRED se resolvieron las inconformidades que constituían la causa de pedir</w:t>
      </w:r>
      <w:r w:rsidR="00F2442D" w:rsidRPr="003F6B95">
        <w:rPr>
          <w:rFonts w:cs="Arial"/>
          <w:sz w:val="26"/>
          <w:szCs w:val="26"/>
        </w:rPr>
        <w:t xml:space="preserve"> </w:t>
      </w:r>
      <w:r w:rsidRPr="003F6B95">
        <w:rPr>
          <w:rFonts w:cs="Arial"/>
          <w:sz w:val="26"/>
          <w:szCs w:val="26"/>
        </w:rPr>
        <w:t>de la demanda</w:t>
      </w:r>
      <w:r w:rsidR="00C50B3C" w:rsidRPr="003F6B95">
        <w:rPr>
          <w:rFonts w:cs="Arial"/>
          <w:sz w:val="26"/>
          <w:szCs w:val="26"/>
        </w:rPr>
        <w:t xml:space="preserve"> civil</w:t>
      </w:r>
      <w:r w:rsidR="009B59D8" w:rsidRPr="003F6B95">
        <w:rPr>
          <w:rFonts w:cs="Arial"/>
          <w:sz w:val="26"/>
          <w:szCs w:val="26"/>
        </w:rPr>
        <w:t xml:space="preserve">. </w:t>
      </w:r>
      <w:r w:rsidR="00C50B3C" w:rsidRPr="003F6B95">
        <w:rPr>
          <w:rFonts w:cs="Arial"/>
          <w:sz w:val="26"/>
          <w:szCs w:val="26"/>
        </w:rPr>
        <w:t>S</w:t>
      </w:r>
      <w:r w:rsidR="009B59D8" w:rsidRPr="003F6B95">
        <w:rPr>
          <w:rFonts w:cs="Arial"/>
          <w:sz w:val="26"/>
          <w:szCs w:val="26"/>
        </w:rPr>
        <w:t xml:space="preserve">ostuvieron que, </w:t>
      </w:r>
      <w:r w:rsidRPr="003F6B95">
        <w:rPr>
          <w:rFonts w:cs="Arial"/>
          <w:sz w:val="26"/>
          <w:szCs w:val="26"/>
        </w:rPr>
        <w:t xml:space="preserve">conforme </w:t>
      </w:r>
      <w:r w:rsidR="009B59D8" w:rsidRPr="003F6B95">
        <w:rPr>
          <w:rFonts w:cs="Arial"/>
          <w:sz w:val="26"/>
          <w:szCs w:val="26"/>
        </w:rPr>
        <w:t>a</w:t>
      </w:r>
      <w:r w:rsidRPr="003F6B95">
        <w:rPr>
          <w:rFonts w:cs="Arial"/>
          <w:sz w:val="26"/>
          <w:szCs w:val="26"/>
        </w:rPr>
        <w:t xml:space="preserve">l artículo 78 de la Ley para Prevenir y Eliminar la Discriminación del Distrito Federal, a dicho convenio le reviste el carácter de cosa juzgada. Además, </w:t>
      </w:r>
      <w:r w:rsidRPr="003F6B95">
        <w:rPr>
          <w:rFonts w:cs="Arial"/>
          <w:sz w:val="26"/>
          <w:szCs w:val="26"/>
        </w:rPr>
        <w:lastRenderedPageBreak/>
        <w:t>opusieron las excepciones de improcedencia de la vía, falta de acción para demandar el daño moral, negación del derecho ejercido (</w:t>
      </w:r>
      <w:r w:rsidRPr="003F6B95">
        <w:rPr>
          <w:rFonts w:cs="Arial"/>
          <w:i/>
          <w:iCs/>
          <w:sz w:val="26"/>
          <w:szCs w:val="26"/>
        </w:rPr>
        <w:t>sine actione agis</w:t>
      </w:r>
      <w:r w:rsidRPr="003F6B95">
        <w:rPr>
          <w:rFonts w:cs="Arial"/>
          <w:sz w:val="26"/>
          <w:szCs w:val="26"/>
        </w:rPr>
        <w:t>), no modificación de la materia del litigio (</w:t>
      </w:r>
      <w:r w:rsidRPr="003F6B95">
        <w:rPr>
          <w:rFonts w:cs="Arial"/>
          <w:i/>
          <w:iCs/>
          <w:sz w:val="26"/>
          <w:szCs w:val="26"/>
        </w:rPr>
        <w:t xml:space="preserve">mutatio libelli) </w:t>
      </w:r>
      <w:r w:rsidRPr="003F6B95">
        <w:rPr>
          <w:rFonts w:cs="Arial"/>
          <w:sz w:val="26"/>
          <w:szCs w:val="26"/>
        </w:rPr>
        <w:t>y las que derivaran del escrito de contestación</w:t>
      </w:r>
      <w:r w:rsidR="00CD3BAA" w:rsidRPr="003F6B95">
        <w:rPr>
          <w:rFonts w:cs="Arial"/>
          <w:sz w:val="26"/>
          <w:szCs w:val="26"/>
        </w:rPr>
        <w:t>.</w:t>
      </w:r>
    </w:p>
    <w:p w14:paraId="2FD77D2B" w14:textId="77777777" w:rsidR="00241DAF" w:rsidRPr="003F6B95" w:rsidRDefault="00241DAF" w:rsidP="00CD3BAA">
      <w:pPr>
        <w:pStyle w:val="corte4fondo"/>
        <w:tabs>
          <w:tab w:val="left" w:pos="0"/>
        </w:tabs>
        <w:ind w:right="51" w:firstLine="0"/>
        <w:rPr>
          <w:rFonts w:cs="Arial"/>
          <w:sz w:val="26"/>
          <w:szCs w:val="26"/>
        </w:rPr>
      </w:pPr>
    </w:p>
    <w:p w14:paraId="78E99F2D" w14:textId="03297BB5" w:rsidR="00241DAF" w:rsidRPr="003F6B95" w:rsidRDefault="00241DAF" w:rsidP="1A9D0C58">
      <w:pPr>
        <w:pStyle w:val="corte4fondo"/>
        <w:numPr>
          <w:ilvl w:val="0"/>
          <w:numId w:val="2"/>
        </w:numPr>
        <w:ind w:left="0" w:right="51" w:hanging="426"/>
        <w:rPr>
          <w:rFonts w:cs="Arial"/>
          <w:sz w:val="26"/>
          <w:szCs w:val="26"/>
          <w:lang w:val="es-ES"/>
        </w:rPr>
      </w:pPr>
      <w:r w:rsidRPr="003F6B95">
        <w:rPr>
          <w:rFonts w:cs="Arial"/>
          <w:sz w:val="26"/>
          <w:szCs w:val="26"/>
          <w:lang w:val="es-ES"/>
        </w:rPr>
        <w:t xml:space="preserve">Por su parte, la </w:t>
      </w:r>
      <w:r w:rsidRPr="005229E1">
        <w:rPr>
          <w:rFonts w:cs="Arial"/>
          <w:sz w:val="26"/>
          <w:szCs w:val="26"/>
          <w:lang w:val="es-ES"/>
        </w:rPr>
        <w:t>empresa Danhos, Sociedad Anónima de Capital Variable (en adelante</w:t>
      </w:r>
      <w:r w:rsidR="00585D57" w:rsidRPr="005229E1">
        <w:rPr>
          <w:rFonts w:cs="Arial"/>
          <w:sz w:val="26"/>
          <w:szCs w:val="26"/>
          <w:lang w:val="es-ES"/>
        </w:rPr>
        <w:t>,</w:t>
      </w:r>
      <w:r w:rsidRPr="005229E1">
        <w:rPr>
          <w:rFonts w:cs="Arial"/>
          <w:sz w:val="26"/>
          <w:szCs w:val="26"/>
          <w:lang w:val="es-ES"/>
        </w:rPr>
        <w:t xml:space="preserve"> Danhos), compareció a juicio</w:t>
      </w:r>
      <w:r w:rsidR="00134A72" w:rsidRPr="005229E1">
        <w:rPr>
          <w:rFonts w:cs="Arial"/>
          <w:sz w:val="26"/>
          <w:szCs w:val="26"/>
          <w:lang w:val="es-ES"/>
        </w:rPr>
        <w:t xml:space="preserve"> por medio de su representante</w:t>
      </w:r>
      <w:r w:rsidRPr="005229E1">
        <w:rPr>
          <w:rFonts w:cs="Arial"/>
          <w:sz w:val="26"/>
          <w:szCs w:val="26"/>
          <w:lang w:val="es-ES"/>
        </w:rPr>
        <w:t xml:space="preserve"> </w:t>
      </w:r>
      <w:r w:rsidR="00134A72" w:rsidRPr="005229E1">
        <w:rPr>
          <w:rFonts w:cs="Arial"/>
          <w:sz w:val="26"/>
          <w:szCs w:val="26"/>
          <w:lang w:val="es-ES"/>
        </w:rPr>
        <w:t xml:space="preserve">legal </w:t>
      </w:r>
      <w:r w:rsidRPr="005229E1">
        <w:rPr>
          <w:rFonts w:cs="Arial"/>
          <w:sz w:val="26"/>
          <w:szCs w:val="26"/>
          <w:lang w:val="es-ES"/>
        </w:rPr>
        <w:t>y formuló contestación de demanda</w:t>
      </w:r>
      <w:r w:rsidR="00363029" w:rsidRPr="005229E1">
        <w:rPr>
          <w:rFonts w:cs="Arial"/>
          <w:sz w:val="26"/>
          <w:szCs w:val="26"/>
          <w:lang w:val="es-ES"/>
        </w:rPr>
        <w:t xml:space="preserve"> </w:t>
      </w:r>
      <w:r w:rsidR="00363029" w:rsidRPr="005229E1">
        <w:rPr>
          <w:rFonts w:cs="Arial"/>
          <w:i/>
          <w:sz w:val="26"/>
          <w:szCs w:val="26"/>
          <w:lang w:val="es-ES"/>
        </w:rPr>
        <w:t>ad cautelam</w:t>
      </w:r>
      <w:r w:rsidR="00CD3BAA" w:rsidRPr="005229E1">
        <w:rPr>
          <w:rStyle w:val="Refdenotaalpie"/>
          <w:rFonts w:cs="Arial"/>
          <w:sz w:val="26"/>
          <w:szCs w:val="26"/>
          <w:lang w:val="es-ES"/>
        </w:rPr>
        <w:footnoteReference w:id="8"/>
      </w:r>
      <w:r w:rsidR="00CD3BAA" w:rsidRPr="005229E1">
        <w:rPr>
          <w:rFonts w:cs="Arial"/>
          <w:sz w:val="26"/>
          <w:szCs w:val="26"/>
          <w:lang w:val="es-ES"/>
        </w:rPr>
        <w:t xml:space="preserve">. En ésta, </w:t>
      </w:r>
      <w:r w:rsidRPr="005229E1">
        <w:rPr>
          <w:rFonts w:cs="Arial"/>
          <w:sz w:val="26"/>
          <w:szCs w:val="26"/>
          <w:lang w:val="es-ES"/>
        </w:rPr>
        <w:t>opuso la excepción de falta de legitimación pasiva en la causa, bajo el argumento de que se trata</w:t>
      </w:r>
      <w:r w:rsidR="00C547D7" w:rsidRPr="005229E1">
        <w:rPr>
          <w:rFonts w:cs="Arial"/>
          <w:sz w:val="26"/>
          <w:szCs w:val="26"/>
          <w:lang w:val="es-ES"/>
        </w:rPr>
        <w:t>ba</w:t>
      </w:r>
      <w:r w:rsidRPr="005229E1">
        <w:rPr>
          <w:rFonts w:cs="Arial"/>
          <w:sz w:val="26"/>
          <w:szCs w:val="26"/>
          <w:lang w:val="es-ES"/>
        </w:rPr>
        <w:t xml:space="preserve"> de una persona moral diversa de la demandada </w:t>
      </w:r>
      <w:r w:rsidR="00DC7967" w:rsidRPr="005229E1">
        <w:rPr>
          <w:rFonts w:cs="Arial"/>
          <w:sz w:val="26"/>
          <w:szCs w:val="26"/>
          <w:lang w:val="es-ES"/>
        </w:rPr>
        <w:t>“</w:t>
      </w:r>
      <w:r w:rsidRPr="005229E1">
        <w:rPr>
          <w:rFonts w:cs="Arial"/>
          <w:sz w:val="26"/>
          <w:szCs w:val="26"/>
          <w:lang w:val="es-ES"/>
        </w:rPr>
        <w:t>Grupo Danhos</w:t>
      </w:r>
      <w:r w:rsidR="00DC7967" w:rsidRPr="005229E1">
        <w:rPr>
          <w:rFonts w:cs="Arial"/>
          <w:sz w:val="26"/>
          <w:szCs w:val="26"/>
          <w:lang w:val="es-ES"/>
        </w:rPr>
        <w:t>”</w:t>
      </w:r>
      <w:r w:rsidRPr="005229E1">
        <w:rPr>
          <w:rFonts w:cs="Arial"/>
          <w:sz w:val="26"/>
          <w:szCs w:val="26"/>
          <w:lang w:val="es-ES"/>
        </w:rPr>
        <w:t xml:space="preserve">, en contra de quien realmente </w:t>
      </w:r>
      <w:r w:rsidRPr="003F6B95">
        <w:rPr>
          <w:rFonts w:cs="Arial"/>
          <w:sz w:val="26"/>
          <w:szCs w:val="26"/>
          <w:lang w:val="es-ES"/>
        </w:rPr>
        <w:t>se ejerci</w:t>
      </w:r>
      <w:r w:rsidR="00292302" w:rsidRPr="003F6B95">
        <w:rPr>
          <w:rFonts w:cs="Arial"/>
          <w:sz w:val="26"/>
          <w:szCs w:val="26"/>
          <w:lang w:val="es-ES"/>
        </w:rPr>
        <w:t>t</w:t>
      </w:r>
      <w:r w:rsidRPr="003F6B95">
        <w:rPr>
          <w:rFonts w:cs="Arial"/>
          <w:sz w:val="26"/>
          <w:szCs w:val="26"/>
          <w:lang w:val="es-ES"/>
        </w:rPr>
        <w:t xml:space="preserve">ó la acción. </w:t>
      </w:r>
      <w:r w:rsidR="00292302" w:rsidRPr="003F6B95">
        <w:rPr>
          <w:rFonts w:cs="Arial"/>
          <w:sz w:val="26"/>
          <w:szCs w:val="26"/>
          <w:lang w:val="es-ES"/>
        </w:rPr>
        <w:t>Asimismo, sostuvo que</w:t>
      </w:r>
      <w:r w:rsidRPr="003F6B95">
        <w:rPr>
          <w:rFonts w:cs="Arial"/>
          <w:sz w:val="26"/>
          <w:szCs w:val="26"/>
          <w:lang w:val="es-ES"/>
        </w:rPr>
        <w:t xml:space="preserve"> de los hechos expuestos en la demanda no </w:t>
      </w:r>
      <w:r w:rsidR="005E4B5F" w:rsidRPr="003F6B95">
        <w:rPr>
          <w:rFonts w:cs="Arial"/>
          <w:sz w:val="26"/>
          <w:szCs w:val="26"/>
          <w:lang w:val="es-ES"/>
        </w:rPr>
        <w:t xml:space="preserve">se advertía </w:t>
      </w:r>
      <w:r w:rsidRPr="003F6B95">
        <w:rPr>
          <w:rFonts w:cs="Arial"/>
          <w:sz w:val="26"/>
          <w:szCs w:val="26"/>
          <w:lang w:val="es-ES"/>
        </w:rPr>
        <w:t xml:space="preserve">imputación alguna que le fuera atribuida directamente y que pudiera considerarse como </w:t>
      </w:r>
      <w:r w:rsidR="002630DD" w:rsidRPr="003F6B95">
        <w:rPr>
          <w:rFonts w:cs="Arial"/>
          <w:sz w:val="26"/>
          <w:szCs w:val="26"/>
          <w:lang w:val="es-ES"/>
        </w:rPr>
        <w:t xml:space="preserve">un </w:t>
      </w:r>
      <w:r w:rsidRPr="003F6B95">
        <w:rPr>
          <w:rFonts w:cs="Arial"/>
          <w:sz w:val="26"/>
          <w:szCs w:val="26"/>
          <w:lang w:val="es-ES"/>
        </w:rPr>
        <w:t xml:space="preserve">acto de discriminación. </w:t>
      </w:r>
    </w:p>
    <w:p w14:paraId="055CDE6D" w14:textId="77777777" w:rsidR="00241DAF" w:rsidRPr="003F6B95" w:rsidRDefault="00241DAF" w:rsidP="00021C41">
      <w:pPr>
        <w:rPr>
          <w:rFonts w:ascii="Arial" w:hAnsi="Arial" w:cs="Arial"/>
          <w:sz w:val="26"/>
          <w:szCs w:val="26"/>
          <w:lang w:val="es-ES_tradnl"/>
        </w:rPr>
      </w:pPr>
    </w:p>
    <w:p w14:paraId="1A84B933" w14:textId="06F641A8" w:rsidR="009607BA" w:rsidRPr="005229E1" w:rsidRDefault="009607BA" w:rsidP="1A9D0C58">
      <w:pPr>
        <w:pStyle w:val="corte4fondo"/>
        <w:numPr>
          <w:ilvl w:val="0"/>
          <w:numId w:val="2"/>
        </w:numPr>
        <w:ind w:left="0" w:right="51" w:hanging="567"/>
        <w:rPr>
          <w:rFonts w:cs="Arial"/>
          <w:b/>
          <w:sz w:val="26"/>
          <w:szCs w:val="26"/>
          <w:lang w:val="es-ES"/>
        </w:rPr>
      </w:pPr>
      <w:r w:rsidRPr="003F6B95">
        <w:rPr>
          <w:rFonts w:cs="Arial"/>
          <w:b/>
          <w:bCs/>
          <w:sz w:val="26"/>
          <w:szCs w:val="26"/>
        </w:rPr>
        <w:t xml:space="preserve">Sentencia de primera instancia. </w:t>
      </w:r>
      <w:r w:rsidRPr="003F6B95">
        <w:rPr>
          <w:rFonts w:cs="Arial"/>
          <w:sz w:val="26"/>
          <w:szCs w:val="26"/>
        </w:rPr>
        <w:t xml:space="preserve">El </w:t>
      </w:r>
      <w:r w:rsidR="00C547D7" w:rsidRPr="003F6B95">
        <w:rPr>
          <w:rFonts w:cs="Arial"/>
          <w:sz w:val="26"/>
          <w:szCs w:val="26"/>
        </w:rPr>
        <w:t xml:space="preserve">25 </w:t>
      </w:r>
      <w:r w:rsidRPr="003F6B95">
        <w:rPr>
          <w:rFonts w:cs="Arial"/>
          <w:sz w:val="26"/>
          <w:szCs w:val="26"/>
        </w:rPr>
        <w:t xml:space="preserve">de enero de </w:t>
      </w:r>
      <w:r w:rsidR="00C547D7" w:rsidRPr="003F6B95">
        <w:rPr>
          <w:rFonts w:cs="Arial"/>
          <w:sz w:val="26"/>
          <w:szCs w:val="26"/>
        </w:rPr>
        <w:t>2019</w:t>
      </w:r>
      <w:r w:rsidRPr="003F6B95">
        <w:rPr>
          <w:rFonts w:cs="Arial"/>
          <w:sz w:val="26"/>
          <w:szCs w:val="26"/>
        </w:rPr>
        <w:t>,</w:t>
      </w:r>
      <w:r w:rsidRPr="003F6B95">
        <w:rPr>
          <w:rFonts w:cs="Arial"/>
          <w:b/>
          <w:bCs/>
          <w:sz w:val="26"/>
          <w:szCs w:val="26"/>
        </w:rPr>
        <w:t xml:space="preserve"> </w:t>
      </w:r>
      <w:r w:rsidRPr="003F6B95">
        <w:rPr>
          <w:rFonts w:cs="Arial"/>
          <w:sz w:val="26"/>
          <w:szCs w:val="26"/>
        </w:rPr>
        <w:t xml:space="preserve">el </w:t>
      </w:r>
      <w:r w:rsidR="00710F15" w:rsidRPr="003F6B95">
        <w:rPr>
          <w:rFonts w:cs="Arial"/>
          <w:sz w:val="26"/>
          <w:szCs w:val="26"/>
        </w:rPr>
        <w:t>Juzgado Décimo Primero de lo Civil del Tribunal Superior de Justicia de la Ciudad de México</w:t>
      </w:r>
      <w:r w:rsidRPr="003F6B95">
        <w:rPr>
          <w:rFonts w:cs="Arial"/>
          <w:sz w:val="26"/>
          <w:szCs w:val="26"/>
        </w:rPr>
        <w:t xml:space="preserve"> dictó sentencia</w:t>
      </w:r>
      <w:r w:rsidR="0092652C" w:rsidRPr="003F6B95">
        <w:rPr>
          <w:rFonts w:cs="Arial"/>
          <w:sz w:val="26"/>
          <w:szCs w:val="26"/>
        </w:rPr>
        <w:t xml:space="preserve"> definitiva</w:t>
      </w:r>
      <w:r w:rsidR="00961274" w:rsidRPr="003F6B95">
        <w:rPr>
          <w:rFonts w:cs="Arial"/>
          <w:sz w:val="26"/>
          <w:szCs w:val="26"/>
        </w:rPr>
        <w:t>,</w:t>
      </w:r>
      <w:r w:rsidRPr="003F6B95">
        <w:rPr>
          <w:rFonts w:cs="Arial"/>
          <w:sz w:val="26"/>
          <w:szCs w:val="26"/>
        </w:rPr>
        <w:t xml:space="preserve"> en la que resolvió que</w:t>
      </w:r>
      <w:r w:rsidR="00C851A1" w:rsidRPr="003F6B95">
        <w:rPr>
          <w:rFonts w:cs="Arial"/>
          <w:sz w:val="26"/>
          <w:szCs w:val="26"/>
        </w:rPr>
        <w:t xml:space="preserve"> las señoras</w:t>
      </w:r>
      <w:r w:rsidRPr="003F6B95">
        <w:rPr>
          <w:rFonts w:cs="Arial"/>
          <w:sz w:val="26"/>
          <w:szCs w:val="26"/>
        </w:rPr>
        <w:t xml:space="preserve"> </w:t>
      </w:r>
      <w:r w:rsidRPr="003F6B95">
        <w:rPr>
          <w:rFonts w:cs="Arial"/>
          <w:color w:val="FF0000"/>
          <w:sz w:val="26"/>
          <w:szCs w:val="26"/>
        </w:rPr>
        <w:t xml:space="preserve">DF </w:t>
      </w:r>
      <w:r w:rsidRPr="003F6B95">
        <w:rPr>
          <w:rFonts w:cs="Arial"/>
          <w:sz w:val="26"/>
          <w:szCs w:val="26"/>
        </w:rPr>
        <w:t>y</w:t>
      </w:r>
      <w:r w:rsidR="00C851A1" w:rsidRPr="003F6B95">
        <w:rPr>
          <w:rFonts w:cs="Arial"/>
          <w:sz w:val="26"/>
          <w:szCs w:val="26"/>
        </w:rPr>
        <w:t xml:space="preserve"> </w:t>
      </w:r>
      <w:r w:rsidRPr="003F6B95">
        <w:rPr>
          <w:rFonts w:cs="Arial"/>
          <w:color w:val="FF0000"/>
          <w:sz w:val="26"/>
          <w:szCs w:val="26"/>
        </w:rPr>
        <w:t xml:space="preserve">GB </w:t>
      </w:r>
      <w:r w:rsidRPr="003F6B95">
        <w:rPr>
          <w:rFonts w:cs="Arial"/>
          <w:sz w:val="26"/>
          <w:szCs w:val="26"/>
        </w:rPr>
        <w:t xml:space="preserve">no acreditaron el primer elemento de la acción de reparación del daño moral, consistente en la existencia de un hecho ilícito </w:t>
      </w:r>
      <w:r w:rsidR="00F2403D" w:rsidRPr="003F6B95">
        <w:rPr>
          <w:rFonts w:cs="Arial"/>
          <w:sz w:val="26"/>
          <w:szCs w:val="26"/>
        </w:rPr>
        <w:t xml:space="preserve">causado </w:t>
      </w:r>
      <w:r w:rsidRPr="003F6B95">
        <w:rPr>
          <w:rFonts w:cs="Arial"/>
          <w:sz w:val="26"/>
          <w:szCs w:val="26"/>
        </w:rPr>
        <w:t xml:space="preserve">por las demandadas. Asimismo, consideró procedentes las excepciones de falta de acción para demandar el daño y la de negación del derecho </w:t>
      </w:r>
      <w:r w:rsidRPr="005229E1">
        <w:rPr>
          <w:rFonts w:cs="Arial"/>
          <w:sz w:val="26"/>
          <w:szCs w:val="26"/>
        </w:rPr>
        <w:t>ejercido</w:t>
      </w:r>
      <w:r w:rsidR="000B153B" w:rsidRPr="005229E1">
        <w:rPr>
          <w:rFonts w:cs="Arial"/>
          <w:sz w:val="26"/>
          <w:szCs w:val="26"/>
        </w:rPr>
        <w:t>.</w:t>
      </w:r>
      <w:r w:rsidR="00961274" w:rsidRPr="005229E1">
        <w:rPr>
          <w:rFonts w:cs="Arial"/>
          <w:sz w:val="26"/>
          <w:szCs w:val="26"/>
        </w:rPr>
        <w:t xml:space="preserve"> Por ello,</w:t>
      </w:r>
      <w:r w:rsidRPr="005229E1">
        <w:rPr>
          <w:rFonts w:cs="Arial"/>
          <w:sz w:val="26"/>
          <w:szCs w:val="26"/>
        </w:rPr>
        <w:t xml:space="preserve"> absolvió de todas las prestaciones a</w:t>
      </w:r>
      <w:r w:rsidR="00961274" w:rsidRPr="005229E1">
        <w:rPr>
          <w:rFonts w:cs="Arial"/>
          <w:sz w:val="26"/>
          <w:szCs w:val="26"/>
        </w:rPr>
        <w:t xml:space="preserve"> las personas morales</w:t>
      </w:r>
      <w:r w:rsidRPr="005229E1">
        <w:rPr>
          <w:rFonts w:cs="Arial"/>
          <w:sz w:val="26"/>
          <w:szCs w:val="26"/>
        </w:rPr>
        <w:t xml:space="preserve"> </w:t>
      </w:r>
      <w:r w:rsidR="00DC7967" w:rsidRPr="005229E1">
        <w:rPr>
          <w:rFonts w:cs="Arial"/>
          <w:sz w:val="26"/>
          <w:szCs w:val="26"/>
        </w:rPr>
        <w:t>“</w:t>
      </w:r>
      <w:r w:rsidR="004F198C" w:rsidRPr="005229E1">
        <w:rPr>
          <w:rFonts w:cs="Arial"/>
          <w:sz w:val="26"/>
          <w:szCs w:val="26"/>
        </w:rPr>
        <w:t xml:space="preserve">Grupo </w:t>
      </w:r>
      <w:r w:rsidRPr="005229E1">
        <w:rPr>
          <w:rFonts w:cs="Arial"/>
          <w:sz w:val="26"/>
          <w:szCs w:val="26"/>
        </w:rPr>
        <w:t>Danhos</w:t>
      </w:r>
      <w:r w:rsidR="00DC7967" w:rsidRPr="005229E1">
        <w:rPr>
          <w:rFonts w:cs="Arial"/>
          <w:sz w:val="26"/>
          <w:szCs w:val="26"/>
        </w:rPr>
        <w:t>”</w:t>
      </w:r>
      <w:r w:rsidRPr="005229E1">
        <w:rPr>
          <w:rFonts w:cs="Arial"/>
          <w:sz w:val="26"/>
          <w:szCs w:val="26"/>
        </w:rPr>
        <w:t>, Reforma 222 y Protección Privada 2010.</w:t>
      </w:r>
    </w:p>
    <w:p w14:paraId="7333AE8B" w14:textId="77777777" w:rsidR="0007635E" w:rsidRPr="003F6B95" w:rsidRDefault="0007635E" w:rsidP="0007635E">
      <w:pPr>
        <w:pStyle w:val="corte4fondo"/>
        <w:tabs>
          <w:tab w:val="left" w:pos="0"/>
        </w:tabs>
        <w:ind w:right="51" w:firstLine="0"/>
        <w:rPr>
          <w:rFonts w:cs="Arial"/>
          <w:b/>
          <w:bCs/>
          <w:sz w:val="26"/>
          <w:szCs w:val="26"/>
        </w:rPr>
      </w:pPr>
    </w:p>
    <w:p w14:paraId="69C623C8" w14:textId="6D8B32A2" w:rsidR="0007635E" w:rsidRPr="003F6B95" w:rsidRDefault="0007635E" w:rsidP="00EC4800">
      <w:pPr>
        <w:pStyle w:val="corte4fondo"/>
        <w:numPr>
          <w:ilvl w:val="0"/>
          <w:numId w:val="2"/>
        </w:numPr>
        <w:tabs>
          <w:tab w:val="left" w:pos="0"/>
        </w:tabs>
        <w:ind w:left="0" w:right="51" w:hanging="567"/>
        <w:rPr>
          <w:rFonts w:cs="Arial"/>
          <w:b/>
          <w:bCs/>
          <w:sz w:val="26"/>
          <w:szCs w:val="26"/>
        </w:rPr>
      </w:pPr>
      <w:r w:rsidRPr="003F6B95">
        <w:rPr>
          <w:rFonts w:cs="Arial"/>
          <w:b/>
          <w:bCs/>
          <w:sz w:val="26"/>
          <w:szCs w:val="26"/>
        </w:rPr>
        <w:t>Recurso de apelación</w:t>
      </w:r>
      <w:r w:rsidR="007A4531" w:rsidRPr="003F6B95">
        <w:rPr>
          <w:rFonts w:cs="Arial"/>
          <w:b/>
          <w:bCs/>
          <w:sz w:val="26"/>
          <w:szCs w:val="26"/>
        </w:rPr>
        <w:t xml:space="preserve"> </w:t>
      </w:r>
      <w:r w:rsidR="009164ED" w:rsidRPr="003F6B95">
        <w:rPr>
          <w:rFonts w:cs="Arial"/>
          <w:b/>
          <w:bCs/>
          <w:sz w:val="26"/>
          <w:szCs w:val="26"/>
        </w:rPr>
        <w:t>255/2019</w:t>
      </w:r>
      <w:r w:rsidRPr="003F6B95">
        <w:rPr>
          <w:rFonts w:cs="Arial"/>
          <w:b/>
          <w:bCs/>
          <w:sz w:val="26"/>
          <w:szCs w:val="26"/>
        </w:rPr>
        <w:t xml:space="preserve">. </w:t>
      </w:r>
      <w:r w:rsidRPr="003F6B95">
        <w:rPr>
          <w:rFonts w:cs="Arial"/>
          <w:sz w:val="26"/>
          <w:szCs w:val="26"/>
        </w:rPr>
        <w:t>Inconform</w:t>
      </w:r>
      <w:r w:rsidR="007B0985" w:rsidRPr="003F6B95">
        <w:rPr>
          <w:rFonts w:cs="Arial"/>
          <w:sz w:val="26"/>
          <w:szCs w:val="26"/>
        </w:rPr>
        <w:t>es</w:t>
      </w:r>
      <w:r w:rsidRPr="003F6B95">
        <w:rPr>
          <w:rFonts w:cs="Arial"/>
          <w:sz w:val="26"/>
          <w:szCs w:val="26"/>
        </w:rPr>
        <w:t xml:space="preserve">, el </w:t>
      </w:r>
      <w:r w:rsidR="00636DAC" w:rsidRPr="003F6B95">
        <w:rPr>
          <w:rFonts w:cs="Arial"/>
          <w:sz w:val="26"/>
          <w:szCs w:val="26"/>
        </w:rPr>
        <w:t xml:space="preserve">21 </w:t>
      </w:r>
      <w:r w:rsidRPr="003F6B95">
        <w:rPr>
          <w:rFonts w:cs="Arial"/>
          <w:sz w:val="26"/>
          <w:szCs w:val="26"/>
        </w:rPr>
        <w:t xml:space="preserve">de febrero de </w:t>
      </w:r>
      <w:r w:rsidR="00636DAC" w:rsidRPr="003F6B95">
        <w:rPr>
          <w:rFonts w:cs="Arial"/>
          <w:sz w:val="26"/>
          <w:szCs w:val="26"/>
        </w:rPr>
        <w:t>2019</w:t>
      </w:r>
      <w:r w:rsidR="00737129" w:rsidRPr="003F6B95">
        <w:rPr>
          <w:rFonts w:cs="Arial"/>
          <w:sz w:val="26"/>
          <w:szCs w:val="26"/>
        </w:rPr>
        <w:t>,</w:t>
      </w:r>
      <w:r w:rsidR="00C851A1" w:rsidRPr="003F6B95">
        <w:rPr>
          <w:rFonts w:cs="Arial"/>
          <w:sz w:val="26"/>
          <w:szCs w:val="26"/>
        </w:rPr>
        <w:t xml:space="preserve"> las señoras</w:t>
      </w:r>
      <w:r w:rsidRPr="003F6B95">
        <w:rPr>
          <w:rFonts w:cs="Arial"/>
          <w:sz w:val="26"/>
          <w:szCs w:val="26"/>
        </w:rPr>
        <w:t xml:space="preserve"> </w:t>
      </w:r>
      <w:r w:rsidRPr="003F6B95">
        <w:rPr>
          <w:rFonts w:cs="Arial"/>
          <w:color w:val="FF0000"/>
          <w:sz w:val="26"/>
          <w:szCs w:val="26"/>
        </w:rPr>
        <w:t xml:space="preserve">DF </w:t>
      </w:r>
      <w:r w:rsidRPr="003F6B95">
        <w:rPr>
          <w:rFonts w:cs="Arial"/>
          <w:sz w:val="26"/>
          <w:szCs w:val="26"/>
        </w:rPr>
        <w:t xml:space="preserve">y </w:t>
      </w:r>
      <w:r w:rsidRPr="003F6B95">
        <w:rPr>
          <w:rFonts w:cs="Arial"/>
          <w:color w:val="FF0000"/>
          <w:sz w:val="26"/>
          <w:szCs w:val="26"/>
        </w:rPr>
        <w:t xml:space="preserve">GB </w:t>
      </w:r>
      <w:r w:rsidRPr="003F6B95">
        <w:rPr>
          <w:rFonts w:cs="Arial"/>
          <w:sz w:val="26"/>
          <w:szCs w:val="26"/>
        </w:rPr>
        <w:t>interpusieron recurso de apelación</w:t>
      </w:r>
      <w:r w:rsidRPr="003F6B95">
        <w:rPr>
          <w:rStyle w:val="Refdenotaalpie"/>
          <w:rFonts w:cs="Arial"/>
          <w:sz w:val="26"/>
          <w:szCs w:val="26"/>
        </w:rPr>
        <w:footnoteReference w:id="9"/>
      </w:r>
      <w:r w:rsidRPr="003F6B95">
        <w:rPr>
          <w:rFonts w:cs="Arial"/>
          <w:sz w:val="26"/>
          <w:szCs w:val="26"/>
        </w:rPr>
        <w:t>. En su escrito</w:t>
      </w:r>
      <w:r w:rsidR="007B0985" w:rsidRPr="003F6B95">
        <w:rPr>
          <w:rFonts w:cs="Arial"/>
          <w:sz w:val="26"/>
          <w:szCs w:val="26"/>
        </w:rPr>
        <w:t xml:space="preserve">, sostuvieron </w:t>
      </w:r>
      <w:r w:rsidRPr="003F6B95">
        <w:rPr>
          <w:rFonts w:cs="Arial"/>
          <w:sz w:val="26"/>
          <w:szCs w:val="26"/>
        </w:rPr>
        <w:t>que</w:t>
      </w:r>
      <w:r w:rsidR="007B0985" w:rsidRPr="003F6B95">
        <w:rPr>
          <w:rFonts w:cs="Arial"/>
          <w:sz w:val="26"/>
          <w:szCs w:val="26"/>
        </w:rPr>
        <w:t xml:space="preserve"> la sentencia vulneró </w:t>
      </w:r>
      <w:r w:rsidRPr="003F6B95">
        <w:rPr>
          <w:rFonts w:cs="Arial"/>
          <w:sz w:val="26"/>
          <w:szCs w:val="26"/>
        </w:rPr>
        <w:t>los principios de congruencia y exhaustividad</w:t>
      </w:r>
      <w:r w:rsidR="002A5776" w:rsidRPr="003F6B95">
        <w:rPr>
          <w:rFonts w:cs="Arial"/>
          <w:sz w:val="26"/>
          <w:szCs w:val="26"/>
        </w:rPr>
        <w:t>,</w:t>
      </w:r>
      <w:r w:rsidRPr="003F6B95">
        <w:rPr>
          <w:rFonts w:cs="Arial"/>
          <w:sz w:val="26"/>
          <w:szCs w:val="26"/>
        </w:rPr>
        <w:t xml:space="preserve"> porque la jueza civil centró la </w:t>
      </w:r>
      <w:r w:rsidRPr="003F6B95">
        <w:rPr>
          <w:rFonts w:cs="Arial"/>
          <w:i/>
          <w:iCs/>
          <w:sz w:val="26"/>
          <w:szCs w:val="26"/>
        </w:rPr>
        <w:t>litis</w:t>
      </w:r>
      <w:r w:rsidRPr="003F6B95">
        <w:rPr>
          <w:rFonts w:cs="Arial"/>
          <w:sz w:val="26"/>
          <w:szCs w:val="26"/>
        </w:rPr>
        <w:t xml:space="preserve"> en la procedencia de la reparación por daño moral y soslayó las demás prestaciones que no se encontraban relacionadas con </w:t>
      </w:r>
      <w:r w:rsidR="007B0985" w:rsidRPr="003F6B95">
        <w:rPr>
          <w:rFonts w:cs="Arial"/>
          <w:sz w:val="26"/>
          <w:szCs w:val="26"/>
        </w:rPr>
        <w:t>é</w:t>
      </w:r>
      <w:r w:rsidRPr="003F6B95">
        <w:rPr>
          <w:rFonts w:cs="Arial"/>
          <w:sz w:val="26"/>
          <w:szCs w:val="26"/>
        </w:rPr>
        <w:t xml:space="preserve">sta. Por otra parte, argumentaron que </w:t>
      </w:r>
      <w:r w:rsidRPr="003F6B95">
        <w:rPr>
          <w:rFonts w:cs="Arial"/>
          <w:color w:val="4D5156"/>
          <w:sz w:val="26"/>
          <w:szCs w:val="26"/>
          <w:shd w:val="clear" w:color="auto" w:fill="FFFFFF"/>
        </w:rPr>
        <w:t>—</w:t>
      </w:r>
      <w:r w:rsidRPr="003F6B95">
        <w:rPr>
          <w:rFonts w:cs="Arial"/>
          <w:sz w:val="26"/>
          <w:szCs w:val="26"/>
        </w:rPr>
        <w:t>contrariamente a lo resuelto en la sentencia recurrida</w:t>
      </w:r>
      <w:r w:rsidRPr="003F6B95">
        <w:rPr>
          <w:rFonts w:cs="Arial"/>
          <w:color w:val="4D5156"/>
          <w:sz w:val="26"/>
          <w:szCs w:val="26"/>
          <w:shd w:val="clear" w:color="auto" w:fill="FFFFFF"/>
        </w:rPr>
        <w:t>—</w:t>
      </w:r>
      <w:r w:rsidRPr="003F6B95">
        <w:rPr>
          <w:rFonts w:cs="Arial"/>
          <w:sz w:val="26"/>
          <w:szCs w:val="26"/>
        </w:rPr>
        <w:t xml:space="preserve"> sí se acreditaron los </w:t>
      </w:r>
      <w:r w:rsidRPr="003F6B95">
        <w:rPr>
          <w:rFonts w:cs="Arial"/>
          <w:sz w:val="26"/>
          <w:szCs w:val="26"/>
        </w:rPr>
        <w:lastRenderedPageBreak/>
        <w:t>elementos constitutivos de la acción por daño moral</w:t>
      </w:r>
      <w:r w:rsidR="008921CC" w:rsidRPr="003F6B95">
        <w:rPr>
          <w:rFonts w:cs="Arial"/>
          <w:sz w:val="26"/>
          <w:szCs w:val="26"/>
        </w:rPr>
        <w:t xml:space="preserve">. Las quejosas delimitaron los siguientes elementos: </w:t>
      </w:r>
    </w:p>
    <w:p w14:paraId="37917F3A" w14:textId="77777777" w:rsidR="008921CC" w:rsidRPr="003F6B95" w:rsidRDefault="008921CC" w:rsidP="008921CC">
      <w:pPr>
        <w:pStyle w:val="Prrafodelista"/>
        <w:rPr>
          <w:rFonts w:ascii="Arial" w:hAnsi="Arial" w:cs="Arial"/>
          <w:b/>
          <w:bCs/>
          <w:sz w:val="26"/>
          <w:szCs w:val="26"/>
        </w:rPr>
      </w:pPr>
    </w:p>
    <w:p w14:paraId="18D46EC4" w14:textId="2948DAD0" w:rsidR="008921CC" w:rsidRPr="003F6B95" w:rsidRDefault="008921CC" w:rsidP="1A9D0C58">
      <w:pPr>
        <w:pStyle w:val="corte4fondo"/>
        <w:numPr>
          <w:ilvl w:val="0"/>
          <w:numId w:val="10"/>
        </w:numPr>
        <w:spacing w:after="120" w:line="276" w:lineRule="auto"/>
        <w:ind w:left="567" w:right="51" w:hanging="567"/>
        <w:rPr>
          <w:rFonts w:cs="Arial"/>
          <w:sz w:val="24"/>
          <w:szCs w:val="24"/>
          <w:lang w:val="es-ES"/>
        </w:rPr>
      </w:pPr>
      <w:r w:rsidRPr="003F6B95">
        <w:rPr>
          <w:rFonts w:cs="Arial"/>
          <w:b/>
          <w:color w:val="000000" w:themeColor="text1"/>
          <w:sz w:val="24"/>
          <w:szCs w:val="24"/>
          <w:lang w:val="es-ES"/>
        </w:rPr>
        <w:t>Primer elemento</w:t>
      </w:r>
      <w:r w:rsidR="007B0985" w:rsidRPr="003F6B95">
        <w:rPr>
          <w:rFonts w:cs="Arial"/>
          <w:b/>
          <w:color w:val="000000" w:themeColor="text1"/>
          <w:sz w:val="24"/>
          <w:szCs w:val="24"/>
          <w:lang w:val="es-ES"/>
        </w:rPr>
        <w:t>: h</w:t>
      </w:r>
      <w:r w:rsidRPr="003F6B95">
        <w:rPr>
          <w:rFonts w:cs="Arial"/>
          <w:b/>
          <w:color w:val="000000" w:themeColor="text1"/>
          <w:sz w:val="24"/>
          <w:szCs w:val="24"/>
          <w:lang w:val="es-ES"/>
        </w:rPr>
        <w:t>echo ilícito</w:t>
      </w:r>
      <w:r w:rsidR="007B0985" w:rsidRPr="003F6B95">
        <w:rPr>
          <w:rFonts w:cs="Arial"/>
          <w:b/>
          <w:color w:val="000000" w:themeColor="text1"/>
          <w:sz w:val="24"/>
          <w:szCs w:val="24"/>
          <w:lang w:val="es-ES"/>
        </w:rPr>
        <w:t xml:space="preserve">. </w:t>
      </w:r>
      <w:r w:rsidRPr="003F6B95">
        <w:rPr>
          <w:rFonts w:cs="Arial"/>
          <w:sz w:val="24"/>
          <w:szCs w:val="24"/>
          <w:lang w:val="es-ES"/>
        </w:rPr>
        <w:t xml:space="preserve">Se demostró que el personal de seguridad del centro </w:t>
      </w:r>
      <w:r w:rsidRPr="005229E1">
        <w:rPr>
          <w:rFonts w:cs="Arial"/>
          <w:sz w:val="24"/>
          <w:szCs w:val="24"/>
          <w:lang w:val="es-ES"/>
        </w:rPr>
        <w:t xml:space="preserve">comercial Reforma 222 negó </w:t>
      </w:r>
      <w:r w:rsidRPr="003F6B95">
        <w:rPr>
          <w:rFonts w:cs="Arial"/>
          <w:sz w:val="24"/>
          <w:szCs w:val="24"/>
          <w:lang w:val="es-ES"/>
        </w:rPr>
        <w:t xml:space="preserve">el acceso a los </w:t>
      </w:r>
      <w:r w:rsidR="003D777B" w:rsidRPr="003F6B95">
        <w:rPr>
          <w:rFonts w:cs="Arial"/>
          <w:sz w:val="24"/>
          <w:szCs w:val="24"/>
          <w:lang w:val="es-ES"/>
        </w:rPr>
        <w:t xml:space="preserve">sanitarios </w:t>
      </w:r>
      <w:r w:rsidRPr="003F6B95">
        <w:rPr>
          <w:rFonts w:cs="Arial"/>
          <w:sz w:val="24"/>
          <w:szCs w:val="24"/>
          <w:lang w:val="es-ES"/>
        </w:rPr>
        <w:t xml:space="preserve">de mujeres a </w:t>
      </w:r>
      <w:r w:rsidRPr="003F6B95">
        <w:rPr>
          <w:rFonts w:cs="Arial"/>
          <w:color w:val="FF0000"/>
          <w:sz w:val="24"/>
          <w:szCs w:val="24"/>
          <w:lang w:val="es-ES"/>
        </w:rPr>
        <w:t>JMDF</w:t>
      </w:r>
      <w:r w:rsidRPr="003F6B95">
        <w:rPr>
          <w:rFonts w:cs="Arial"/>
          <w:sz w:val="24"/>
          <w:szCs w:val="24"/>
          <w:lang w:val="es-ES"/>
        </w:rPr>
        <w:t xml:space="preserve"> y que le solicitó su identificación para poder acceder al servicio, ya que se le consideró como “hombre”</w:t>
      </w:r>
      <w:r w:rsidR="00D371C7" w:rsidRPr="003F6B95">
        <w:rPr>
          <w:rFonts w:cs="Arial"/>
          <w:sz w:val="24"/>
          <w:szCs w:val="24"/>
          <w:lang w:val="es-ES"/>
        </w:rPr>
        <w:t>. Asimismo, se demo</w:t>
      </w:r>
      <w:r w:rsidR="00595852" w:rsidRPr="003F6B95">
        <w:rPr>
          <w:rFonts w:cs="Arial"/>
          <w:sz w:val="24"/>
          <w:szCs w:val="24"/>
          <w:lang w:val="es-ES"/>
        </w:rPr>
        <w:t>s</w:t>
      </w:r>
      <w:r w:rsidR="00D371C7" w:rsidRPr="003F6B95">
        <w:rPr>
          <w:rFonts w:cs="Arial"/>
          <w:sz w:val="24"/>
          <w:szCs w:val="24"/>
          <w:lang w:val="es-ES"/>
        </w:rPr>
        <w:t xml:space="preserve">tró </w:t>
      </w:r>
      <w:r w:rsidRPr="003F6B95">
        <w:rPr>
          <w:rFonts w:cs="Arial"/>
          <w:sz w:val="24"/>
          <w:szCs w:val="24"/>
          <w:lang w:val="es-ES"/>
        </w:rPr>
        <w:t xml:space="preserve">que tanto </w:t>
      </w:r>
      <w:r w:rsidRPr="003F6B95">
        <w:rPr>
          <w:rFonts w:cs="Arial"/>
          <w:color w:val="FF0000"/>
          <w:sz w:val="24"/>
          <w:szCs w:val="24"/>
          <w:lang w:val="es-ES"/>
        </w:rPr>
        <w:t>JMDF</w:t>
      </w:r>
      <w:r w:rsidRPr="003F6B95">
        <w:rPr>
          <w:rFonts w:cs="Arial"/>
          <w:sz w:val="24"/>
          <w:szCs w:val="24"/>
          <w:lang w:val="es-ES"/>
        </w:rPr>
        <w:t xml:space="preserve"> como </w:t>
      </w:r>
      <w:r w:rsidRPr="003F6B95">
        <w:rPr>
          <w:rFonts w:cs="Arial"/>
          <w:color w:val="FF0000"/>
          <w:sz w:val="24"/>
          <w:szCs w:val="24"/>
          <w:lang w:val="es-ES"/>
        </w:rPr>
        <w:t>LNGB</w:t>
      </w:r>
      <w:r w:rsidRPr="003F6B95">
        <w:rPr>
          <w:rFonts w:cs="Arial"/>
          <w:sz w:val="24"/>
          <w:szCs w:val="24"/>
          <w:lang w:val="es-ES"/>
        </w:rPr>
        <w:t xml:space="preserve"> recibieron un trato indiferente y agresivo ante la denuncia de esos actos en el módulo de quejas.</w:t>
      </w:r>
    </w:p>
    <w:p w14:paraId="2B27A1A8" w14:textId="04D87821" w:rsidR="00901FF4" w:rsidRPr="003F6B95" w:rsidRDefault="008921CC" w:rsidP="00976F09">
      <w:pPr>
        <w:pStyle w:val="corte4fondo"/>
        <w:numPr>
          <w:ilvl w:val="0"/>
          <w:numId w:val="10"/>
        </w:numPr>
        <w:tabs>
          <w:tab w:val="left" w:pos="0"/>
        </w:tabs>
        <w:spacing w:after="120" w:line="276" w:lineRule="auto"/>
        <w:ind w:left="567" w:right="51" w:hanging="567"/>
        <w:rPr>
          <w:rFonts w:cs="Arial"/>
          <w:sz w:val="24"/>
          <w:szCs w:val="24"/>
        </w:rPr>
      </w:pPr>
      <w:r w:rsidRPr="003F6B95">
        <w:rPr>
          <w:rFonts w:cs="Arial"/>
          <w:b/>
          <w:bCs/>
          <w:color w:val="000000" w:themeColor="text1"/>
          <w:sz w:val="24"/>
          <w:szCs w:val="24"/>
        </w:rPr>
        <w:t>Segundo elemento</w:t>
      </w:r>
      <w:r w:rsidR="007B0985" w:rsidRPr="003F6B95">
        <w:rPr>
          <w:rFonts w:cs="Arial"/>
          <w:b/>
          <w:bCs/>
          <w:color w:val="000000" w:themeColor="text1"/>
          <w:sz w:val="24"/>
          <w:szCs w:val="24"/>
        </w:rPr>
        <w:t>: d</w:t>
      </w:r>
      <w:r w:rsidRPr="003F6B95">
        <w:rPr>
          <w:rFonts w:cs="Arial"/>
          <w:b/>
          <w:bCs/>
          <w:color w:val="000000" w:themeColor="text1"/>
          <w:sz w:val="24"/>
          <w:szCs w:val="24"/>
        </w:rPr>
        <w:t>año</w:t>
      </w:r>
      <w:r w:rsidR="007B0985" w:rsidRPr="003F6B95">
        <w:rPr>
          <w:rFonts w:cs="Arial"/>
          <w:b/>
          <w:bCs/>
          <w:color w:val="000000" w:themeColor="text1"/>
          <w:sz w:val="24"/>
          <w:szCs w:val="24"/>
        </w:rPr>
        <w:t xml:space="preserve">. </w:t>
      </w:r>
      <w:r w:rsidRPr="003F6B95">
        <w:rPr>
          <w:rFonts w:cs="Arial"/>
          <w:sz w:val="24"/>
          <w:szCs w:val="24"/>
        </w:rPr>
        <w:t xml:space="preserve">Se actualiza la presunción legal prevista en el primer párrafo del artículo 1916 del Código Civil para </w:t>
      </w:r>
      <w:bookmarkStart w:id="2" w:name="_Hlk182562638"/>
      <w:r w:rsidR="00453DDD">
        <w:rPr>
          <w:rFonts w:cs="Arial"/>
          <w:sz w:val="24"/>
          <w:szCs w:val="24"/>
        </w:rPr>
        <w:t>el Distrito Federal</w:t>
      </w:r>
      <w:bookmarkEnd w:id="2"/>
      <w:r w:rsidR="007637A9" w:rsidRPr="003F6B95">
        <w:rPr>
          <w:rFonts w:cs="Arial"/>
          <w:sz w:val="24"/>
          <w:szCs w:val="24"/>
        </w:rPr>
        <w:t>,</w:t>
      </w:r>
      <w:r w:rsidRPr="003F6B95">
        <w:rPr>
          <w:rFonts w:cs="Arial"/>
          <w:sz w:val="24"/>
          <w:szCs w:val="24"/>
        </w:rPr>
        <w:t xml:space="preserve"> al encontrarse acreditados los actos discriminatorios ejercidos en su contra</w:t>
      </w:r>
      <w:r w:rsidRPr="003F6B95">
        <w:rPr>
          <w:rStyle w:val="Refdenotaalpie"/>
          <w:rFonts w:cs="Arial"/>
          <w:sz w:val="24"/>
          <w:szCs w:val="24"/>
        </w:rPr>
        <w:footnoteReference w:id="10"/>
      </w:r>
      <w:r w:rsidRPr="003F6B95">
        <w:rPr>
          <w:rFonts w:cs="Arial"/>
          <w:sz w:val="24"/>
          <w:szCs w:val="24"/>
        </w:rPr>
        <w:t>. A</w:t>
      </w:r>
      <w:r w:rsidR="00965D8D" w:rsidRPr="003F6B95">
        <w:rPr>
          <w:rFonts w:cs="Arial"/>
          <w:sz w:val="24"/>
          <w:szCs w:val="24"/>
        </w:rPr>
        <w:t>dicionalmente, se</w:t>
      </w:r>
      <w:r w:rsidRPr="003F6B95">
        <w:rPr>
          <w:rFonts w:cs="Arial"/>
          <w:sz w:val="24"/>
          <w:szCs w:val="24"/>
        </w:rPr>
        <w:t xml:space="preserve"> aportaron elementos de convicción con los que se acredita el daño causado, </w:t>
      </w:r>
      <w:r w:rsidR="00965D8D" w:rsidRPr="003F6B95">
        <w:rPr>
          <w:rFonts w:cs="Arial"/>
          <w:sz w:val="24"/>
          <w:szCs w:val="24"/>
        </w:rPr>
        <w:t xml:space="preserve">entre los que destaca </w:t>
      </w:r>
      <w:r w:rsidRPr="003F6B95">
        <w:rPr>
          <w:rFonts w:cs="Arial"/>
          <w:sz w:val="24"/>
          <w:szCs w:val="24"/>
        </w:rPr>
        <w:t>el dictamen pericial en materia de psicología.</w:t>
      </w:r>
    </w:p>
    <w:p w14:paraId="39CD0D41" w14:textId="7CB4E2F7" w:rsidR="008921CC" w:rsidRPr="003F6B95" w:rsidRDefault="008921CC" w:rsidP="00976F09">
      <w:pPr>
        <w:pStyle w:val="corte4fondo"/>
        <w:numPr>
          <w:ilvl w:val="0"/>
          <w:numId w:val="10"/>
        </w:numPr>
        <w:spacing w:after="120" w:line="276" w:lineRule="auto"/>
        <w:ind w:left="567" w:right="51" w:hanging="567"/>
        <w:rPr>
          <w:rFonts w:cs="Arial"/>
          <w:sz w:val="24"/>
          <w:szCs w:val="24"/>
        </w:rPr>
      </w:pPr>
      <w:r w:rsidRPr="003F6B95">
        <w:rPr>
          <w:rFonts w:cs="Arial"/>
          <w:b/>
          <w:bCs/>
          <w:color w:val="000000" w:themeColor="text1"/>
          <w:sz w:val="24"/>
          <w:szCs w:val="24"/>
        </w:rPr>
        <w:t>Tercer elemento</w:t>
      </w:r>
      <w:r w:rsidR="007B0985" w:rsidRPr="003F6B95">
        <w:rPr>
          <w:rFonts w:cs="Arial"/>
          <w:b/>
          <w:bCs/>
          <w:color w:val="000000" w:themeColor="text1"/>
          <w:sz w:val="24"/>
          <w:szCs w:val="24"/>
        </w:rPr>
        <w:t>: n</w:t>
      </w:r>
      <w:r w:rsidRPr="003F6B95">
        <w:rPr>
          <w:rFonts w:cs="Arial"/>
          <w:b/>
          <w:bCs/>
          <w:color w:val="000000" w:themeColor="text1"/>
          <w:sz w:val="24"/>
          <w:szCs w:val="24"/>
        </w:rPr>
        <w:t>exo causal</w:t>
      </w:r>
      <w:r w:rsidR="007B0985" w:rsidRPr="003F6B95">
        <w:rPr>
          <w:rFonts w:cs="Arial"/>
          <w:b/>
          <w:bCs/>
          <w:color w:val="000000" w:themeColor="text1"/>
          <w:sz w:val="24"/>
          <w:szCs w:val="24"/>
        </w:rPr>
        <w:t xml:space="preserve">. </w:t>
      </w:r>
      <w:r w:rsidRPr="003F6B95">
        <w:rPr>
          <w:rFonts w:cs="Arial"/>
          <w:sz w:val="24"/>
          <w:szCs w:val="24"/>
        </w:rPr>
        <w:t xml:space="preserve">El nexo causal se desprende de la valoración conjunta de todas las pruebas y de la presunción de daño que opera frente a los actos discriminatorios. </w:t>
      </w:r>
    </w:p>
    <w:p w14:paraId="675CC19A" w14:textId="77777777" w:rsidR="008921CC" w:rsidRPr="003F6B95" w:rsidRDefault="008921CC" w:rsidP="008921CC">
      <w:pPr>
        <w:pStyle w:val="corte4fondo"/>
        <w:tabs>
          <w:tab w:val="left" w:pos="0"/>
        </w:tabs>
        <w:ind w:right="51" w:firstLine="0"/>
        <w:rPr>
          <w:rFonts w:cs="Arial"/>
          <w:b/>
          <w:bCs/>
          <w:sz w:val="26"/>
          <w:szCs w:val="26"/>
        </w:rPr>
      </w:pPr>
    </w:p>
    <w:p w14:paraId="73D404E3" w14:textId="66C034A1" w:rsidR="00082612" w:rsidRPr="003F6B95" w:rsidRDefault="00082612" w:rsidP="1A9D0C58">
      <w:pPr>
        <w:pStyle w:val="corte4fondo"/>
        <w:numPr>
          <w:ilvl w:val="0"/>
          <w:numId w:val="2"/>
        </w:numPr>
        <w:ind w:left="0" w:right="51" w:hanging="567"/>
        <w:rPr>
          <w:rFonts w:cs="Arial"/>
          <w:b/>
          <w:sz w:val="26"/>
          <w:szCs w:val="26"/>
          <w:lang w:val="es-ES"/>
        </w:rPr>
      </w:pPr>
      <w:r w:rsidRPr="003F6B95">
        <w:rPr>
          <w:rFonts w:cs="Arial"/>
          <w:b/>
          <w:sz w:val="26"/>
          <w:szCs w:val="26"/>
          <w:lang w:val="es-ES"/>
        </w:rPr>
        <w:t xml:space="preserve">Sentencia de apelación. </w:t>
      </w:r>
      <w:r w:rsidRPr="003F6B95">
        <w:rPr>
          <w:rFonts w:cs="Arial"/>
          <w:sz w:val="26"/>
          <w:szCs w:val="26"/>
          <w:lang w:val="es-ES"/>
        </w:rPr>
        <w:t xml:space="preserve">El </w:t>
      </w:r>
      <w:r w:rsidR="00965D8D" w:rsidRPr="003F6B95">
        <w:rPr>
          <w:rFonts w:cs="Arial"/>
          <w:sz w:val="26"/>
          <w:szCs w:val="26"/>
          <w:lang w:val="es-ES"/>
        </w:rPr>
        <w:t xml:space="preserve">1 </w:t>
      </w:r>
      <w:r w:rsidRPr="003F6B95">
        <w:rPr>
          <w:rFonts w:cs="Arial"/>
          <w:sz w:val="26"/>
          <w:szCs w:val="26"/>
          <w:lang w:val="es-ES"/>
        </w:rPr>
        <w:t xml:space="preserve">de julio de </w:t>
      </w:r>
      <w:r w:rsidR="00965D8D" w:rsidRPr="003F6B95">
        <w:rPr>
          <w:rFonts w:cs="Arial"/>
          <w:sz w:val="26"/>
          <w:szCs w:val="26"/>
          <w:lang w:val="es-ES"/>
        </w:rPr>
        <w:t>2019</w:t>
      </w:r>
      <w:r w:rsidRPr="003F6B95">
        <w:rPr>
          <w:rFonts w:cs="Arial"/>
          <w:sz w:val="26"/>
          <w:szCs w:val="26"/>
          <w:lang w:val="es-ES"/>
        </w:rPr>
        <w:t xml:space="preserve">, la </w:t>
      </w:r>
      <w:r w:rsidR="003166ED" w:rsidRPr="003F6B95">
        <w:rPr>
          <w:rFonts w:cs="Arial"/>
          <w:sz w:val="26"/>
          <w:szCs w:val="26"/>
          <w:lang w:val="es-ES"/>
        </w:rPr>
        <w:t>Cuarta S</w:t>
      </w:r>
      <w:r w:rsidRPr="003F6B95">
        <w:rPr>
          <w:rFonts w:cs="Arial"/>
          <w:sz w:val="26"/>
          <w:szCs w:val="26"/>
          <w:lang w:val="es-ES"/>
        </w:rPr>
        <w:t xml:space="preserve">ala </w:t>
      </w:r>
      <w:r w:rsidR="003166ED" w:rsidRPr="003F6B95">
        <w:rPr>
          <w:rFonts w:cs="Arial"/>
          <w:sz w:val="26"/>
          <w:szCs w:val="26"/>
          <w:lang w:val="es-ES"/>
        </w:rPr>
        <w:t>C</w:t>
      </w:r>
      <w:r w:rsidRPr="003F6B95">
        <w:rPr>
          <w:rFonts w:cs="Arial"/>
          <w:sz w:val="26"/>
          <w:szCs w:val="26"/>
          <w:lang w:val="es-ES"/>
        </w:rPr>
        <w:t xml:space="preserve">ivil </w:t>
      </w:r>
      <w:r w:rsidR="003166ED" w:rsidRPr="003F6B95">
        <w:rPr>
          <w:rFonts w:cs="Arial"/>
          <w:sz w:val="26"/>
          <w:szCs w:val="26"/>
          <w:lang w:val="es-ES"/>
        </w:rPr>
        <w:t xml:space="preserve">del Tribunal Superior de Justicia de la Ciudad de México </w:t>
      </w:r>
      <w:r w:rsidRPr="003F6B95">
        <w:rPr>
          <w:rFonts w:cs="Arial"/>
          <w:sz w:val="26"/>
          <w:szCs w:val="26"/>
          <w:lang w:val="es-ES"/>
        </w:rPr>
        <w:t>dictó sentencia</w:t>
      </w:r>
      <w:r w:rsidR="007637A9" w:rsidRPr="003F6B95">
        <w:rPr>
          <w:rFonts w:cs="Arial"/>
          <w:sz w:val="26"/>
          <w:szCs w:val="26"/>
          <w:lang w:val="es-ES"/>
        </w:rPr>
        <w:t>,</w:t>
      </w:r>
      <w:r w:rsidRPr="003F6B95">
        <w:rPr>
          <w:rFonts w:cs="Arial"/>
          <w:sz w:val="26"/>
          <w:szCs w:val="26"/>
          <w:lang w:val="es-ES"/>
        </w:rPr>
        <w:t xml:space="preserve"> en la que modificó</w:t>
      </w:r>
      <w:r w:rsidRPr="003F6B95">
        <w:rPr>
          <w:rFonts w:cs="Arial"/>
          <w:b/>
          <w:sz w:val="26"/>
          <w:szCs w:val="26"/>
          <w:lang w:val="es-ES"/>
        </w:rPr>
        <w:t xml:space="preserve"> </w:t>
      </w:r>
      <w:r w:rsidRPr="003F6B95">
        <w:rPr>
          <w:rFonts w:cs="Arial"/>
          <w:sz w:val="26"/>
          <w:szCs w:val="26"/>
          <w:lang w:val="es-ES"/>
        </w:rPr>
        <w:t>la resolución de primera instancia</w:t>
      </w:r>
      <w:r w:rsidR="00595025" w:rsidRPr="003F6B95">
        <w:rPr>
          <w:rFonts w:cs="Arial"/>
          <w:sz w:val="26"/>
          <w:szCs w:val="26"/>
          <w:lang w:val="es-ES"/>
        </w:rPr>
        <w:t>. La sala d</w:t>
      </w:r>
      <w:r w:rsidRPr="003F6B95">
        <w:rPr>
          <w:rFonts w:cs="Arial"/>
          <w:sz w:val="26"/>
          <w:szCs w:val="26"/>
          <w:lang w:val="es-ES"/>
        </w:rPr>
        <w:t>eterminó que</w:t>
      </w:r>
      <w:r w:rsidR="00595025" w:rsidRPr="003F6B95">
        <w:rPr>
          <w:rFonts w:cs="Arial"/>
          <w:sz w:val="26"/>
          <w:szCs w:val="26"/>
          <w:lang w:val="es-ES"/>
        </w:rPr>
        <w:t>, si bien</w:t>
      </w:r>
      <w:r w:rsidR="00C851A1" w:rsidRPr="003F6B95">
        <w:rPr>
          <w:rFonts w:cs="Arial"/>
          <w:sz w:val="26"/>
          <w:szCs w:val="26"/>
          <w:lang w:val="es-ES"/>
        </w:rPr>
        <w:t xml:space="preserve"> la señora</w:t>
      </w:r>
      <w:r w:rsidRPr="003F6B95">
        <w:rPr>
          <w:rFonts w:cs="Arial"/>
          <w:sz w:val="26"/>
          <w:szCs w:val="26"/>
          <w:lang w:val="es-ES"/>
        </w:rPr>
        <w:t xml:space="preserve"> </w:t>
      </w:r>
      <w:r w:rsidRPr="003F6B95">
        <w:rPr>
          <w:rFonts w:cs="Arial"/>
          <w:color w:val="FF0000"/>
          <w:sz w:val="26"/>
          <w:szCs w:val="26"/>
          <w:lang w:val="es-ES"/>
        </w:rPr>
        <w:t xml:space="preserve">DF </w:t>
      </w:r>
      <w:r w:rsidRPr="003F6B95">
        <w:rPr>
          <w:rFonts w:cs="Arial"/>
          <w:sz w:val="26"/>
          <w:szCs w:val="26"/>
          <w:lang w:val="es-ES"/>
        </w:rPr>
        <w:t xml:space="preserve">sí demostró los actos discriminatorios por razón de identidad y expresión de identidad de género ejercidos en su contra, </w:t>
      </w:r>
      <w:r w:rsidR="00595025" w:rsidRPr="003F6B95">
        <w:rPr>
          <w:rFonts w:cs="Arial"/>
          <w:sz w:val="26"/>
          <w:szCs w:val="26"/>
          <w:lang w:val="es-ES"/>
        </w:rPr>
        <w:t xml:space="preserve">no acreditó </w:t>
      </w:r>
      <w:r w:rsidRPr="003F6B95">
        <w:rPr>
          <w:rFonts w:cs="Arial"/>
          <w:sz w:val="26"/>
          <w:szCs w:val="26"/>
          <w:lang w:val="es-ES"/>
        </w:rPr>
        <w:t xml:space="preserve">la acción de daño moral, al no probar el daño provocado por el hecho ilícito. </w:t>
      </w:r>
      <w:r w:rsidR="000C4F86" w:rsidRPr="003F6B95">
        <w:rPr>
          <w:rFonts w:cs="Arial"/>
          <w:sz w:val="26"/>
          <w:szCs w:val="26"/>
          <w:lang w:val="es-ES"/>
        </w:rPr>
        <w:t xml:space="preserve">Respecto de </w:t>
      </w:r>
      <w:r w:rsidR="002348A7" w:rsidRPr="003F6B95">
        <w:rPr>
          <w:rFonts w:cs="Arial"/>
          <w:sz w:val="26"/>
          <w:szCs w:val="26"/>
          <w:lang w:val="es-ES"/>
        </w:rPr>
        <w:t xml:space="preserve">la señora </w:t>
      </w:r>
      <w:r w:rsidRPr="003F6B95">
        <w:rPr>
          <w:rFonts w:cs="Arial"/>
          <w:color w:val="FF0000"/>
          <w:sz w:val="26"/>
          <w:szCs w:val="26"/>
          <w:lang w:val="es-ES"/>
        </w:rPr>
        <w:t>GB</w:t>
      </w:r>
      <w:r w:rsidRPr="003F6B95">
        <w:rPr>
          <w:rFonts w:cs="Arial"/>
          <w:sz w:val="26"/>
          <w:szCs w:val="26"/>
          <w:lang w:val="es-ES"/>
        </w:rPr>
        <w:t xml:space="preserve">, la </w:t>
      </w:r>
      <w:r w:rsidR="000C4F86" w:rsidRPr="003F6B95">
        <w:rPr>
          <w:rFonts w:cs="Arial"/>
          <w:sz w:val="26"/>
          <w:szCs w:val="26"/>
          <w:lang w:val="es-ES"/>
        </w:rPr>
        <w:t xml:space="preserve">sala </w:t>
      </w:r>
      <w:r w:rsidRPr="003F6B95">
        <w:rPr>
          <w:rFonts w:cs="Arial"/>
          <w:sz w:val="26"/>
          <w:szCs w:val="26"/>
          <w:lang w:val="es-ES"/>
        </w:rPr>
        <w:t>consideró que</w:t>
      </w:r>
      <w:r w:rsidR="006B11AE" w:rsidRPr="003F6B95">
        <w:rPr>
          <w:rFonts w:cs="Arial"/>
          <w:sz w:val="26"/>
          <w:szCs w:val="26"/>
          <w:lang w:val="es-ES"/>
        </w:rPr>
        <w:t xml:space="preserve"> la actora</w:t>
      </w:r>
      <w:r w:rsidRPr="003F6B95">
        <w:rPr>
          <w:rFonts w:cs="Arial"/>
          <w:sz w:val="26"/>
          <w:szCs w:val="26"/>
          <w:lang w:val="es-ES"/>
        </w:rPr>
        <w:t xml:space="preserve"> no demostró los hechos</w:t>
      </w:r>
      <w:r w:rsidR="00E50825" w:rsidRPr="003F6B95">
        <w:rPr>
          <w:rFonts w:cs="Arial"/>
          <w:sz w:val="26"/>
          <w:szCs w:val="26"/>
          <w:lang w:val="es-ES"/>
        </w:rPr>
        <w:t xml:space="preserve"> discriminatorios</w:t>
      </w:r>
      <w:r w:rsidRPr="003F6B95">
        <w:rPr>
          <w:rFonts w:cs="Arial"/>
          <w:sz w:val="26"/>
          <w:szCs w:val="26"/>
          <w:lang w:val="es-ES"/>
        </w:rPr>
        <w:t xml:space="preserve"> constitutivos de sus pretensiones, dado que a ella no se</w:t>
      </w:r>
      <w:r w:rsidR="00A07CD2" w:rsidRPr="003F6B95">
        <w:rPr>
          <w:rFonts w:cs="Arial"/>
          <w:sz w:val="26"/>
          <w:szCs w:val="26"/>
          <w:lang w:val="es-ES"/>
        </w:rPr>
        <w:t xml:space="preserve"> le </w:t>
      </w:r>
      <w:r w:rsidRPr="003F6B95">
        <w:rPr>
          <w:rFonts w:cs="Arial"/>
          <w:sz w:val="26"/>
          <w:szCs w:val="26"/>
          <w:lang w:val="es-ES"/>
        </w:rPr>
        <w:t xml:space="preserve">impidió el acceso a los </w:t>
      </w:r>
      <w:r w:rsidR="006B11AE" w:rsidRPr="003F6B95">
        <w:rPr>
          <w:rFonts w:cs="Arial"/>
          <w:sz w:val="26"/>
          <w:szCs w:val="26"/>
          <w:lang w:val="es-ES"/>
        </w:rPr>
        <w:t xml:space="preserve">sanitarios </w:t>
      </w:r>
      <w:r w:rsidRPr="003F6B95">
        <w:rPr>
          <w:rFonts w:cs="Arial"/>
          <w:sz w:val="26"/>
          <w:szCs w:val="26"/>
          <w:lang w:val="es-ES"/>
        </w:rPr>
        <w:t>públicos de mujeres ni se le exigió una identificación para ingresar a ellos, por lo que carecía de acción en contra de las demandadas.</w:t>
      </w:r>
    </w:p>
    <w:p w14:paraId="27CC77EB" w14:textId="77777777" w:rsidR="00082612" w:rsidRPr="003F6B95" w:rsidRDefault="00082612" w:rsidP="00082612">
      <w:pPr>
        <w:pStyle w:val="corte4fondo"/>
        <w:tabs>
          <w:tab w:val="left" w:pos="0"/>
        </w:tabs>
        <w:ind w:right="51" w:firstLine="0"/>
        <w:rPr>
          <w:rFonts w:cs="Arial"/>
          <w:b/>
          <w:bCs/>
          <w:sz w:val="26"/>
          <w:szCs w:val="26"/>
        </w:rPr>
      </w:pPr>
    </w:p>
    <w:p w14:paraId="04AAD918" w14:textId="4B767DD3" w:rsidR="00FA41AE" w:rsidRPr="005229E1" w:rsidRDefault="00082612" w:rsidP="1A9D0C58">
      <w:pPr>
        <w:pStyle w:val="corte4fondo"/>
        <w:numPr>
          <w:ilvl w:val="0"/>
          <w:numId w:val="2"/>
        </w:numPr>
        <w:ind w:left="0" w:right="51" w:hanging="567"/>
        <w:rPr>
          <w:rFonts w:cs="Arial"/>
          <w:sz w:val="26"/>
          <w:szCs w:val="26"/>
          <w:lang w:val="es-ES"/>
        </w:rPr>
      </w:pPr>
      <w:r w:rsidRPr="003F6B95">
        <w:rPr>
          <w:rFonts w:cs="Arial"/>
          <w:sz w:val="26"/>
          <w:szCs w:val="26"/>
          <w:lang w:val="es-ES"/>
        </w:rPr>
        <w:t xml:space="preserve">Por otra parte, la </w:t>
      </w:r>
      <w:r w:rsidR="00E43DE0" w:rsidRPr="003F6B95">
        <w:rPr>
          <w:rFonts w:cs="Arial"/>
          <w:sz w:val="26"/>
          <w:szCs w:val="26"/>
          <w:lang w:val="es-ES"/>
        </w:rPr>
        <w:t xml:space="preserve">sala </w:t>
      </w:r>
      <w:r w:rsidRPr="003F6B95">
        <w:rPr>
          <w:rFonts w:cs="Arial"/>
          <w:sz w:val="26"/>
          <w:szCs w:val="26"/>
          <w:lang w:val="es-ES"/>
        </w:rPr>
        <w:t xml:space="preserve">determinó que la persona </w:t>
      </w:r>
      <w:r w:rsidRPr="005229E1">
        <w:rPr>
          <w:rFonts w:cs="Arial"/>
          <w:sz w:val="26"/>
          <w:szCs w:val="26"/>
          <w:lang w:val="es-ES"/>
        </w:rPr>
        <w:t>moral denominada Danhos care</w:t>
      </w:r>
      <w:r w:rsidR="00650E85" w:rsidRPr="005229E1">
        <w:rPr>
          <w:rFonts w:cs="Arial"/>
          <w:sz w:val="26"/>
          <w:szCs w:val="26"/>
          <w:lang w:val="es-ES"/>
        </w:rPr>
        <w:t>cía</w:t>
      </w:r>
      <w:r w:rsidRPr="005229E1">
        <w:rPr>
          <w:rFonts w:cs="Arial"/>
          <w:sz w:val="26"/>
          <w:szCs w:val="26"/>
          <w:lang w:val="es-ES"/>
        </w:rPr>
        <w:t xml:space="preserve"> de legitimidad pasiva en la causa y que </w:t>
      </w:r>
      <w:bookmarkStart w:id="3" w:name="_Hlk81325608"/>
      <w:r w:rsidRPr="005229E1">
        <w:rPr>
          <w:rFonts w:cs="Arial"/>
          <w:sz w:val="26"/>
          <w:szCs w:val="26"/>
          <w:lang w:val="es-ES"/>
        </w:rPr>
        <w:t xml:space="preserve">Protección Privada 2010 y Reforma 222 </w:t>
      </w:r>
      <w:bookmarkEnd w:id="3"/>
      <w:r w:rsidRPr="005229E1">
        <w:rPr>
          <w:rFonts w:cs="Arial"/>
          <w:sz w:val="26"/>
          <w:szCs w:val="26"/>
          <w:lang w:val="es-ES"/>
        </w:rPr>
        <w:t>demostraron parcialmente sus defensas y excepciones</w:t>
      </w:r>
      <w:r w:rsidRPr="005229E1">
        <w:rPr>
          <w:rStyle w:val="Refdenotaalpie"/>
          <w:rFonts w:cs="Arial"/>
          <w:sz w:val="26"/>
          <w:szCs w:val="26"/>
          <w:lang w:val="es-ES"/>
        </w:rPr>
        <w:footnoteReference w:id="11"/>
      </w:r>
      <w:r w:rsidRPr="005229E1">
        <w:rPr>
          <w:rFonts w:cs="Arial"/>
          <w:sz w:val="26"/>
          <w:szCs w:val="26"/>
          <w:lang w:val="es-ES"/>
        </w:rPr>
        <w:t xml:space="preserve">. Por </w:t>
      </w:r>
      <w:r w:rsidR="00261D83" w:rsidRPr="005229E1">
        <w:rPr>
          <w:rFonts w:cs="Arial"/>
          <w:sz w:val="26"/>
          <w:szCs w:val="26"/>
          <w:lang w:val="es-ES"/>
        </w:rPr>
        <w:lastRenderedPageBreak/>
        <w:t>ello</w:t>
      </w:r>
      <w:r w:rsidRPr="005229E1">
        <w:rPr>
          <w:rFonts w:cs="Arial"/>
          <w:sz w:val="26"/>
          <w:szCs w:val="26"/>
          <w:lang w:val="es-ES"/>
        </w:rPr>
        <w:t xml:space="preserve">, absolvió a </w:t>
      </w:r>
      <w:r w:rsidR="00650E85" w:rsidRPr="005229E1">
        <w:rPr>
          <w:rFonts w:cs="Arial"/>
          <w:sz w:val="26"/>
          <w:szCs w:val="26"/>
          <w:lang w:val="es-ES"/>
        </w:rPr>
        <w:t xml:space="preserve">éstas </w:t>
      </w:r>
      <w:r w:rsidRPr="005229E1">
        <w:rPr>
          <w:rFonts w:cs="Arial"/>
          <w:sz w:val="26"/>
          <w:szCs w:val="26"/>
          <w:lang w:val="es-ES"/>
        </w:rPr>
        <w:t>de las prestaciones exigidas y condenó a las actoras al pago de gastos y costas del juicio a favor de Dan</w:t>
      </w:r>
      <w:r w:rsidR="00211CA5" w:rsidRPr="005229E1">
        <w:rPr>
          <w:rFonts w:cs="Arial"/>
          <w:sz w:val="26"/>
          <w:szCs w:val="26"/>
          <w:lang w:val="es-ES"/>
        </w:rPr>
        <w:t>h</w:t>
      </w:r>
      <w:r w:rsidRPr="005229E1">
        <w:rPr>
          <w:rFonts w:cs="Arial"/>
          <w:sz w:val="26"/>
          <w:szCs w:val="26"/>
          <w:lang w:val="es-ES"/>
        </w:rPr>
        <w:t xml:space="preserve">os, y sólo </w:t>
      </w:r>
      <w:r w:rsidRPr="003F6B95">
        <w:rPr>
          <w:rFonts w:cs="Arial"/>
          <w:sz w:val="26"/>
          <w:szCs w:val="26"/>
          <w:lang w:val="es-ES"/>
        </w:rPr>
        <w:t>a</w:t>
      </w:r>
      <w:r w:rsidR="002348A7" w:rsidRPr="003F6B95">
        <w:rPr>
          <w:rFonts w:cs="Arial"/>
          <w:sz w:val="26"/>
          <w:szCs w:val="26"/>
          <w:lang w:val="es-ES"/>
        </w:rPr>
        <w:t xml:space="preserve"> la señora</w:t>
      </w:r>
      <w:r w:rsidRPr="003F6B95">
        <w:rPr>
          <w:rFonts w:cs="Arial"/>
          <w:sz w:val="26"/>
          <w:szCs w:val="26"/>
          <w:lang w:val="es-ES"/>
        </w:rPr>
        <w:t xml:space="preserve"> </w:t>
      </w:r>
      <w:r w:rsidRPr="003F6B95">
        <w:rPr>
          <w:rFonts w:cs="Arial"/>
          <w:color w:val="FF0000"/>
          <w:sz w:val="26"/>
          <w:szCs w:val="26"/>
          <w:lang w:val="es-ES"/>
        </w:rPr>
        <w:t xml:space="preserve">GB </w:t>
      </w:r>
      <w:r w:rsidRPr="003F6B95">
        <w:rPr>
          <w:rFonts w:cs="Arial"/>
          <w:sz w:val="26"/>
          <w:szCs w:val="26"/>
          <w:lang w:val="es-ES"/>
        </w:rPr>
        <w:t>al pago de gastos y costas en ambas instancias a favor de las diversas codemandadas</w:t>
      </w:r>
      <w:r w:rsidR="00650E85" w:rsidRPr="003F6B95">
        <w:rPr>
          <w:rFonts w:cs="Arial"/>
          <w:sz w:val="26"/>
          <w:szCs w:val="26"/>
          <w:lang w:val="es-ES"/>
        </w:rPr>
        <w:t xml:space="preserve"> (es decir, </w:t>
      </w:r>
      <w:r w:rsidRPr="003F6B95">
        <w:rPr>
          <w:rFonts w:cs="Arial"/>
          <w:sz w:val="26"/>
          <w:szCs w:val="26"/>
          <w:lang w:val="es-ES"/>
        </w:rPr>
        <w:t xml:space="preserve">en favor de las personas morales </w:t>
      </w:r>
      <w:r w:rsidRPr="005229E1">
        <w:rPr>
          <w:rFonts w:cs="Arial"/>
          <w:sz w:val="26"/>
          <w:szCs w:val="26"/>
          <w:lang w:val="es-ES"/>
        </w:rPr>
        <w:t>Protección Privada 2010 y Reforma 222</w:t>
      </w:r>
      <w:r w:rsidR="00650E85" w:rsidRPr="005229E1">
        <w:rPr>
          <w:rFonts w:cs="Arial"/>
          <w:sz w:val="26"/>
          <w:szCs w:val="26"/>
          <w:lang w:val="es-ES"/>
        </w:rPr>
        <w:t>)</w:t>
      </w:r>
      <w:r w:rsidRPr="005229E1">
        <w:rPr>
          <w:rStyle w:val="Refdenotaalpie"/>
          <w:rFonts w:cs="Arial"/>
          <w:sz w:val="26"/>
          <w:szCs w:val="26"/>
          <w:lang w:val="es-ES"/>
        </w:rPr>
        <w:footnoteReference w:id="12"/>
      </w:r>
      <w:r w:rsidRPr="005229E1">
        <w:rPr>
          <w:rFonts w:cs="Arial"/>
          <w:sz w:val="26"/>
          <w:szCs w:val="26"/>
          <w:lang w:val="es-ES"/>
        </w:rPr>
        <w:t>.</w:t>
      </w:r>
    </w:p>
    <w:p w14:paraId="04A52A77" w14:textId="77777777" w:rsidR="00106A79" w:rsidRPr="003F6B95" w:rsidRDefault="00106A79" w:rsidP="00976F09">
      <w:pPr>
        <w:pStyle w:val="corte4fondo"/>
        <w:tabs>
          <w:tab w:val="left" w:pos="0"/>
        </w:tabs>
        <w:ind w:right="51" w:firstLine="0"/>
        <w:rPr>
          <w:rFonts w:cs="Arial"/>
          <w:sz w:val="26"/>
          <w:szCs w:val="26"/>
        </w:rPr>
      </w:pPr>
    </w:p>
    <w:p w14:paraId="584455BD" w14:textId="3BF8B9AA" w:rsidR="007641BD" w:rsidRPr="003F6B95" w:rsidRDefault="00FA41AE" w:rsidP="00976F09">
      <w:pPr>
        <w:pStyle w:val="corte4fondo"/>
        <w:numPr>
          <w:ilvl w:val="0"/>
          <w:numId w:val="2"/>
        </w:numPr>
        <w:tabs>
          <w:tab w:val="left" w:pos="0"/>
        </w:tabs>
        <w:spacing w:after="240"/>
        <w:ind w:left="0" w:right="51" w:hanging="567"/>
        <w:rPr>
          <w:rFonts w:cs="Arial"/>
          <w:sz w:val="26"/>
          <w:szCs w:val="26"/>
        </w:rPr>
      </w:pPr>
      <w:r w:rsidRPr="003F6B95">
        <w:rPr>
          <w:rFonts w:cs="Arial"/>
          <w:sz w:val="26"/>
          <w:szCs w:val="26"/>
        </w:rPr>
        <w:t xml:space="preserve">La </w:t>
      </w:r>
      <w:r w:rsidR="00636DAC" w:rsidRPr="003F6B95">
        <w:rPr>
          <w:rFonts w:cs="Arial"/>
          <w:sz w:val="26"/>
          <w:szCs w:val="26"/>
        </w:rPr>
        <w:t>s</w:t>
      </w:r>
      <w:r w:rsidRPr="003F6B95">
        <w:rPr>
          <w:rFonts w:cs="Arial"/>
          <w:sz w:val="26"/>
          <w:szCs w:val="26"/>
        </w:rPr>
        <w:t xml:space="preserve">ala responsable resolvió el </w:t>
      </w:r>
      <w:r w:rsidR="002927C2" w:rsidRPr="003F6B95">
        <w:rPr>
          <w:rFonts w:cs="Arial"/>
          <w:sz w:val="26"/>
          <w:szCs w:val="26"/>
        </w:rPr>
        <w:t xml:space="preserve">asunto </w:t>
      </w:r>
      <w:r w:rsidRPr="003F6B95">
        <w:rPr>
          <w:rFonts w:cs="Arial"/>
          <w:sz w:val="26"/>
          <w:szCs w:val="26"/>
        </w:rPr>
        <w:t>con base en los siguientes argumentos:</w:t>
      </w:r>
    </w:p>
    <w:p w14:paraId="7A9CB3CD" w14:textId="7A5F130D" w:rsidR="007D37E6" w:rsidRPr="003F6B95" w:rsidRDefault="007641BD" w:rsidP="00976F09">
      <w:pPr>
        <w:pStyle w:val="corte4fondo"/>
        <w:numPr>
          <w:ilvl w:val="0"/>
          <w:numId w:val="6"/>
        </w:numPr>
        <w:tabs>
          <w:tab w:val="left" w:pos="851"/>
          <w:tab w:val="left" w:pos="1276"/>
        </w:tabs>
        <w:spacing w:after="120" w:line="276" w:lineRule="auto"/>
        <w:ind w:left="567" w:right="51" w:hanging="567"/>
        <w:rPr>
          <w:rFonts w:cs="Arial"/>
          <w:sz w:val="24"/>
          <w:szCs w:val="24"/>
        </w:rPr>
      </w:pPr>
      <w:r w:rsidRPr="003F6B95">
        <w:rPr>
          <w:rFonts w:cs="Arial"/>
          <w:b/>
          <w:bCs/>
          <w:color w:val="000000" w:themeColor="text1"/>
          <w:sz w:val="24"/>
          <w:szCs w:val="24"/>
        </w:rPr>
        <w:t>Valor probatorio</w:t>
      </w:r>
      <w:r w:rsidR="007D37E6" w:rsidRPr="003F6B95">
        <w:rPr>
          <w:rFonts w:cs="Arial"/>
          <w:b/>
          <w:bCs/>
          <w:color w:val="000000" w:themeColor="text1"/>
          <w:sz w:val="24"/>
          <w:szCs w:val="24"/>
        </w:rPr>
        <w:t xml:space="preserve"> de las constancias de COPRED</w:t>
      </w:r>
      <w:r w:rsidR="00CD1365" w:rsidRPr="003F6B95">
        <w:rPr>
          <w:rFonts w:cs="Arial"/>
          <w:b/>
          <w:bCs/>
          <w:color w:val="000000" w:themeColor="text1"/>
          <w:sz w:val="24"/>
          <w:szCs w:val="24"/>
        </w:rPr>
        <w:t xml:space="preserve">. </w:t>
      </w:r>
      <w:r w:rsidR="00CD1365" w:rsidRPr="003F6B95">
        <w:rPr>
          <w:rFonts w:cs="Arial"/>
          <w:sz w:val="24"/>
          <w:szCs w:val="24"/>
        </w:rPr>
        <w:t>L</w:t>
      </w:r>
      <w:r w:rsidR="007D37E6" w:rsidRPr="003F6B95">
        <w:rPr>
          <w:rFonts w:cs="Arial"/>
          <w:sz w:val="24"/>
          <w:szCs w:val="24"/>
        </w:rPr>
        <w:t>a juez</w:t>
      </w:r>
      <w:r w:rsidR="00CD1365" w:rsidRPr="003F6B95">
        <w:rPr>
          <w:rFonts w:cs="Arial"/>
          <w:sz w:val="24"/>
          <w:szCs w:val="24"/>
        </w:rPr>
        <w:t>a</w:t>
      </w:r>
      <w:r w:rsidR="007D37E6" w:rsidRPr="003F6B95">
        <w:rPr>
          <w:rFonts w:cs="Arial"/>
          <w:sz w:val="24"/>
          <w:szCs w:val="24"/>
        </w:rPr>
        <w:t xml:space="preserve"> de primera instancia valoró de manera incorrecta las constancias derivadas del procedimiento de conciliación ante COPRED y erróneamente les concedió valor indiciario. </w:t>
      </w:r>
      <w:r w:rsidR="00470DDA" w:rsidRPr="003F6B95">
        <w:rPr>
          <w:rFonts w:cs="Arial"/>
          <w:sz w:val="24"/>
          <w:szCs w:val="24"/>
        </w:rPr>
        <w:t>En cambio</w:t>
      </w:r>
      <w:r w:rsidR="007D37E6" w:rsidRPr="003F6B95">
        <w:rPr>
          <w:rFonts w:cs="Arial"/>
          <w:sz w:val="24"/>
          <w:szCs w:val="24"/>
        </w:rPr>
        <w:t>, dichas constancias poseen valor probatorio pleno en tanto que tienen fuerza juzgada y traen aparejada su ejecución</w:t>
      </w:r>
      <w:r w:rsidR="007D37E6" w:rsidRPr="003F6B95">
        <w:rPr>
          <w:rStyle w:val="Refdenotaalpie"/>
          <w:rFonts w:cs="Arial"/>
          <w:sz w:val="24"/>
          <w:szCs w:val="24"/>
        </w:rPr>
        <w:footnoteReference w:id="13"/>
      </w:r>
      <w:r w:rsidR="007D37E6" w:rsidRPr="003F6B95">
        <w:rPr>
          <w:rFonts w:cs="Arial"/>
          <w:sz w:val="24"/>
          <w:szCs w:val="24"/>
        </w:rPr>
        <w:t>.</w:t>
      </w:r>
    </w:p>
    <w:p w14:paraId="202C0EA1" w14:textId="52B8E484" w:rsidR="00CD1365" w:rsidRPr="003F6B95" w:rsidRDefault="007D37E6" w:rsidP="00976F09">
      <w:pPr>
        <w:pStyle w:val="corte4fondo"/>
        <w:numPr>
          <w:ilvl w:val="0"/>
          <w:numId w:val="6"/>
        </w:numPr>
        <w:tabs>
          <w:tab w:val="left" w:pos="851"/>
          <w:tab w:val="left" w:pos="1276"/>
        </w:tabs>
        <w:spacing w:after="120" w:line="276" w:lineRule="auto"/>
        <w:ind w:left="567" w:right="51" w:hanging="567"/>
        <w:rPr>
          <w:rFonts w:cs="Arial"/>
          <w:sz w:val="24"/>
          <w:szCs w:val="24"/>
          <w:lang w:val="es-ES"/>
        </w:rPr>
      </w:pPr>
      <w:r w:rsidRPr="003F6B95">
        <w:rPr>
          <w:rFonts w:cs="Arial"/>
          <w:b/>
          <w:color w:val="000000" w:themeColor="text1"/>
          <w:sz w:val="24"/>
          <w:szCs w:val="24"/>
          <w:lang w:val="es-ES"/>
        </w:rPr>
        <w:t xml:space="preserve">Existencia del acto discriminatorio respecto de </w:t>
      </w:r>
      <w:r w:rsidRPr="003F6B95">
        <w:rPr>
          <w:rFonts w:cs="Arial"/>
          <w:b/>
          <w:color w:val="FF0000"/>
          <w:sz w:val="24"/>
          <w:szCs w:val="24"/>
          <w:lang w:val="es-ES"/>
        </w:rPr>
        <w:t>JMDF</w:t>
      </w:r>
      <w:r w:rsidR="00CD1365" w:rsidRPr="003F6B95">
        <w:rPr>
          <w:rFonts w:cs="Arial"/>
          <w:sz w:val="24"/>
          <w:szCs w:val="24"/>
          <w:lang w:val="es-ES"/>
        </w:rPr>
        <w:t xml:space="preserve">. </w:t>
      </w:r>
      <w:r w:rsidRPr="003F6B95">
        <w:rPr>
          <w:rFonts w:cs="Arial"/>
          <w:sz w:val="24"/>
          <w:szCs w:val="24"/>
          <w:lang w:val="es-ES"/>
        </w:rPr>
        <w:t xml:space="preserve">Con base en el valor probatorio otorgado a las constancias derivadas del procedimiento ante COPRED, </w:t>
      </w:r>
      <w:r w:rsidR="004D1DE8" w:rsidRPr="003F6B95">
        <w:rPr>
          <w:rFonts w:cs="Arial"/>
          <w:sz w:val="24"/>
          <w:szCs w:val="24"/>
          <w:lang w:val="es-ES"/>
        </w:rPr>
        <w:t xml:space="preserve">se </w:t>
      </w:r>
      <w:r w:rsidR="002B2801" w:rsidRPr="003F6B95">
        <w:rPr>
          <w:rFonts w:cs="Arial"/>
          <w:sz w:val="24"/>
          <w:szCs w:val="24"/>
          <w:lang w:val="es-ES"/>
        </w:rPr>
        <w:t>acredita</w:t>
      </w:r>
      <w:r w:rsidRPr="003F6B95">
        <w:rPr>
          <w:rFonts w:cs="Arial"/>
          <w:sz w:val="24"/>
          <w:szCs w:val="24"/>
          <w:lang w:val="es-ES"/>
        </w:rPr>
        <w:t xml:space="preserve"> la existencia de un acto discriminatorio cometido únicamente en contra de</w:t>
      </w:r>
      <w:r w:rsidR="002348A7" w:rsidRPr="003F6B95">
        <w:rPr>
          <w:rFonts w:cs="Arial"/>
          <w:sz w:val="24"/>
          <w:szCs w:val="24"/>
          <w:lang w:val="es-ES"/>
        </w:rPr>
        <w:t xml:space="preserve"> la señora </w:t>
      </w:r>
      <w:r w:rsidRPr="003F6B95">
        <w:rPr>
          <w:rFonts w:cs="Arial"/>
          <w:color w:val="FF0000"/>
          <w:sz w:val="24"/>
          <w:szCs w:val="24"/>
          <w:lang w:val="es-ES"/>
        </w:rPr>
        <w:t>DF</w:t>
      </w:r>
      <w:r w:rsidRPr="003F6B95">
        <w:rPr>
          <w:rFonts w:cs="Arial"/>
          <w:sz w:val="24"/>
          <w:szCs w:val="24"/>
          <w:lang w:val="es-ES"/>
        </w:rPr>
        <w:t>. Ello</w:t>
      </w:r>
      <w:r w:rsidR="00AE255B" w:rsidRPr="003F6B95">
        <w:rPr>
          <w:rFonts w:cs="Arial"/>
          <w:sz w:val="24"/>
          <w:szCs w:val="24"/>
          <w:lang w:val="es-ES"/>
        </w:rPr>
        <w:t>,</w:t>
      </w:r>
      <w:r w:rsidRPr="003F6B95">
        <w:rPr>
          <w:rFonts w:cs="Arial"/>
          <w:sz w:val="24"/>
          <w:szCs w:val="24"/>
          <w:lang w:val="es-ES"/>
        </w:rPr>
        <w:t xml:space="preserve"> </w:t>
      </w:r>
      <w:r w:rsidR="004D1DE8" w:rsidRPr="003F6B95">
        <w:rPr>
          <w:rFonts w:cs="Arial"/>
          <w:sz w:val="24"/>
          <w:szCs w:val="24"/>
          <w:lang w:val="es-ES"/>
        </w:rPr>
        <w:t xml:space="preserve">dado </w:t>
      </w:r>
      <w:r w:rsidRPr="003F6B95">
        <w:rPr>
          <w:rFonts w:cs="Arial"/>
          <w:sz w:val="24"/>
          <w:szCs w:val="24"/>
          <w:lang w:val="es-ES"/>
        </w:rPr>
        <w:t xml:space="preserve">que la voluntad de las empresas para llevar a cabo un procedimiento de conciliación supuso un reconocimiento de los hechos discriminatorios denunciados. Así, el hecho discriminatorio acreditado </w:t>
      </w:r>
      <w:r w:rsidR="003E6ADF" w:rsidRPr="003F6B95">
        <w:rPr>
          <w:rFonts w:cs="Arial"/>
          <w:sz w:val="24"/>
          <w:szCs w:val="24"/>
          <w:lang w:val="es-ES"/>
        </w:rPr>
        <w:t xml:space="preserve">consiste </w:t>
      </w:r>
      <w:r w:rsidRPr="003F6B95">
        <w:rPr>
          <w:rFonts w:cs="Arial"/>
          <w:sz w:val="24"/>
          <w:szCs w:val="24"/>
          <w:lang w:val="es-ES"/>
        </w:rPr>
        <w:t>en que</w:t>
      </w:r>
      <w:r w:rsidR="00B372B2" w:rsidRPr="003F6B95">
        <w:rPr>
          <w:rFonts w:cs="Arial"/>
          <w:sz w:val="24"/>
          <w:szCs w:val="24"/>
          <w:lang w:val="es-ES"/>
        </w:rPr>
        <w:t>,</w:t>
      </w:r>
      <w:r w:rsidRPr="003F6B95">
        <w:rPr>
          <w:rFonts w:cs="Arial"/>
          <w:sz w:val="24"/>
          <w:szCs w:val="24"/>
          <w:lang w:val="es-ES"/>
        </w:rPr>
        <w:t xml:space="preserve"> para permitirle el acceso al </w:t>
      </w:r>
      <w:r w:rsidR="00FB1F0D" w:rsidRPr="003F6B95">
        <w:rPr>
          <w:rFonts w:cs="Arial"/>
          <w:sz w:val="24"/>
          <w:szCs w:val="24"/>
          <w:lang w:val="es-ES"/>
        </w:rPr>
        <w:t>“</w:t>
      </w:r>
      <w:r w:rsidRPr="003F6B95">
        <w:rPr>
          <w:rFonts w:cs="Arial"/>
          <w:sz w:val="24"/>
          <w:szCs w:val="24"/>
          <w:lang w:val="es-ES"/>
        </w:rPr>
        <w:t>baño de mujeres</w:t>
      </w:r>
      <w:r w:rsidR="00FB1F0D" w:rsidRPr="003F6B95">
        <w:rPr>
          <w:rFonts w:cs="Arial"/>
          <w:sz w:val="24"/>
          <w:szCs w:val="24"/>
          <w:lang w:val="es-ES"/>
        </w:rPr>
        <w:t>”</w:t>
      </w:r>
      <w:r w:rsidR="00B372B2" w:rsidRPr="003F6B95">
        <w:rPr>
          <w:rFonts w:cs="Arial"/>
          <w:sz w:val="24"/>
          <w:szCs w:val="24"/>
          <w:lang w:val="es-ES"/>
        </w:rPr>
        <w:t>,</w:t>
      </w:r>
      <w:r w:rsidRPr="003F6B95">
        <w:rPr>
          <w:rFonts w:cs="Arial"/>
          <w:sz w:val="24"/>
          <w:szCs w:val="24"/>
          <w:lang w:val="es-ES"/>
        </w:rPr>
        <w:t xml:space="preserve"> personal de la </w:t>
      </w:r>
      <w:r w:rsidRPr="005229E1">
        <w:rPr>
          <w:rFonts w:cs="Arial"/>
          <w:sz w:val="24"/>
          <w:szCs w:val="24"/>
          <w:lang w:val="es-ES"/>
        </w:rPr>
        <w:t xml:space="preserve">empresa Protección Privada 2010 le </w:t>
      </w:r>
      <w:r w:rsidRPr="003F6B95">
        <w:rPr>
          <w:rFonts w:cs="Arial"/>
          <w:sz w:val="24"/>
          <w:szCs w:val="24"/>
          <w:lang w:val="es-ES"/>
        </w:rPr>
        <w:t>exigió a la quejosa presentar una identificación oficial</w:t>
      </w:r>
      <w:r w:rsidR="00B372B2" w:rsidRPr="003F6B95">
        <w:rPr>
          <w:rFonts w:cs="Arial"/>
          <w:sz w:val="24"/>
          <w:szCs w:val="24"/>
          <w:lang w:val="es-ES"/>
        </w:rPr>
        <w:t>,</w:t>
      </w:r>
      <w:r w:rsidRPr="003F6B95">
        <w:rPr>
          <w:rFonts w:cs="Arial"/>
          <w:sz w:val="24"/>
          <w:szCs w:val="24"/>
          <w:lang w:val="es-ES"/>
        </w:rPr>
        <w:t xml:space="preserve"> pues a su consideración ella era un </w:t>
      </w:r>
      <w:r w:rsidR="00B372B2" w:rsidRPr="003F6B95">
        <w:rPr>
          <w:rFonts w:cs="Arial"/>
          <w:sz w:val="24"/>
          <w:szCs w:val="24"/>
          <w:lang w:val="es-ES"/>
        </w:rPr>
        <w:t>“</w:t>
      </w:r>
      <w:r w:rsidRPr="003F6B95">
        <w:rPr>
          <w:rFonts w:cs="Arial"/>
          <w:sz w:val="24"/>
          <w:szCs w:val="24"/>
          <w:lang w:val="es-ES"/>
        </w:rPr>
        <w:t>hombre</w:t>
      </w:r>
      <w:r w:rsidR="00B372B2" w:rsidRPr="003F6B95">
        <w:rPr>
          <w:rFonts w:cs="Arial"/>
          <w:sz w:val="24"/>
          <w:szCs w:val="24"/>
          <w:lang w:val="es-ES"/>
        </w:rPr>
        <w:t>”</w:t>
      </w:r>
      <w:r w:rsidRPr="003F6B95">
        <w:rPr>
          <w:rFonts w:cs="Arial"/>
          <w:sz w:val="24"/>
          <w:szCs w:val="24"/>
          <w:lang w:val="es-ES"/>
        </w:rPr>
        <w:t xml:space="preserve">. </w:t>
      </w:r>
      <w:r w:rsidR="00706225" w:rsidRPr="003F6B95">
        <w:rPr>
          <w:rFonts w:cs="Arial"/>
          <w:sz w:val="24"/>
          <w:szCs w:val="24"/>
          <w:lang w:val="es-ES"/>
        </w:rPr>
        <w:t>D</w:t>
      </w:r>
      <w:r w:rsidRPr="003F6B95">
        <w:rPr>
          <w:rFonts w:cs="Arial"/>
          <w:sz w:val="24"/>
          <w:szCs w:val="24"/>
          <w:lang w:val="es-ES"/>
        </w:rPr>
        <w:t>icho acto atentó contra los derechos a la igualdad, no discriminación, libre desarrollo de la personalidad, así como a la identidad y expresión de género de</w:t>
      </w:r>
      <w:r w:rsidR="002348A7" w:rsidRPr="003F6B95">
        <w:rPr>
          <w:rFonts w:cs="Arial"/>
          <w:sz w:val="24"/>
          <w:szCs w:val="24"/>
          <w:lang w:val="es-ES"/>
        </w:rPr>
        <w:t xml:space="preserve"> la señora</w:t>
      </w:r>
      <w:r w:rsidRPr="003F6B95">
        <w:rPr>
          <w:rFonts w:cs="Arial"/>
          <w:sz w:val="24"/>
          <w:szCs w:val="24"/>
          <w:lang w:val="es-ES"/>
        </w:rPr>
        <w:t xml:space="preserve"> </w:t>
      </w:r>
      <w:r w:rsidRPr="003F6B95">
        <w:rPr>
          <w:rFonts w:cs="Arial"/>
          <w:color w:val="FF0000"/>
          <w:sz w:val="24"/>
          <w:szCs w:val="24"/>
          <w:lang w:val="es-ES"/>
        </w:rPr>
        <w:t>DF</w:t>
      </w:r>
      <w:r w:rsidRPr="003F6B95">
        <w:rPr>
          <w:rStyle w:val="Refdenotaalpie"/>
          <w:rFonts w:cs="Arial"/>
          <w:sz w:val="24"/>
          <w:szCs w:val="24"/>
          <w:lang w:val="es-ES"/>
        </w:rPr>
        <w:footnoteReference w:id="14"/>
      </w:r>
      <w:r w:rsidRPr="003F6B95">
        <w:rPr>
          <w:rFonts w:cs="Arial"/>
          <w:sz w:val="24"/>
          <w:szCs w:val="24"/>
          <w:lang w:val="es-ES"/>
        </w:rPr>
        <w:t>.</w:t>
      </w:r>
    </w:p>
    <w:p w14:paraId="0632430B" w14:textId="518C60B7" w:rsidR="004D1DE8" w:rsidRPr="003F6B95" w:rsidRDefault="007D37E6" w:rsidP="00976F09">
      <w:pPr>
        <w:pStyle w:val="corte4fondo"/>
        <w:numPr>
          <w:ilvl w:val="0"/>
          <w:numId w:val="6"/>
        </w:numPr>
        <w:tabs>
          <w:tab w:val="left" w:pos="851"/>
          <w:tab w:val="left" w:pos="1276"/>
        </w:tabs>
        <w:spacing w:after="120" w:line="276" w:lineRule="auto"/>
        <w:ind w:left="567" w:right="51" w:hanging="567"/>
        <w:rPr>
          <w:rFonts w:cs="Arial"/>
          <w:sz w:val="24"/>
          <w:szCs w:val="24"/>
          <w:lang w:val="es-ES"/>
        </w:rPr>
      </w:pPr>
      <w:r w:rsidRPr="003F6B95">
        <w:rPr>
          <w:rFonts w:cs="Arial"/>
          <w:b/>
          <w:color w:val="000000" w:themeColor="text1"/>
          <w:sz w:val="24"/>
          <w:szCs w:val="24"/>
          <w:lang w:val="es-ES"/>
        </w:rPr>
        <w:t xml:space="preserve">Inexistencia del acto discriminatorio respecto </w:t>
      </w:r>
      <w:r w:rsidRPr="003F6B95">
        <w:rPr>
          <w:rFonts w:cs="Arial"/>
          <w:b/>
          <w:sz w:val="24"/>
          <w:szCs w:val="24"/>
          <w:lang w:val="es-ES"/>
        </w:rPr>
        <w:t xml:space="preserve">de </w:t>
      </w:r>
      <w:r w:rsidRPr="003F6B95">
        <w:rPr>
          <w:rFonts w:cs="Arial"/>
          <w:b/>
          <w:color w:val="FF0000"/>
          <w:sz w:val="24"/>
          <w:szCs w:val="24"/>
          <w:lang w:val="es-ES"/>
        </w:rPr>
        <w:t>LNGB</w:t>
      </w:r>
      <w:r w:rsidR="00CD1365" w:rsidRPr="003F6B95">
        <w:rPr>
          <w:rFonts w:cs="Arial"/>
          <w:sz w:val="24"/>
          <w:szCs w:val="24"/>
          <w:lang w:val="es-ES"/>
        </w:rPr>
        <w:t xml:space="preserve">. </w:t>
      </w:r>
      <w:r w:rsidRPr="003F6B95">
        <w:rPr>
          <w:rFonts w:cs="Arial"/>
          <w:sz w:val="24"/>
          <w:szCs w:val="24"/>
          <w:lang w:val="es-ES"/>
        </w:rPr>
        <w:t>No obstante, no</w:t>
      </w:r>
      <w:r w:rsidR="005C256B" w:rsidRPr="003F6B95">
        <w:rPr>
          <w:rFonts w:cs="Arial"/>
          <w:sz w:val="24"/>
          <w:szCs w:val="24"/>
          <w:lang w:val="es-ES"/>
        </w:rPr>
        <w:t xml:space="preserve"> se acredita</w:t>
      </w:r>
      <w:r w:rsidRPr="003F6B95">
        <w:rPr>
          <w:rFonts w:cs="Arial"/>
          <w:sz w:val="24"/>
          <w:szCs w:val="24"/>
          <w:lang w:val="es-ES"/>
        </w:rPr>
        <w:t xml:space="preserve"> el hecho discriminatorio en contra de</w:t>
      </w:r>
      <w:r w:rsidR="002348A7" w:rsidRPr="003F6B95">
        <w:rPr>
          <w:rFonts w:cs="Arial"/>
          <w:sz w:val="24"/>
          <w:szCs w:val="24"/>
          <w:lang w:val="es-ES"/>
        </w:rPr>
        <w:t xml:space="preserve"> la señora </w:t>
      </w:r>
      <w:r w:rsidRPr="003F6B95">
        <w:rPr>
          <w:rFonts w:cs="Arial"/>
          <w:color w:val="FF0000"/>
          <w:sz w:val="24"/>
          <w:szCs w:val="24"/>
          <w:lang w:val="es-ES"/>
        </w:rPr>
        <w:t>GB</w:t>
      </w:r>
      <w:r w:rsidRPr="003F6B95">
        <w:rPr>
          <w:rFonts w:cs="Arial"/>
          <w:sz w:val="24"/>
          <w:szCs w:val="24"/>
          <w:lang w:val="es-ES"/>
        </w:rPr>
        <w:t xml:space="preserve">. De los hechos narrados en el procedimiento ante COPRED no se desprende que dicha </w:t>
      </w:r>
      <w:r w:rsidR="003E6ADF" w:rsidRPr="003F6B95">
        <w:rPr>
          <w:rFonts w:cs="Arial"/>
          <w:sz w:val="24"/>
          <w:szCs w:val="24"/>
          <w:lang w:val="es-ES"/>
        </w:rPr>
        <w:t xml:space="preserve">señora </w:t>
      </w:r>
      <w:r w:rsidRPr="003F6B95">
        <w:rPr>
          <w:rFonts w:cs="Arial"/>
          <w:sz w:val="24"/>
          <w:szCs w:val="24"/>
          <w:lang w:val="es-ES"/>
        </w:rPr>
        <w:t xml:space="preserve">haya sido cuestionada por su identidad de género o agredida por personal de la empresa de seguridad cuando se acercó al área de sanitarios para verificar qué estaba sucediendo. Asimismo, respecto de los hechos ocurridos en el módulo de quejas del centro comercial </w:t>
      </w:r>
      <w:r w:rsidRPr="005229E1">
        <w:rPr>
          <w:rFonts w:cs="Arial"/>
          <w:sz w:val="24"/>
          <w:szCs w:val="24"/>
          <w:lang w:val="es-ES"/>
        </w:rPr>
        <w:t xml:space="preserve">Reforma 222, </w:t>
      </w:r>
      <w:r w:rsidR="00BE2D06" w:rsidRPr="005229E1">
        <w:rPr>
          <w:rFonts w:cs="Arial"/>
          <w:sz w:val="24"/>
          <w:szCs w:val="24"/>
          <w:lang w:val="es-ES"/>
        </w:rPr>
        <w:t>é</w:t>
      </w:r>
      <w:r w:rsidRPr="005229E1">
        <w:rPr>
          <w:rFonts w:cs="Arial"/>
          <w:sz w:val="24"/>
          <w:szCs w:val="24"/>
          <w:lang w:val="es-ES"/>
        </w:rPr>
        <w:t xml:space="preserve">stos </w:t>
      </w:r>
      <w:r w:rsidRPr="003F6B95">
        <w:rPr>
          <w:rFonts w:cs="Arial"/>
          <w:sz w:val="24"/>
          <w:szCs w:val="24"/>
          <w:lang w:val="es-ES"/>
        </w:rPr>
        <w:t>no constituyeron actos discriminatorios, sino únicamente una atención carente de diligencia por parte del personal.</w:t>
      </w:r>
    </w:p>
    <w:p w14:paraId="525C85C3" w14:textId="3E4486EF" w:rsidR="004D1DE8" w:rsidRPr="003F6B95" w:rsidRDefault="007D37E6" w:rsidP="00976F09">
      <w:pPr>
        <w:pStyle w:val="corte4fondo"/>
        <w:numPr>
          <w:ilvl w:val="0"/>
          <w:numId w:val="6"/>
        </w:numPr>
        <w:tabs>
          <w:tab w:val="left" w:pos="851"/>
          <w:tab w:val="left" w:pos="1276"/>
        </w:tabs>
        <w:spacing w:after="120" w:line="276" w:lineRule="auto"/>
        <w:ind w:left="567" w:right="51" w:hanging="567"/>
        <w:rPr>
          <w:rFonts w:cs="Arial"/>
          <w:sz w:val="24"/>
          <w:szCs w:val="24"/>
          <w:lang w:val="es-ES"/>
        </w:rPr>
      </w:pPr>
      <w:r w:rsidRPr="003F6B95">
        <w:rPr>
          <w:rFonts w:cs="Arial"/>
          <w:b/>
          <w:color w:val="000000" w:themeColor="text1"/>
          <w:sz w:val="24"/>
          <w:szCs w:val="24"/>
          <w:lang w:val="es-ES"/>
        </w:rPr>
        <w:t>No acreditación del daño moral</w:t>
      </w:r>
      <w:r w:rsidR="004D1DE8" w:rsidRPr="003F6B95">
        <w:rPr>
          <w:rFonts w:cs="Arial"/>
          <w:b/>
          <w:color w:val="000000" w:themeColor="text1"/>
          <w:sz w:val="24"/>
          <w:szCs w:val="24"/>
          <w:lang w:val="es-ES"/>
        </w:rPr>
        <w:t xml:space="preserve">. </w:t>
      </w:r>
      <w:r w:rsidR="00AC2E22" w:rsidRPr="003F6B95">
        <w:rPr>
          <w:rFonts w:cs="Arial"/>
          <w:sz w:val="24"/>
          <w:szCs w:val="24"/>
          <w:lang w:val="es-ES"/>
        </w:rPr>
        <w:t>A</w:t>
      </w:r>
      <w:r w:rsidRPr="003F6B95">
        <w:rPr>
          <w:rFonts w:cs="Arial"/>
          <w:sz w:val="24"/>
          <w:szCs w:val="24"/>
          <w:lang w:val="es-ES"/>
        </w:rPr>
        <w:t xml:space="preserve">l haber probado la existencia de un acto discriminatorio, </w:t>
      </w:r>
      <w:r w:rsidR="00AC2E22" w:rsidRPr="003F6B95">
        <w:rPr>
          <w:rFonts w:cs="Arial"/>
          <w:sz w:val="24"/>
          <w:szCs w:val="24"/>
          <w:lang w:val="es-ES"/>
        </w:rPr>
        <w:t xml:space="preserve">la señora </w:t>
      </w:r>
      <w:r w:rsidR="00AC2E22" w:rsidRPr="003F6B95">
        <w:rPr>
          <w:rFonts w:cs="Arial"/>
          <w:color w:val="FF0000"/>
          <w:sz w:val="24"/>
          <w:szCs w:val="24"/>
          <w:lang w:val="es-ES"/>
        </w:rPr>
        <w:t>DF</w:t>
      </w:r>
      <w:r w:rsidR="00AC2E22" w:rsidRPr="003F6B95">
        <w:rPr>
          <w:rFonts w:cs="Arial"/>
          <w:sz w:val="24"/>
          <w:szCs w:val="24"/>
          <w:lang w:val="es-ES"/>
        </w:rPr>
        <w:t xml:space="preserve"> </w:t>
      </w:r>
      <w:r w:rsidRPr="003F6B95">
        <w:rPr>
          <w:rFonts w:cs="Arial"/>
          <w:sz w:val="24"/>
          <w:szCs w:val="24"/>
          <w:lang w:val="es-ES"/>
        </w:rPr>
        <w:t>únicamente acredit</w:t>
      </w:r>
      <w:r w:rsidR="00AC2E22" w:rsidRPr="003F6B95">
        <w:rPr>
          <w:rFonts w:cs="Arial"/>
          <w:sz w:val="24"/>
          <w:szCs w:val="24"/>
          <w:lang w:val="es-ES"/>
        </w:rPr>
        <w:t>ó</w:t>
      </w:r>
      <w:r w:rsidRPr="003F6B95">
        <w:rPr>
          <w:rFonts w:cs="Arial"/>
          <w:sz w:val="24"/>
          <w:szCs w:val="24"/>
          <w:lang w:val="es-ES"/>
        </w:rPr>
        <w:t xml:space="preserve"> el primer elemento </w:t>
      </w:r>
      <w:r w:rsidR="00DC52DD" w:rsidRPr="003F6B95">
        <w:rPr>
          <w:rFonts w:cs="Arial"/>
          <w:sz w:val="24"/>
          <w:szCs w:val="24"/>
          <w:lang w:val="es-ES"/>
        </w:rPr>
        <w:t xml:space="preserve">constitutivo </w:t>
      </w:r>
      <w:r w:rsidRPr="003F6B95">
        <w:rPr>
          <w:rFonts w:cs="Arial"/>
          <w:sz w:val="24"/>
          <w:szCs w:val="24"/>
          <w:lang w:val="es-ES"/>
        </w:rPr>
        <w:t xml:space="preserve">de la acción </w:t>
      </w:r>
      <w:r w:rsidR="00806502" w:rsidRPr="003F6B95">
        <w:rPr>
          <w:rFonts w:cs="Arial"/>
          <w:sz w:val="24"/>
          <w:szCs w:val="24"/>
          <w:lang w:val="es-ES"/>
        </w:rPr>
        <w:t>(</w:t>
      </w:r>
      <w:r w:rsidRPr="003F6B95">
        <w:rPr>
          <w:rFonts w:cs="Arial"/>
          <w:sz w:val="24"/>
          <w:szCs w:val="24"/>
          <w:lang w:val="es-ES"/>
        </w:rPr>
        <w:t>consistente en el hecho ilícito</w:t>
      </w:r>
      <w:r w:rsidR="00806502" w:rsidRPr="003F6B95">
        <w:rPr>
          <w:rFonts w:cs="Arial"/>
          <w:sz w:val="24"/>
          <w:szCs w:val="24"/>
          <w:lang w:val="es-ES"/>
        </w:rPr>
        <w:t>)</w:t>
      </w:r>
      <w:r w:rsidRPr="003F6B95">
        <w:rPr>
          <w:rFonts w:cs="Arial"/>
          <w:sz w:val="24"/>
          <w:szCs w:val="24"/>
          <w:lang w:val="es-ES"/>
        </w:rPr>
        <w:t>, m</w:t>
      </w:r>
      <w:r w:rsidR="00547B3E">
        <w:rPr>
          <w:rFonts w:cs="Arial"/>
          <w:sz w:val="24"/>
          <w:szCs w:val="24"/>
          <w:lang w:val="es-ES"/>
        </w:rPr>
        <w:t>a</w:t>
      </w:r>
      <w:r w:rsidRPr="003F6B95">
        <w:rPr>
          <w:rFonts w:cs="Arial"/>
          <w:sz w:val="24"/>
          <w:szCs w:val="24"/>
          <w:lang w:val="es-ES"/>
        </w:rPr>
        <w:t xml:space="preserve">s no los otros dos elementos </w:t>
      </w:r>
      <w:r w:rsidR="00E27153" w:rsidRPr="003F6B95">
        <w:rPr>
          <w:rFonts w:cs="Arial"/>
          <w:sz w:val="24"/>
          <w:szCs w:val="24"/>
          <w:lang w:val="es-ES"/>
        </w:rPr>
        <w:t>(</w:t>
      </w:r>
      <w:r w:rsidRPr="003F6B95">
        <w:rPr>
          <w:rFonts w:cs="Arial"/>
          <w:sz w:val="24"/>
          <w:szCs w:val="24"/>
          <w:lang w:val="es-ES"/>
        </w:rPr>
        <w:t>correspondientes al daño y nexo causal</w:t>
      </w:r>
      <w:r w:rsidR="00E27153" w:rsidRPr="003F6B95">
        <w:rPr>
          <w:rFonts w:cs="Arial"/>
          <w:sz w:val="24"/>
          <w:szCs w:val="24"/>
          <w:lang w:val="es-ES"/>
        </w:rPr>
        <w:t>)</w:t>
      </w:r>
      <w:r w:rsidRPr="003F6B95">
        <w:rPr>
          <w:rFonts w:cs="Arial"/>
          <w:sz w:val="24"/>
          <w:szCs w:val="24"/>
          <w:lang w:val="es-ES"/>
        </w:rPr>
        <w:t xml:space="preserve">. </w:t>
      </w:r>
      <w:r w:rsidR="00E27153" w:rsidRPr="003F6B95">
        <w:rPr>
          <w:rFonts w:cs="Arial"/>
          <w:sz w:val="24"/>
          <w:szCs w:val="24"/>
          <w:lang w:val="es-ES"/>
        </w:rPr>
        <w:t>Asimismo, n</w:t>
      </w:r>
      <w:r w:rsidRPr="003F6B95">
        <w:rPr>
          <w:rFonts w:cs="Arial"/>
          <w:sz w:val="24"/>
          <w:szCs w:val="24"/>
          <w:lang w:val="es-ES"/>
        </w:rPr>
        <w:t xml:space="preserve">o </w:t>
      </w:r>
      <w:r w:rsidR="00E27153" w:rsidRPr="003F6B95">
        <w:rPr>
          <w:rFonts w:cs="Arial"/>
          <w:sz w:val="24"/>
          <w:szCs w:val="24"/>
          <w:lang w:val="es-ES"/>
        </w:rPr>
        <w:t xml:space="preserve">es </w:t>
      </w:r>
      <w:r w:rsidRPr="003F6B95">
        <w:rPr>
          <w:rFonts w:cs="Arial"/>
          <w:sz w:val="24"/>
          <w:szCs w:val="24"/>
          <w:lang w:val="es-ES"/>
        </w:rPr>
        <w:t xml:space="preserve">posible </w:t>
      </w:r>
      <w:r w:rsidRPr="003F6B95">
        <w:rPr>
          <w:rFonts w:cs="Arial"/>
          <w:sz w:val="24"/>
          <w:szCs w:val="24"/>
          <w:lang w:val="es-ES"/>
        </w:rPr>
        <w:lastRenderedPageBreak/>
        <w:t>presumir la existencia del daño moral</w:t>
      </w:r>
      <w:r w:rsidR="00DF109C" w:rsidRPr="003F6B95">
        <w:rPr>
          <w:rFonts w:cs="Arial"/>
          <w:sz w:val="24"/>
          <w:szCs w:val="24"/>
          <w:lang w:val="es-ES"/>
        </w:rPr>
        <w:t>,</w:t>
      </w:r>
      <w:r w:rsidRPr="003F6B95">
        <w:rPr>
          <w:rFonts w:cs="Arial"/>
          <w:sz w:val="24"/>
          <w:szCs w:val="24"/>
          <w:lang w:val="es-ES"/>
        </w:rPr>
        <w:t xml:space="preserve"> </w:t>
      </w:r>
      <w:r w:rsidR="00DF109C" w:rsidRPr="003F6B95">
        <w:rPr>
          <w:rFonts w:cs="Arial"/>
          <w:sz w:val="24"/>
          <w:szCs w:val="24"/>
          <w:lang w:val="es-ES"/>
        </w:rPr>
        <w:t xml:space="preserve">pues </w:t>
      </w:r>
      <w:r w:rsidR="00DC52DD" w:rsidRPr="003F6B95">
        <w:rPr>
          <w:rFonts w:cs="Arial"/>
          <w:sz w:val="24"/>
          <w:szCs w:val="24"/>
          <w:lang w:val="es-ES"/>
        </w:rPr>
        <w:t xml:space="preserve">la señora </w:t>
      </w:r>
      <w:r w:rsidRPr="003F6B95">
        <w:rPr>
          <w:rFonts w:cs="Arial"/>
          <w:sz w:val="24"/>
          <w:szCs w:val="24"/>
          <w:lang w:val="es-ES"/>
        </w:rPr>
        <w:t xml:space="preserve">no </w:t>
      </w:r>
      <w:r w:rsidR="00DC52DD" w:rsidRPr="003F6B95">
        <w:rPr>
          <w:rFonts w:cs="Arial"/>
          <w:sz w:val="24"/>
          <w:szCs w:val="24"/>
          <w:lang w:val="es-ES"/>
        </w:rPr>
        <w:t xml:space="preserve">aportó </w:t>
      </w:r>
      <w:r w:rsidRPr="003F6B95">
        <w:rPr>
          <w:rFonts w:cs="Arial"/>
          <w:sz w:val="24"/>
          <w:szCs w:val="24"/>
          <w:lang w:val="es-ES"/>
        </w:rPr>
        <w:t xml:space="preserve">prueba que </w:t>
      </w:r>
      <w:r w:rsidR="00DC52DD" w:rsidRPr="003F6B95">
        <w:rPr>
          <w:rFonts w:cs="Arial"/>
          <w:sz w:val="24"/>
          <w:szCs w:val="24"/>
          <w:lang w:val="es-ES"/>
        </w:rPr>
        <w:t xml:space="preserve">evidencie la </w:t>
      </w:r>
      <w:r w:rsidRPr="003F6B95">
        <w:rPr>
          <w:rFonts w:cs="Arial"/>
          <w:sz w:val="24"/>
          <w:szCs w:val="24"/>
          <w:lang w:val="es-ES"/>
        </w:rPr>
        <w:t>transgresión a su libertad, integridad física o psíquica</w:t>
      </w:r>
      <w:r w:rsidRPr="003F6B95">
        <w:rPr>
          <w:rStyle w:val="Refdenotaalpie"/>
          <w:rFonts w:cs="Arial"/>
          <w:sz w:val="24"/>
          <w:szCs w:val="24"/>
          <w:lang w:val="es-ES"/>
        </w:rPr>
        <w:footnoteReference w:id="15"/>
      </w:r>
      <w:r w:rsidR="004D1DE8" w:rsidRPr="003F6B95">
        <w:rPr>
          <w:rFonts w:cs="Arial"/>
          <w:sz w:val="24"/>
          <w:szCs w:val="24"/>
          <w:lang w:val="es-ES"/>
        </w:rPr>
        <w:t xml:space="preserve">. </w:t>
      </w:r>
      <w:r w:rsidRPr="003F6B95">
        <w:rPr>
          <w:rFonts w:cs="Arial"/>
          <w:sz w:val="24"/>
          <w:szCs w:val="24"/>
          <w:lang w:val="es-ES"/>
        </w:rPr>
        <w:t>Respecto de la</w:t>
      </w:r>
      <w:r w:rsidR="002348A7" w:rsidRPr="003F6B95">
        <w:rPr>
          <w:rFonts w:cs="Arial"/>
          <w:sz w:val="24"/>
          <w:szCs w:val="24"/>
          <w:lang w:val="es-ES"/>
        </w:rPr>
        <w:t xml:space="preserve"> señora</w:t>
      </w:r>
      <w:r w:rsidRPr="003F6B95">
        <w:rPr>
          <w:rFonts w:cs="Arial"/>
          <w:sz w:val="24"/>
          <w:szCs w:val="24"/>
          <w:lang w:val="es-ES"/>
        </w:rPr>
        <w:t xml:space="preserve"> </w:t>
      </w:r>
      <w:r w:rsidRPr="003F6B95">
        <w:rPr>
          <w:rFonts w:cs="Arial"/>
          <w:color w:val="FF0000"/>
          <w:sz w:val="24"/>
          <w:szCs w:val="24"/>
          <w:lang w:val="es-ES"/>
        </w:rPr>
        <w:t>GB,</w:t>
      </w:r>
      <w:r w:rsidRPr="003F6B95">
        <w:rPr>
          <w:rFonts w:cs="Arial"/>
          <w:sz w:val="24"/>
          <w:szCs w:val="24"/>
          <w:lang w:val="es-ES"/>
        </w:rPr>
        <w:t xml:space="preserve"> en tanto no logró acreditar la existencia del hecho ilícito (primer elemento de la acción)</w:t>
      </w:r>
      <w:r w:rsidR="00D01A7E" w:rsidRPr="003F6B95">
        <w:rPr>
          <w:rFonts w:cs="Arial"/>
          <w:sz w:val="24"/>
          <w:szCs w:val="24"/>
          <w:lang w:val="es-ES"/>
        </w:rPr>
        <w:t>,</w:t>
      </w:r>
      <w:r w:rsidRPr="003F6B95">
        <w:rPr>
          <w:rFonts w:cs="Arial"/>
          <w:sz w:val="24"/>
          <w:szCs w:val="24"/>
          <w:lang w:val="es-ES"/>
        </w:rPr>
        <w:t xml:space="preserve"> menos aún </w:t>
      </w:r>
      <w:r w:rsidR="00777C98" w:rsidRPr="003F6B95">
        <w:rPr>
          <w:rFonts w:cs="Arial"/>
          <w:sz w:val="24"/>
          <w:szCs w:val="24"/>
          <w:lang w:val="es-ES"/>
        </w:rPr>
        <w:t xml:space="preserve">pueden </w:t>
      </w:r>
      <w:r w:rsidRPr="003F6B95">
        <w:rPr>
          <w:rFonts w:cs="Arial"/>
          <w:sz w:val="24"/>
          <w:szCs w:val="24"/>
          <w:lang w:val="es-ES"/>
        </w:rPr>
        <w:t xml:space="preserve">tenerse por demostrados los elementos </w:t>
      </w:r>
      <w:r w:rsidR="00777C98" w:rsidRPr="003F6B95">
        <w:rPr>
          <w:rFonts w:cs="Arial"/>
          <w:sz w:val="24"/>
          <w:szCs w:val="24"/>
          <w:lang w:val="es-ES"/>
        </w:rPr>
        <w:t>de</w:t>
      </w:r>
      <w:r w:rsidRPr="003F6B95">
        <w:rPr>
          <w:rFonts w:cs="Arial"/>
          <w:sz w:val="24"/>
          <w:szCs w:val="24"/>
          <w:lang w:val="es-ES"/>
        </w:rPr>
        <w:t xml:space="preserve"> daño y nexo causal</w:t>
      </w:r>
      <w:r w:rsidRPr="003F6B95">
        <w:rPr>
          <w:rStyle w:val="Refdenotaalpie"/>
          <w:rFonts w:cs="Arial"/>
          <w:sz w:val="24"/>
          <w:szCs w:val="24"/>
          <w:lang w:val="es-ES"/>
        </w:rPr>
        <w:footnoteReference w:id="16"/>
      </w:r>
      <w:r w:rsidR="00D93DE7" w:rsidRPr="003F6B95">
        <w:rPr>
          <w:rFonts w:cs="Arial"/>
          <w:sz w:val="24"/>
          <w:szCs w:val="24"/>
          <w:lang w:val="es-ES"/>
        </w:rPr>
        <w:t>.</w:t>
      </w:r>
    </w:p>
    <w:p w14:paraId="417F7BDD" w14:textId="785C0035" w:rsidR="004D1DE8" w:rsidRPr="003F6B95" w:rsidRDefault="00D93DE7" w:rsidP="00976F09">
      <w:pPr>
        <w:pStyle w:val="corte4fondo"/>
        <w:numPr>
          <w:ilvl w:val="0"/>
          <w:numId w:val="6"/>
        </w:numPr>
        <w:tabs>
          <w:tab w:val="left" w:pos="851"/>
        </w:tabs>
        <w:spacing w:after="120" w:line="276" w:lineRule="auto"/>
        <w:ind w:left="567" w:right="51" w:hanging="567"/>
        <w:rPr>
          <w:rFonts w:cs="Arial"/>
          <w:sz w:val="24"/>
          <w:szCs w:val="24"/>
        </w:rPr>
      </w:pPr>
      <w:r w:rsidRPr="003F6B95">
        <w:rPr>
          <w:rFonts w:cs="Arial"/>
          <w:b/>
          <w:bCs/>
          <w:color w:val="000000" w:themeColor="text1"/>
          <w:sz w:val="24"/>
          <w:szCs w:val="24"/>
        </w:rPr>
        <w:t>Ausencia de prueba de daño</w:t>
      </w:r>
      <w:r w:rsidR="004D1DE8" w:rsidRPr="003F6B95">
        <w:rPr>
          <w:rFonts w:cs="Arial"/>
          <w:color w:val="000000" w:themeColor="text1"/>
          <w:sz w:val="24"/>
          <w:szCs w:val="24"/>
        </w:rPr>
        <w:t xml:space="preserve">. </w:t>
      </w:r>
      <w:r w:rsidRPr="003F6B95">
        <w:rPr>
          <w:rFonts w:cs="Arial"/>
          <w:sz w:val="24"/>
          <w:szCs w:val="24"/>
        </w:rPr>
        <w:t>Respecto de</w:t>
      </w:r>
      <w:r w:rsidR="002348A7" w:rsidRPr="003F6B95">
        <w:rPr>
          <w:rFonts w:cs="Arial"/>
          <w:sz w:val="24"/>
          <w:szCs w:val="24"/>
        </w:rPr>
        <w:t xml:space="preserve"> la señora</w:t>
      </w:r>
      <w:r w:rsidRPr="003F6B95">
        <w:rPr>
          <w:rFonts w:cs="Arial"/>
          <w:color w:val="FF0000"/>
          <w:sz w:val="24"/>
          <w:szCs w:val="24"/>
        </w:rPr>
        <w:t xml:space="preserve"> DF</w:t>
      </w:r>
      <w:r w:rsidRPr="003F6B95">
        <w:rPr>
          <w:rFonts w:cs="Arial"/>
          <w:sz w:val="24"/>
          <w:szCs w:val="24"/>
        </w:rPr>
        <w:t xml:space="preserve">, </w:t>
      </w:r>
      <w:r w:rsidR="007D4C74" w:rsidRPr="003F6B95">
        <w:rPr>
          <w:rFonts w:cs="Arial"/>
          <w:sz w:val="24"/>
          <w:szCs w:val="24"/>
        </w:rPr>
        <w:t xml:space="preserve">aunque se acreditó </w:t>
      </w:r>
      <w:r w:rsidRPr="003F6B95">
        <w:rPr>
          <w:rFonts w:cs="Arial"/>
          <w:sz w:val="24"/>
          <w:szCs w:val="24"/>
        </w:rPr>
        <w:t xml:space="preserve">la existencia del hecho ilícito, la </w:t>
      </w:r>
      <w:r w:rsidR="00B65E8D" w:rsidRPr="003F6B95">
        <w:rPr>
          <w:rFonts w:cs="Arial"/>
          <w:sz w:val="24"/>
          <w:szCs w:val="24"/>
        </w:rPr>
        <w:t xml:space="preserve">señora </w:t>
      </w:r>
      <w:r w:rsidRPr="003F6B95">
        <w:rPr>
          <w:rFonts w:cs="Arial"/>
          <w:sz w:val="24"/>
          <w:szCs w:val="24"/>
        </w:rPr>
        <w:t xml:space="preserve">no logró demostrar la existencia de un daño. </w:t>
      </w:r>
      <w:r w:rsidR="00B65E8D" w:rsidRPr="003F6B95">
        <w:rPr>
          <w:rFonts w:cs="Arial"/>
          <w:sz w:val="24"/>
          <w:szCs w:val="24"/>
        </w:rPr>
        <w:t xml:space="preserve">Esto se sustenta en </w:t>
      </w:r>
      <w:r w:rsidRPr="003F6B95">
        <w:rPr>
          <w:rFonts w:cs="Arial"/>
          <w:sz w:val="24"/>
          <w:szCs w:val="24"/>
        </w:rPr>
        <w:t xml:space="preserve">dos argumentos principales. El primero </w:t>
      </w:r>
      <w:r w:rsidR="00B65E8D" w:rsidRPr="003F6B95">
        <w:rPr>
          <w:rFonts w:cs="Arial"/>
          <w:sz w:val="24"/>
          <w:szCs w:val="24"/>
        </w:rPr>
        <w:t xml:space="preserve">consiste en </w:t>
      </w:r>
      <w:r w:rsidRPr="003F6B95">
        <w:rPr>
          <w:rFonts w:cs="Arial"/>
          <w:sz w:val="24"/>
          <w:szCs w:val="24"/>
        </w:rPr>
        <w:t>que, con el acto discriminatorio cometido en contra</w:t>
      </w:r>
      <w:r w:rsidR="00B65E8D" w:rsidRPr="003F6B95">
        <w:rPr>
          <w:rFonts w:cs="Arial"/>
          <w:sz w:val="24"/>
          <w:szCs w:val="24"/>
        </w:rPr>
        <w:t xml:space="preserve"> de la señora</w:t>
      </w:r>
      <w:r w:rsidRPr="003F6B95">
        <w:rPr>
          <w:rFonts w:cs="Arial"/>
          <w:sz w:val="24"/>
          <w:szCs w:val="24"/>
        </w:rPr>
        <w:t xml:space="preserve">, únicamente </w:t>
      </w:r>
      <w:r w:rsidR="005C1FD3" w:rsidRPr="003F6B95">
        <w:rPr>
          <w:rFonts w:cs="Arial"/>
          <w:sz w:val="24"/>
          <w:szCs w:val="24"/>
        </w:rPr>
        <w:t>se le negó</w:t>
      </w:r>
      <w:r w:rsidRPr="003F6B95">
        <w:rPr>
          <w:rFonts w:cs="Arial"/>
          <w:sz w:val="24"/>
          <w:szCs w:val="24"/>
        </w:rPr>
        <w:t xml:space="preserve"> el reconocimiento de su calidad de muje</w:t>
      </w:r>
      <w:r w:rsidR="002348A7" w:rsidRPr="003F6B95">
        <w:rPr>
          <w:rFonts w:cs="Arial"/>
          <w:sz w:val="24"/>
          <w:szCs w:val="24"/>
        </w:rPr>
        <w:t>r</w:t>
      </w:r>
      <w:r w:rsidRPr="003F6B95">
        <w:rPr>
          <w:rFonts w:cs="Arial"/>
          <w:sz w:val="24"/>
          <w:szCs w:val="24"/>
        </w:rPr>
        <w:t>, pero no se le impidió la libertad de ser o sentirse como tal</w:t>
      </w:r>
      <w:r w:rsidR="007E5A90" w:rsidRPr="003F6B95">
        <w:rPr>
          <w:rFonts w:cs="Arial"/>
          <w:sz w:val="24"/>
          <w:szCs w:val="24"/>
        </w:rPr>
        <w:t>. E</w:t>
      </w:r>
      <w:r w:rsidRPr="003F6B95">
        <w:rPr>
          <w:rFonts w:cs="Arial"/>
          <w:sz w:val="24"/>
          <w:szCs w:val="24"/>
        </w:rPr>
        <w:t>l segundo</w:t>
      </w:r>
      <w:r w:rsidR="007E5A90" w:rsidRPr="003F6B95">
        <w:rPr>
          <w:rFonts w:cs="Arial"/>
          <w:sz w:val="24"/>
          <w:szCs w:val="24"/>
        </w:rPr>
        <w:t xml:space="preserve"> argumento consiste en </w:t>
      </w:r>
      <w:r w:rsidRPr="003F6B95">
        <w:rPr>
          <w:rFonts w:cs="Arial"/>
          <w:sz w:val="24"/>
          <w:szCs w:val="24"/>
        </w:rPr>
        <w:t xml:space="preserve">que la prueba pericial ofrecida para acreditar el daño psicológico </w:t>
      </w:r>
      <w:r w:rsidR="007E5A90" w:rsidRPr="003F6B95">
        <w:rPr>
          <w:rFonts w:cs="Arial"/>
          <w:sz w:val="24"/>
          <w:szCs w:val="24"/>
        </w:rPr>
        <w:t xml:space="preserve">carece </w:t>
      </w:r>
      <w:r w:rsidRPr="003F6B95">
        <w:rPr>
          <w:rFonts w:cs="Arial"/>
          <w:sz w:val="24"/>
          <w:szCs w:val="24"/>
        </w:rPr>
        <w:t>de valor probatorio</w:t>
      </w:r>
      <w:r w:rsidR="007E5A90" w:rsidRPr="003F6B95">
        <w:rPr>
          <w:rFonts w:cs="Arial"/>
          <w:sz w:val="24"/>
          <w:szCs w:val="24"/>
        </w:rPr>
        <w:t xml:space="preserve">, pues </w:t>
      </w:r>
      <w:r w:rsidRPr="003F6B95">
        <w:rPr>
          <w:rFonts w:cs="Arial"/>
          <w:sz w:val="24"/>
          <w:szCs w:val="24"/>
        </w:rPr>
        <w:t xml:space="preserve">los dictámenes presentados por cada </w:t>
      </w:r>
      <w:r w:rsidR="007E5A90" w:rsidRPr="003F6B95">
        <w:rPr>
          <w:rFonts w:cs="Arial"/>
          <w:sz w:val="24"/>
          <w:szCs w:val="24"/>
        </w:rPr>
        <w:t xml:space="preserve">actora coincidían </w:t>
      </w:r>
      <w:r w:rsidRPr="003F6B95">
        <w:rPr>
          <w:rFonts w:cs="Arial"/>
          <w:sz w:val="24"/>
          <w:szCs w:val="24"/>
        </w:rPr>
        <w:t>en su integridad, aun cuando las características de cada una eran distintas</w:t>
      </w:r>
      <w:r w:rsidRPr="003F6B95">
        <w:rPr>
          <w:rStyle w:val="Refdenotaalpie"/>
          <w:rFonts w:cs="Arial"/>
          <w:sz w:val="24"/>
          <w:szCs w:val="24"/>
        </w:rPr>
        <w:footnoteReference w:id="17"/>
      </w:r>
      <w:r w:rsidRPr="003F6B95">
        <w:rPr>
          <w:rFonts w:cs="Arial"/>
          <w:sz w:val="24"/>
          <w:szCs w:val="24"/>
        </w:rPr>
        <w:t>.</w:t>
      </w:r>
    </w:p>
    <w:p w14:paraId="22E33B84" w14:textId="000DCD32" w:rsidR="004D1DE8" w:rsidRPr="003F6B95" w:rsidRDefault="00D93DE7" w:rsidP="00976F09">
      <w:pPr>
        <w:pStyle w:val="corte4fondo"/>
        <w:numPr>
          <w:ilvl w:val="0"/>
          <w:numId w:val="6"/>
        </w:numPr>
        <w:tabs>
          <w:tab w:val="left" w:pos="851"/>
        </w:tabs>
        <w:spacing w:after="120" w:line="276" w:lineRule="auto"/>
        <w:ind w:left="567" w:right="51" w:hanging="567"/>
        <w:rPr>
          <w:rFonts w:cs="Arial"/>
          <w:sz w:val="24"/>
          <w:szCs w:val="24"/>
          <w:lang w:val="es-ES"/>
        </w:rPr>
      </w:pPr>
      <w:r w:rsidRPr="003F6B95">
        <w:rPr>
          <w:rFonts w:cs="Arial"/>
          <w:b/>
          <w:color w:val="000000" w:themeColor="text1"/>
          <w:sz w:val="24"/>
          <w:szCs w:val="24"/>
          <w:lang w:val="es-ES"/>
        </w:rPr>
        <w:t>Ausencia de nexo causal</w:t>
      </w:r>
      <w:r w:rsidR="004D1DE8" w:rsidRPr="003F6B95">
        <w:rPr>
          <w:rFonts w:cs="Arial"/>
          <w:color w:val="000000" w:themeColor="text1"/>
          <w:sz w:val="24"/>
          <w:szCs w:val="24"/>
          <w:lang w:val="es-ES"/>
        </w:rPr>
        <w:t>.</w:t>
      </w:r>
      <w:r w:rsidR="004D1DE8" w:rsidRPr="003F6B95">
        <w:rPr>
          <w:rFonts w:cs="Arial"/>
          <w:sz w:val="24"/>
          <w:szCs w:val="24"/>
          <w:lang w:val="es-ES"/>
        </w:rPr>
        <w:t xml:space="preserve"> </w:t>
      </w:r>
      <w:r w:rsidR="005B41C9" w:rsidRPr="003F6B95">
        <w:rPr>
          <w:rFonts w:cs="Arial"/>
          <w:sz w:val="24"/>
          <w:szCs w:val="24"/>
          <w:lang w:val="es-ES"/>
        </w:rPr>
        <w:t>D</w:t>
      </w:r>
      <w:r w:rsidRPr="003F6B95">
        <w:rPr>
          <w:rFonts w:cs="Arial"/>
          <w:sz w:val="24"/>
          <w:szCs w:val="24"/>
          <w:lang w:val="es-ES"/>
        </w:rPr>
        <w:t xml:space="preserve">e los medios de prueba ofrecidos por las </w:t>
      </w:r>
      <w:r w:rsidR="005B41C9" w:rsidRPr="003F6B95">
        <w:rPr>
          <w:rFonts w:cs="Arial"/>
          <w:sz w:val="24"/>
          <w:szCs w:val="24"/>
          <w:lang w:val="es-ES"/>
        </w:rPr>
        <w:t>actoras</w:t>
      </w:r>
      <w:r w:rsidRPr="003F6B95">
        <w:rPr>
          <w:rFonts w:cs="Arial"/>
          <w:sz w:val="24"/>
          <w:szCs w:val="24"/>
          <w:lang w:val="es-ES"/>
        </w:rPr>
        <w:t xml:space="preserve"> no </w:t>
      </w:r>
      <w:r w:rsidR="005B41C9" w:rsidRPr="003F6B95">
        <w:rPr>
          <w:rFonts w:cs="Arial"/>
          <w:sz w:val="24"/>
          <w:szCs w:val="24"/>
          <w:lang w:val="es-ES"/>
        </w:rPr>
        <w:t xml:space="preserve">es </w:t>
      </w:r>
      <w:r w:rsidRPr="003F6B95">
        <w:rPr>
          <w:rFonts w:cs="Arial"/>
          <w:sz w:val="24"/>
          <w:szCs w:val="24"/>
          <w:lang w:val="es-ES"/>
        </w:rPr>
        <w:t xml:space="preserve">posible desprender la existencia de un nexo causal entre el hecho ilícito y el daño provocado. Aun cuando los peritajes psicológicos ofrecidos </w:t>
      </w:r>
      <w:r w:rsidR="005B41C9" w:rsidRPr="003F6B95">
        <w:rPr>
          <w:rFonts w:cs="Arial"/>
          <w:sz w:val="24"/>
          <w:szCs w:val="24"/>
          <w:lang w:val="es-ES"/>
        </w:rPr>
        <w:t xml:space="preserve">dan </w:t>
      </w:r>
      <w:r w:rsidRPr="003F6B95">
        <w:rPr>
          <w:rFonts w:cs="Arial"/>
          <w:sz w:val="24"/>
          <w:szCs w:val="24"/>
          <w:lang w:val="es-ES"/>
        </w:rPr>
        <w:t xml:space="preserve">cuenta de que las </w:t>
      </w:r>
      <w:r w:rsidR="005B41C9" w:rsidRPr="003F6B95">
        <w:rPr>
          <w:rFonts w:cs="Arial"/>
          <w:sz w:val="24"/>
          <w:szCs w:val="24"/>
          <w:lang w:val="es-ES"/>
        </w:rPr>
        <w:t xml:space="preserve">actoras </w:t>
      </w:r>
      <w:r w:rsidRPr="003F6B95">
        <w:rPr>
          <w:rFonts w:cs="Arial"/>
          <w:sz w:val="24"/>
          <w:szCs w:val="24"/>
          <w:lang w:val="es-ES"/>
        </w:rPr>
        <w:t xml:space="preserve">se encuentran en un estado de estrés y ansiedad constantes debido a la posible ocurrencia de situaciones que pongan en duda su identidad de género, dichos dictámenes también refieren que tales problemas devinieron de mucho antes de que hubieren ocurrido los hechos denunciados. </w:t>
      </w:r>
      <w:r w:rsidR="005717E9" w:rsidRPr="003F6B95">
        <w:rPr>
          <w:rFonts w:cs="Arial"/>
          <w:sz w:val="24"/>
          <w:szCs w:val="24"/>
          <w:lang w:val="es-ES"/>
        </w:rPr>
        <w:t>Entonces, d</w:t>
      </w:r>
      <w:r w:rsidRPr="003F6B95">
        <w:rPr>
          <w:rFonts w:cs="Arial"/>
          <w:sz w:val="24"/>
          <w:szCs w:val="24"/>
          <w:lang w:val="es-ES"/>
        </w:rPr>
        <w:t xml:space="preserve">e los medios de prueba ofrecidos no se advierte que el hecho discriminatorio denunciado haya sido el causante de </w:t>
      </w:r>
      <w:r w:rsidR="005717E9" w:rsidRPr="003F6B95">
        <w:rPr>
          <w:rFonts w:cs="Arial"/>
          <w:sz w:val="24"/>
          <w:szCs w:val="24"/>
          <w:lang w:val="es-ES"/>
        </w:rPr>
        <w:t xml:space="preserve">un </w:t>
      </w:r>
      <w:r w:rsidRPr="003F6B95">
        <w:rPr>
          <w:rFonts w:cs="Arial"/>
          <w:sz w:val="24"/>
          <w:szCs w:val="24"/>
          <w:lang w:val="es-ES"/>
        </w:rPr>
        <w:t xml:space="preserve">daño, sino que </w:t>
      </w:r>
      <w:r w:rsidR="005717E9" w:rsidRPr="003F6B95">
        <w:rPr>
          <w:rFonts w:cs="Arial"/>
          <w:sz w:val="24"/>
          <w:szCs w:val="24"/>
          <w:lang w:val="es-ES"/>
        </w:rPr>
        <w:t xml:space="preserve">el </w:t>
      </w:r>
      <w:r w:rsidRPr="003F6B95">
        <w:rPr>
          <w:rFonts w:cs="Arial"/>
          <w:sz w:val="24"/>
          <w:szCs w:val="24"/>
          <w:lang w:val="es-ES"/>
        </w:rPr>
        <w:t>estado emocional</w:t>
      </w:r>
      <w:r w:rsidR="005717E9" w:rsidRPr="003F6B95">
        <w:rPr>
          <w:rFonts w:cs="Arial"/>
          <w:sz w:val="24"/>
          <w:szCs w:val="24"/>
          <w:lang w:val="es-ES"/>
        </w:rPr>
        <w:t xml:space="preserve"> de las actoras</w:t>
      </w:r>
      <w:r w:rsidRPr="003F6B95">
        <w:rPr>
          <w:rFonts w:cs="Arial"/>
          <w:sz w:val="24"/>
          <w:szCs w:val="24"/>
          <w:lang w:val="es-ES"/>
        </w:rPr>
        <w:t xml:space="preserve"> deriva del constante cuestionamiento y discriminación asociado a su identidad y expresión de género</w:t>
      </w:r>
      <w:r w:rsidRPr="003F6B95">
        <w:rPr>
          <w:rStyle w:val="Refdenotaalpie"/>
          <w:rFonts w:cs="Arial"/>
          <w:sz w:val="24"/>
          <w:szCs w:val="24"/>
          <w:lang w:val="es-ES"/>
        </w:rPr>
        <w:footnoteReference w:id="18"/>
      </w:r>
      <w:r w:rsidRPr="003F6B95">
        <w:rPr>
          <w:rFonts w:cs="Arial"/>
          <w:sz w:val="24"/>
          <w:szCs w:val="24"/>
          <w:lang w:val="es-ES"/>
        </w:rPr>
        <w:t>.</w:t>
      </w:r>
    </w:p>
    <w:p w14:paraId="3F43C875" w14:textId="0BD80D09" w:rsidR="00D93DE7" w:rsidRPr="003F6B95" w:rsidRDefault="00D93DE7" w:rsidP="00976F09">
      <w:pPr>
        <w:pStyle w:val="corte4fondo"/>
        <w:numPr>
          <w:ilvl w:val="0"/>
          <w:numId w:val="6"/>
        </w:numPr>
        <w:tabs>
          <w:tab w:val="left" w:pos="851"/>
        </w:tabs>
        <w:spacing w:after="120" w:line="276" w:lineRule="auto"/>
        <w:ind w:left="567" w:right="51" w:hanging="567"/>
        <w:rPr>
          <w:rFonts w:cs="Arial"/>
          <w:sz w:val="24"/>
          <w:szCs w:val="24"/>
        </w:rPr>
      </w:pPr>
      <w:r w:rsidRPr="003F6B95">
        <w:rPr>
          <w:rFonts w:cs="Arial"/>
          <w:b/>
          <w:bCs/>
          <w:color w:val="000000" w:themeColor="text1"/>
          <w:sz w:val="24"/>
          <w:szCs w:val="24"/>
        </w:rPr>
        <w:t>Improcedencia de las medidas de reparación integral</w:t>
      </w:r>
      <w:r w:rsidR="004D1DE8" w:rsidRPr="003F6B95">
        <w:rPr>
          <w:rFonts w:cs="Arial"/>
          <w:color w:val="000000" w:themeColor="text1"/>
          <w:sz w:val="24"/>
          <w:szCs w:val="24"/>
        </w:rPr>
        <w:t>.</w:t>
      </w:r>
      <w:r w:rsidR="004D1DE8" w:rsidRPr="003F6B95">
        <w:rPr>
          <w:rFonts w:cs="Arial"/>
          <w:sz w:val="24"/>
          <w:szCs w:val="24"/>
        </w:rPr>
        <w:t xml:space="preserve"> </w:t>
      </w:r>
      <w:r w:rsidRPr="003F6B95">
        <w:rPr>
          <w:rFonts w:cs="Arial"/>
          <w:sz w:val="24"/>
          <w:szCs w:val="24"/>
        </w:rPr>
        <w:t xml:space="preserve">Las medidas de reparación solicitadas por las quejosas </w:t>
      </w:r>
      <w:r w:rsidR="00C35B09" w:rsidRPr="003F6B95">
        <w:rPr>
          <w:rFonts w:cs="Arial"/>
          <w:sz w:val="24"/>
          <w:szCs w:val="24"/>
        </w:rPr>
        <w:t xml:space="preserve">son </w:t>
      </w:r>
      <w:r w:rsidRPr="003F6B95">
        <w:rPr>
          <w:rFonts w:cs="Arial"/>
          <w:sz w:val="24"/>
          <w:szCs w:val="24"/>
        </w:rPr>
        <w:t>infundadas</w:t>
      </w:r>
      <w:r w:rsidR="00186C3F" w:rsidRPr="003F6B95">
        <w:rPr>
          <w:rFonts w:cs="Arial"/>
          <w:sz w:val="24"/>
          <w:szCs w:val="24"/>
        </w:rPr>
        <w:t>,</w:t>
      </w:r>
      <w:r w:rsidR="00C35B09" w:rsidRPr="003F6B95">
        <w:rPr>
          <w:rFonts w:cs="Arial"/>
          <w:sz w:val="24"/>
          <w:szCs w:val="24"/>
        </w:rPr>
        <w:t xml:space="preserve"> pues</w:t>
      </w:r>
      <w:r w:rsidRPr="003F6B95">
        <w:rPr>
          <w:rFonts w:cs="Arial"/>
          <w:sz w:val="24"/>
          <w:szCs w:val="24"/>
        </w:rPr>
        <w:t xml:space="preserve"> formaron parte del acuerdo de conciliación suscrito ante COPRED. </w:t>
      </w:r>
      <w:r w:rsidR="00C35B09" w:rsidRPr="003F6B95">
        <w:rPr>
          <w:rFonts w:cs="Arial"/>
          <w:sz w:val="24"/>
          <w:szCs w:val="24"/>
        </w:rPr>
        <w:t>C</w:t>
      </w:r>
      <w:r w:rsidR="00A22836" w:rsidRPr="003F6B95">
        <w:rPr>
          <w:rFonts w:cs="Arial"/>
          <w:sz w:val="24"/>
          <w:szCs w:val="24"/>
        </w:rPr>
        <w:t>omo</w:t>
      </w:r>
      <w:r w:rsidRPr="003F6B95">
        <w:rPr>
          <w:rFonts w:cs="Arial"/>
          <w:sz w:val="24"/>
          <w:szCs w:val="24"/>
        </w:rPr>
        <w:t xml:space="preserve"> dicho convenio tiene el carácter de cosa juzgada, las quejosas debieron exigir su cumplimiento ante dicha autoridad, sin que en el proced</w:t>
      </w:r>
      <w:r w:rsidRPr="00893913">
        <w:rPr>
          <w:rFonts w:cs="Arial"/>
          <w:sz w:val="24"/>
          <w:szCs w:val="24"/>
        </w:rPr>
        <w:t>imiento civil pudieran exigir nuevas medidas de reparación, pues ello atentaría contra el principio constitucional que impide juzgar más de una vez a una persona por los mismos hechos</w:t>
      </w:r>
      <w:r w:rsidRPr="00893913">
        <w:rPr>
          <w:rStyle w:val="Refdenotaalpie"/>
          <w:rFonts w:cs="Arial"/>
          <w:sz w:val="24"/>
          <w:szCs w:val="24"/>
        </w:rPr>
        <w:footnoteReference w:id="19"/>
      </w:r>
      <w:r w:rsidRPr="00893913">
        <w:rPr>
          <w:rFonts w:cs="Arial"/>
          <w:sz w:val="24"/>
          <w:szCs w:val="24"/>
        </w:rPr>
        <w:t xml:space="preserve">. No obstante, </w:t>
      </w:r>
      <w:r w:rsidR="00C35B09" w:rsidRPr="00893913">
        <w:rPr>
          <w:rFonts w:cs="Arial"/>
          <w:sz w:val="24"/>
          <w:szCs w:val="24"/>
        </w:rPr>
        <w:t>sí se tiene</w:t>
      </w:r>
      <w:r w:rsidRPr="00893913">
        <w:rPr>
          <w:rFonts w:cs="Arial"/>
          <w:sz w:val="24"/>
          <w:szCs w:val="24"/>
        </w:rPr>
        <w:t xml:space="preserve"> por acreditada y procedente la prestación reclamada consiste</w:t>
      </w:r>
      <w:r w:rsidRPr="003F6B95">
        <w:rPr>
          <w:rFonts w:cs="Arial"/>
          <w:sz w:val="24"/>
          <w:szCs w:val="24"/>
        </w:rPr>
        <w:t xml:space="preserve">nte en la declaración judicial de que </w:t>
      </w:r>
      <w:r w:rsidRPr="005229E1">
        <w:rPr>
          <w:rFonts w:cs="Arial"/>
          <w:sz w:val="24"/>
          <w:szCs w:val="24"/>
        </w:rPr>
        <w:t xml:space="preserve">Reforma 222 y Protección Privada 2010 </w:t>
      </w:r>
      <w:r w:rsidRPr="003F6B95">
        <w:rPr>
          <w:rFonts w:cs="Arial"/>
          <w:sz w:val="24"/>
          <w:szCs w:val="24"/>
        </w:rPr>
        <w:t>cometieron actos discriminatorios en contra de</w:t>
      </w:r>
      <w:r w:rsidR="002348A7" w:rsidRPr="003F6B95">
        <w:rPr>
          <w:rFonts w:cs="Arial"/>
          <w:sz w:val="24"/>
          <w:szCs w:val="24"/>
        </w:rPr>
        <w:t xml:space="preserve"> la señora</w:t>
      </w:r>
      <w:r w:rsidRPr="003F6B95">
        <w:rPr>
          <w:rFonts w:cs="Arial"/>
          <w:sz w:val="24"/>
          <w:szCs w:val="24"/>
        </w:rPr>
        <w:t xml:space="preserve"> </w:t>
      </w:r>
      <w:r w:rsidRPr="003F6B95">
        <w:rPr>
          <w:rFonts w:cs="Arial"/>
          <w:color w:val="FF0000"/>
          <w:sz w:val="24"/>
          <w:szCs w:val="24"/>
        </w:rPr>
        <w:t>DF</w:t>
      </w:r>
      <w:r w:rsidRPr="003F6B95">
        <w:rPr>
          <w:rStyle w:val="Refdenotaalpie"/>
          <w:rFonts w:cs="Arial"/>
          <w:sz w:val="24"/>
          <w:szCs w:val="24"/>
        </w:rPr>
        <w:footnoteReference w:id="20"/>
      </w:r>
      <w:r w:rsidRPr="003F6B95">
        <w:rPr>
          <w:rFonts w:cs="Arial"/>
          <w:color w:val="FF0000"/>
          <w:sz w:val="24"/>
          <w:szCs w:val="24"/>
        </w:rPr>
        <w:t>.</w:t>
      </w:r>
    </w:p>
    <w:p w14:paraId="6EE25A26" w14:textId="4D2D050B" w:rsidR="00D93DE7" w:rsidRPr="003F6B95" w:rsidRDefault="00D93DE7" w:rsidP="00976F09">
      <w:pPr>
        <w:pStyle w:val="corte4fondo"/>
        <w:numPr>
          <w:ilvl w:val="0"/>
          <w:numId w:val="6"/>
        </w:numPr>
        <w:tabs>
          <w:tab w:val="left" w:pos="851"/>
        </w:tabs>
        <w:spacing w:after="120" w:line="276" w:lineRule="auto"/>
        <w:ind w:left="567" w:right="51" w:hanging="567"/>
        <w:rPr>
          <w:rFonts w:cs="Arial"/>
          <w:sz w:val="24"/>
          <w:szCs w:val="24"/>
          <w:lang w:val="es-ES"/>
        </w:rPr>
      </w:pPr>
      <w:r w:rsidRPr="003F6B95">
        <w:rPr>
          <w:rFonts w:cs="Arial"/>
          <w:b/>
          <w:color w:val="000000" w:themeColor="text1"/>
          <w:sz w:val="24"/>
          <w:szCs w:val="24"/>
          <w:lang w:val="es-ES"/>
        </w:rPr>
        <w:t>Ausencia de legitimación pasiva</w:t>
      </w:r>
      <w:r w:rsidR="004D1DE8" w:rsidRPr="003F6B95">
        <w:rPr>
          <w:rFonts w:cs="Arial"/>
          <w:color w:val="000000" w:themeColor="text1"/>
          <w:sz w:val="24"/>
          <w:szCs w:val="24"/>
          <w:lang w:val="es-ES"/>
        </w:rPr>
        <w:t>.</w:t>
      </w:r>
      <w:r w:rsidR="004D1DE8" w:rsidRPr="003F6B95">
        <w:rPr>
          <w:rFonts w:cs="Arial"/>
          <w:sz w:val="24"/>
          <w:szCs w:val="24"/>
          <w:lang w:val="es-ES"/>
        </w:rPr>
        <w:t xml:space="preserve"> </w:t>
      </w:r>
      <w:r w:rsidRPr="003F6B95">
        <w:rPr>
          <w:rFonts w:cs="Arial"/>
          <w:sz w:val="24"/>
          <w:szCs w:val="24"/>
          <w:lang w:val="es-ES"/>
        </w:rPr>
        <w:t xml:space="preserve">La empresa </w:t>
      </w:r>
      <w:r w:rsidRPr="005229E1">
        <w:rPr>
          <w:rFonts w:cs="Arial"/>
          <w:sz w:val="24"/>
          <w:szCs w:val="24"/>
          <w:lang w:val="es-ES"/>
        </w:rPr>
        <w:t>Danhos careció de legitimación pasiva en la causa</w:t>
      </w:r>
      <w:r w:rsidR="00E03858" w:rsidRPr="005229E1">
        <w:rPr>
          <w:rFonts w:cs="Arial"/>
          <w:sz w:val="24"/>
          <w:szCs w:val="24"/>
          <w:lang w:val="es-ES"/>
        </w:rPr>
        <w:t>,</w:t>
      </w:r>
      <w:r w:rsidRPr="005229E1">
        <w:rPr>
          <w:rFonts w:cs="Arial"/>
          <w:sz w:val="24"/>
          <w:szCs w:val="24"/>
          <w:lang w:val="es-ES"/>
        </w:rPr>
        <w:t xml:space="preserve"> ya que </w:t>
      </w:r>
      <w:r w:rsidR="000368AE" w:rsidRPr="005229E1">
        <w:rPr>
          <w:rFonts w:cs="Arial"/>
          <w:sz w:val="24"/>
          <w:szCs w:val="24"/>
          <w:lang w:val="es-ES"/>
        </w:rPr>
        <w:t xml:space="preserve">ésta </w:t>
      </w:r>
      <w:r w:rsidRPr="005229E1">
        <w:rPr>
          <w:rFonts w:cs="Arial"/>
          <w:sz w:val="24"/>
          <w:szCs w:val="24"/>
          <w:lang w:val="es-ES"/>
        </w:rPr>
        <w:t xml:space="preserve">únicamente construyó el centro comercial </w:t>
      </w:r>
      <w:r w:rsidR="00737CEB" w:rsidRPr="005229E1">
        <w:rPr>
          <w:rFonts w:cs="Arial"/>
          <w:sz w:val="24"/>
          <w:szCs w:val="24"/>
          <w:lang w:val="es-ES"/>
        </w:rPr>
        <w:t>“</w:t>
      </w:r>
      <w:r w:rsidRPr="005229E1">
        <w:rPr>
          <w:rFonts w:cs="Arial"/>
          <w:sz w:val="24"/>
          <w:szCs w:val="24"/>
          <w:lang w:val="es-ES"/>
        </w:rPr>
        <w:t>Reforma 222</w:t>
      </w:r>
      <w:r w:rsidR="00737CEB" w:rsidRPr="005229E1">
        <w:rPr>
          <w:rFonts w:cs="Arial"/>
          <w:sz w:val="24"/>
          <w:szCs w:val="24"/>
          <w:lang w:val="es-ES"/>
        </w:rPr>
        <w:t>”,</w:t>
      </w:r>
      <w:r w:rsidRPr="005229E1">
        <w:rPr>
          <w:rFonts w:cs="Arial"/>
          <w:sz w:val="24"/>
          <w:szCs w:val="24"/>
          <w:lang w:val="es-ES"/>
        </w:rPr>
        <w:t xml:space="preserve"> por lo que no se encontraba obligada a responder por las prestaciones exigidas en juicio </w:t>
      </w:r>
      <w:r w:rsidRPr="003F6B95">
        <w:rPr>
          <w:rFonts w:cs="Arial"/>
          <w:sz w:val="24"/>
          <w:szCs w:val="24"/>
          <w:lang w:val="es-ES"/>
        </w:rPr>
        <w:t xml:space="preserve">ni cuando se celebró el convenio ante COPRED. </w:t>
      </w:r>
      <w:r w:rsidR="000368AE" w:rsidRPr="003F6B95">
        <w:rPr>
          <w:rFonts w:cs="Arial"/>
          <w:sz w:val="24"/>
          <w:szCs w:val="24"/>
          <w:lang w:val="es-ES"/>
        </w:rPr>
        <w:t>Asimismo, d</w:t>
      </w:r>
      <w:r w:rsidRPr="003F6B95">
        <w:rPr>
          <w:rFonts w:cs="Arial"/>
          <w:sz w:val="24"/>
          <w:szCs w:val="24"/>
          <w:lang w:val="es-ES"/>
        </w:rPr>
        <w:t xml:space="preserve">e las constancias derivadas del procedimiento de </w:t>
      </w:r>
      <w:r w:rsidRPr="003F6B95">
        <w:rPr>
          <w:rFonts w:cs="Arial"/>
          <w:sz w:val="24"/>
          <w:szCs w:val="24"/>
          <w:lang w:val="es-ES"/>
        </w:rPr>
        <w:lastRenderedPageBreak/>
        <w:t xml:space="preserve">conciliación se desprende </w:t>
      </w:r>
      <w:r w:rsidRPr="009D5CA7">
        <w:rPr>
          <w:rFonts w:cs="Arial"/>
          <w:sz w:val="24"/>
          <w:szCs w:val="24"/>
          <w:lang w:val="es-ES"/>
        </w:rPr>
        <w:t xml:space="preserve">que Danhos no formó </w:t>
      </w:r>
      <w:r w:rsidRPr="003F6B95">
        <w:rPr>
          <w:rFonts w:cs="Arial"/>
          <w:sz w:val="24"/>
          <w:szCs w:val="24"/>
          <w:lang w:val="es-ES"/>
        </w:rPr>
        <w:t>parte de él ni del convenio celebrado entre las partes</w:t>
      </w:r>
      <w:r w:rsidR="00F9736A" w:rsidRPr="003F6B95">
        <w:rPr>
          <w:rFonts w:cs="Arial"/>
          <w:sz w:val="24"/>
          <w:szCs w:val="24"/>
          <w:lang w:val="es-ES"/>
        </w:rPr>
        <w:t>,</w:t>
      </w:r>
      <w:r w:rsidRPr="003F6B95">
        <w:rPr>
          <w:rFonts w:cs="Arial"/>
          <w:sz w:val="24"/>
          <w:szCs w:val="24"/>
          <w:lang w:val="es-ES"/>
        </w:rPr>
        <w:t xml:space="preserve"> el cual tiene calidad de cosa juzgada</w:t>
      </w:r>
      <w:r w:rsidRPr="003F6B95">
        <w:rPr>
          <w:rStyle w:val="Refdenotaalpie"/>
          <w:rFonts w:cs="Arial"/>
          <w:sz w:val="24"/>
          <w:szCs w:val="24"/>
          <w:lang w:val="es-ES"/>
        </w:rPr>
        <w:footnoteReference w:id="21"/>
      </w:r>
      <w:r w:rsidRPr="003F6B95">
        <w:rPr>
          <w:rFonts w:cs="Arial"/>
          <w:sz w:val="24"/>
          <w:szCs w:val="24"/>
          <w:lang w:val="es-ES"/>
        </w:rPr>
        <w:t>.</w:t>
      </w:r>
    </w:p>
    <w:p w14:paraId="74822272" w14:textId="3972EDF2" w:rsidR="00106A79" w:rsidRPr="003F6B95" w:rsidRDefault="00106A79" w:rsidP="00976F09">
      <w:pPr>
        <w:pStyle w:val="corte4fondo"/>
        <w:numPr>
          <w:ilvl w:val="0"/>
          <w:numId w:val="6"/>
        </w:numPr>
        <w:tabs>
          <w:tab w:val="left" w:pos="851"/>
        </w:tabs>
        <w:spacing w:after="120" w:line="276" w:lineRule="auto"/>
        <w:ind w:left="567" w:right="51" w:hanging="567"/>
        <w:rPr>
          <w:rFonts w:cs="Arial"/>
          <w:sz w:val="24"/>
          <w:szCs w:val="24"/>
          <w:lang w:val="es-ES"/>
        </w:rPr>
      </w:pPr>
      <w:r w:rsidRPr="003F6B95">
        <w:rPr>
          <w:rFonts w:cs="Arial"/>
          <w:b/>
          <w:color w:val="000000" w:themeColor="text1"/>
          <w:sz w:val="24"/>
          <w:szCs w:val="24"/>
          <w:lang w:val="es-ES"/>
        </w:rPr>
        <w:t>Gastos y costas</w:t>
      </w:r>
      <w:r w:rsidR="004D1DE8" w:rsidRPr="003F6B95">
        <w:rPr>
          <w:rFonts w:cs="Arial"/>
          <w:color w:val="000000" w:themeColor="text1"/>
          <w:sz w:val="24"/>
          <w:szCs w:val="24"/>
          <w:lang w:val="es-ES"/>
        </w:rPr>
        <w:t xml:space="preserve">. </w:t>
      </w:r>
      <w:r w:rsidR="001F0E64" w:rsidRPr="003F6B95">
        <w:rPr>
          <w:rFonts w:cs="Arial"/>
          <w:sz w:val="24"/>
          <w:szCs w:val="24"/>
          <w:lang w:val="es-ES"/>
        </w:rPr>
        <w:t>Es</w:t>
      </w:r>
      <w:r w:rsidRPr="003F6B95">
        <w:rPr>
          <w:rFonts w:cs="Arial"/>
          <w:sz w:val="24"/>
          <w:szCs w:val="24"/>
          <w:lang w:val="es-ES"/>
        </w:rPr>
        <w:t xml:space="preserve"> procedente la condena de pago de gastos y costas en primera instancia en perjuicio de </w:t>
      </w:r>
      <w:r w:rsidRPr="003F6B95">
        <w:rPr>
          <w:rFonts w:cs="Arial"/>
          <w:color w:val="FF0000"/>
          <w:sz w:val="24"/>
          <w:szCs w:val="24"/>
          <w:lang w:val="es-ES"/>
        </w:rPr>
        <w:t xml:space="preserve">JMDF </w:t>
      </w:r>
      <w:r w:rsidRPr="003F6B95">
        <w:rPr>
          <w:rFonts w:cs="Arial"/>
          <w:sz w:val="24"/>
          <w:szCs w:val="24"/>
          <w:lang w:val="es-ES"/>
        </w:rPr>
        <w:t xml:space="preserve">y </w:t>
      </w:r>
      <w:r w:rsidRPr="003F6B95">
        <w:rPr>
          <w:rFonts w:cs="Arial"/>
          <w:color w:val="FF0000"/>
          <w:sz w:val="24"/>
          <w:szCs w:val="24"/>
          <w:lang w:val="es-ES"/>
        </w:rPr>
        <w:t xml:space="preserve">LNGB </w:t>
      </w:r>
      <w:r w:rsidRPr="003F6B95">
        <w:rPr>
          <w:rFonts w:cs="Arial"/>
          <w:sz w:val="24"/>
          <w:szCs w:val="24"/>
          <w:lang w:val="es-ES"/>
        </w:rPr>
        <w:t xml:space="preserve">únicamente a favor de la empresa </w:t>
      </w:r>
      <w:r w:rsidRPr="005229E1">
        <w:rPr>
          <w:rFonts w:cs="Arial"/>
          <w:sz w:val="24"/>
          <w:szCs w:val="24"/>
          <w:lang w:val="es-ES"/>
        </w:rPr>
        <w:t xml:space="preserve">Danhos, quien </w:t>
      </w:r>
      <w:r w:rsidRPr="003F6B95">
        <w:rPr>
          <w:rFonts w:cs="Arial"/>
          <w:sz w:val="24"/>
          <w:szCs w:val="24"/>
          <w:lang w:val="es-ES"/>
        </w:rPr>
        <w:t>careció de legitimación pasiva en la causa. Asimismo,</w:t>
      </w:r>
      <w:r w:rsidR="001F0E64" w:rsidRPr="003F6B95">
        <w:rPr>
          <w:rFonts w:cs="Arial"/>
          <w:sz w:val="24"/>
          <w:szCs w:val="24"/>
          <w:lang w:val="es-ES"/>
        </w:rPr>
        <w:t xml:space="preserve"> es</w:t>
      </w:r>
      <w:r w:rsidRPr="003F6B95">
        <w:rPr>
          <w:rFonts w:cs="Arial"/>
          <w:sz w:val="24"/>
          <w:szCs w:val="24"/>
          <w:lang w:val="es-ES"/>
        </w:rPr>
        <w:t xml:space="preserve"> procedente la condena en el pago de gastos y costas en ambas instancias en perjuicio de </w:t>
      </w:r>
      <w:r w:rsidRPr="003F6B95">
        <w:rPr>
          <w:rFonts w:cs="Arial"/>
          <w:color w:val="FF0000"/>
          <w:sz w:val="24"/>
          <w:szCs w:val="24"/>
          <w:lang w:val="es-ES"/>
        </w:rPr>
        <w:t>LNGB</w:t>
      </w:r>
      <w:r w:rsidR="00E9581E" w:rsidRPr="003F6B95">
        <w:rPr>
          <w:rFonts w:cs="Arial"/>
          <w:sz w:val="24"/>
          <w:szCs w:val="24"/>
          <w:lang w:val="es-ES"/>
        </w:rPr>
        <w:t>,</w:t>
      </w:r>
      <w:r w:rsidRPr="003F6B95">
        <w:rPr>
          <w:rFonts w:cs="Arial"/>
          <w:color w:val="FF0000"/>
          <w:sz w:val="24"/>
          <w:szCs w:val="24"/>
          <w:lang w:val="es-ES"/>
        </w:rPr>
        <w:t xml:space="preserve"> </w:t>
      </w:r>
      <w:r w:rsidRPr="003F6B95">
        <w:rPr>
          <w:rFonts w:cs="Arial"/>
          <w:sz w:val="24"/>
          <w:szCs w:val="24"/>
          <w:lang w:val="es-ES"/>
        </w:rPr>
        <w:t>en tanto que no obtuvo resolución favorable en ninguna de ellas, por lo que resultó vencida en juicio.</w:t>
      </w:r>
    </w:p>
    <w:p w14:paraId="06E3E5FD" w14:textId="6FFAD99F" w:rsidR="003073BB" w:rsidRPr="003F6B95" w:rsidRDefault="003073BB" w:rsidP="0091650F">
      <w:pPr>
        <w:pStyle w:val="corte4fondo"/>
        <w:tabs>
          <w:tab w:val="left" w:pos="0"/>
        </w:tabs>
        <w:ind w:right="51" w:firstLine="0"/>
        <w:rPr>
          <w:rFonts w:cs="Arial"/>
          <w:sz w:val="26"/>
          <w:szCs w:val="26"/>
        </w:rPr>
      </w:pPr>
    </w:p>
    <w:p w14:paraId="3BA9755E" w14:textId="574A485E" w:rsidR="00416378" w:rsidRPr="003F6B95" w:rsidRDefault="00CD34E2" w:rsidP="1A9D0C58">
      <w:pPr>
        <w:pStyle w:val="corte4fondo"/>
        <w:numPr>
          <w:ilvl w:val="0"/>
          <w:numId w:val="2"/>
        </w:numPr>
        <w:ind w:left="0" w:right="51" w:hanging="567"/>
        <w:rPr>
          <w:rFonts w:cs="Arial"/>
          <w:sz w:val="26"/>
          <w:szCs w:val="26"/>
          <w:lang w:val="es-ES"/>
        </w:rPr>
      </w:pPr>
      <w:r w:rsidRPr="003F6B95">
        <w:rPr>
          <w:rFonts w:cs="Arial"/>
          <w:b/>
          <w:sz w:val="26"/>
          <w:szCs w:val="26"/>
          <w:lang w:val="es-ES"/>
        </w:rPr>
        <w:t>Juicio de amparo direct</w:t>
      </w:r>
      <w:r w:rsidRPr="003F6B95">
        <w:rPr>
          <w:rFonts w:cs="Arial"/>
          <w:b/>
          <w:color w:val="000000" w:themeColor="text1"/>
          <w:sz w:val="26"/>
          <w:szCs w:val="26"/>
          <w:lang w:val="es-ES"/>
        </w:rPr>
        <w:t>o 658/2019.</w:t>
      </w:r>
      <w:r w:rsidRPr="003F6B95">
        <w:rPr>
          <w:rFonts w:cs="Arial"/>
          <w:b/>
          <w:sz w:val="26"/>
          <w:szCs w:val="26"/>
          <w:lang w:val="es-ES"/>
        </w:rPr>
        <w:t xml:space="preserve"> </w:t>
      </w:r>
      <w:r w:rsidRPr="003F6B95">
        <w:rPr>
          <w:rFonts w:cs="Arial"/>
          <w:sz w:val="26"/>
          <w:szCs w:val="26"/>
          <w:lang w:val="es-ES"/>
        </w:rPr>
        <w:t xml:space="preserve">El </w:t>
      </w:r>
      <w:r w:rsidR="00636DAC" w:rsidRPr="003F6B95">
        <w:rPr>
          <w:rFonts w:cs="Arial"/>
          <w:sz w:val="26"/>
          <w:szCs w:val="26"/>
          <w:lang w:val="es-ES"/>
        </w:rPr>
        <w:t xml:space="preserve">14 </w:t>
      </w:r>
      <w:r w:rsidRPr="003F6B95">
        <w:rPr>
          <w:rFonts w:cs="Arial"/>
          <w:sz w:val="26"/>
          <w:szCs w:val="26"/>
          <w:lang w:val="es-ES"/>
        </w:rPr>
        <w:t xml:space="preserve">de agosto de </w:t>
      </w:r>
      <w:r w:rsidR="00636DAC" w:rsidRPr="003F6B95">
        <w:rPr>
          <w:rFonts w:cs="Arial"/>
          <w:sz w:val="26"/>
          <w:szCs w:val="26"/>
          <w:lang w:val="es-ES"/>
        </w:rPr>
        <w:t>2019</w:t>
      </w:r>
      <w:r w:rsidRPr="003F6B95">
        <w:rPr>
          <w:rFonts w:cs="Arial"/>
          <w:sz w:val="26"/>
          <w:szCs w:val="26"/>
          <w:lang w:val="es-ES"/>
        </w:rPr>
        <w:t xml:space="preserve">, </w:t>
      </w:r>
      <w:r w:rsidRPr="003F6B95">
        <w:rPr>
          <w:rFonts w:cs="Arial"/>
          <w:color w:val="FF0000"/>
          <w:sz w:val="26"/>
          <w:szCs w:val="26"/>
          <w:lang w:val="es-ES"/>
        </w:rPr>
        <w:t>JMDF</w:t>
      </w:r>
      <w:r w:rsidRPr="003F6B95">
        <w:rPr>
          <w:rFonts w:cs="Arial"/>
          <w:sz w:val="26"/>
          <w:szCs w:val="26"/>
          <w:lang w:val="es-ES"/>
        </w:rPr>
        <w:t xml:space="preserve"> y </w:t>
      </w:r>
      <w:r w:rsidRPr="003F6B95">
        <w:rPr>
          <w:rFonts w:cs="Arial"/>
          <w:color w:val="FF0000"/>
          <w:sz w:val="26"/>
          <w:szCs w:val="26"/>
          <w:lang w:val="es-ES"/>
        </w:rPr>
        <w:t>LNGB</w:t>
      </w:r>
      <w:r w:rsidR="002628AD" w:rsidRPr="003F6B95">
        <w:rPr>
          <w:rFonts w:cs="Arial"/>
          <w:sz w:val="26"/>
          <w:szCs w:val="26"/>
          <w:lang w:val="es-ES"/>
        </w:rPr>
        <w:t xml:space="preserve"> </w:t>
      </w:r>
      <w:r w:rsidRPr="003F6B95">
        <w:rPr>
          <w:rFonts w:cs="Arial"/>
          <w:sz w:val="26"/>
          <w:szCs w:val="26"/>
          <w:lang w:val="es-ES"/>
        </w:rPr>
        <w:t xml:space="preserve">promovieron juicio de amparo directo en contra de la sentencia dictada el </w:t>
      </w:r>
      <w:r w:rsidR="00636DAC" w:rsidRPr="003F6B95">
        <w:rPr>
          <w:rFonts w:cs="Arial"/>
          <w:sz w:val="26"/>
          <w:szCs w:val="26"/>
          <w:lang w:val="es-ES"/>
        </w:rPr>
        <w:t xml:space="preserve">1 </w:t>
      </w:r>
      <w:r w:rsidRPr="003F6B95">
        <w:rPr>
          <w:rFonts w:cs="Arial"/>
          <w:sz w:val="26"/>
          <w:szCs w:val="26"/>
          <w:lang w:val="es-ES"/>
        </w:rPr>
        <w:t>de julio d</w:t>
      </w:r>
      <w:r w:rsidR="00261D60" w:rsidRPr="003F6B95">
        <w:rPr>
          <w:rFonts w:cs="Arial"/>
          <w:sz w:val="26"/>
          <w:szCs w:val="26"/>
          <w:lang w:val="es-ES"/>
        </w:rPr>
        <w:t xml:space="preserve">e 2019 </w:t>
      </w:r>
      <w:r w:rsidRPr="003F6B95">
        <w:rPr>
          <w:rFonts w:cs="Arial"/>
          <w:sz w:val="26"/>
          <w:szCs w:val="26"/>
          <w:lang w:val="es-ES"/>
        </w:rPr>
        <w:t>por la Cuarta Sala Civil del Tribunal Superior de Justicia de la Ciudad de México en el toca de apelación</w:t>
      </w:r>
      <w:r w:rsidRPr="003F6B95">
        <w:rPr>
          <w:rFonts w:cs="Arial"/>
          <w:color w:val="000000" w:themeColor="text1"/>
          <w:sz w:val="26"/>
          <w:szCs w:val="26"/>
          <w:lang w:val="es-ES"/>
        </w:rPr>
        <w:t xml:space="preserve"> 255/2019</w:t>
      </w:r>
      <w:r w:rsidRPr="003F6B95">
        <w:rPr>
          <w:rStyle w:val="Refdenotaalpie"/>
          <w:rFonts w:cs="Arial"/>
          <w:sz w:val="26"/>
          <w:szCs w:val="26"/>
          <w:lang w:val="es-ES"/>
        </w:rPr>
        <w:footnoteReference w:id="22"/>
      </w:r>
      <w:r w:rsidRPr="003F6B95">
        <w:rPr>
          <w:rFonts w:cs="Arial"/>
          <w:sz w:val="26"/>
          <w:szCs w:val="26"/>
          <w:lang w:val="es-ES"/>
        </w:rPr>
        <w:t>.</w:t>
      </w:r>
      <w:r w:rsidR="00416378" w:rsidRPr="003F6B95">
        <w:rPr>
          <w:rFonts w:cs="Arial"/>
          <w:sz w:val="26"/>
          <w:szCs w:val="26"/>
          <w:lang w:val="es-ES"/>
        </w:rPr>
        <w:t xml:space="preserve"> En su demanda de amparo </w:t>
      </w:r>
      <w:r w:rsidR="00FA41AE" w:rsidRPr="003F6B95">
        <w:rPr>
          <w:rFonts w:cs="Arial"/>
          <w:sz w:val="26"/>
          <w:szCs w:val="26"/>
          <w:lang w:val="es-ES"/>
        </w:rPr>
        <w:t xml:space="preserve">formularon los siguientes </w:t>
      </w:r>
      <w:r w:rsidR="00D04DA9" w:rsidRPr="003F6B95">
        <w:rPr>
          <w:rFonts w:cs="Arial"/>
          <w:sz w:val="26"/>
          <w:szCs w:val="26"/>
          <w:lang w:val="es-ES"/>
        </w:rPr>
        <w:t>conceptos de violación</w:t>
      </w:r>
      <w:r w:rsidR="00FA41AE" w:rsidRPr="003F6B95">
        <w:rPr>
          <w:rFonts w:cs="Arial"/>
          <w:sz w:val="26"/>
          <w:szCs w:val="26"/>
          <w:lang w:val="es-ES"/>
        </w:rPr>
        <w:t>:</w:t>
      </w:r>
    </w:p>
    <w:p w14:paraId="18A44B2A" w14:textId="643012D0" w:rsidR="00416378" w:rsidRPr="003F6B95" w:rsidRDefault="00416378" w:rsidP="1A9D0C58">
      <w:pPr>
        <w:pStyle w:val="corte4fondo"/>
        <w:numPr>
          <w:ilvl w:val="0"/>
          <w:numId w:val="8"/>
        </w:numPr>
        <w:spacing w:before="240" w:after="120" w:line="276" w:lineRule="auto"/>
        <w:ind w:left="567" w:right="51" w:hanging="567"/>
        <w:rPr>
          <w:rFonts w:cs="Arial"/>
          <w:sz w:val="24"/>
          <w:szCs w:val="24"/>
          <w:lang w:val="es-ES"/>
        </w:rPr>
      </w:pPr>
      <w:r w:rsidRPr="003F6B95">
        <w:rPr>
          <w:rFonts w:cs="Arial"/>
          <w:b/>
          <w:color w:val="000000" w:themeColor="text1"/>
          <w:sz w:val="24"/>
          <w:szCs w:val="24"/>
          <w:lang w:val="es-ES"/>
        </w:rPr>
        <w:t>Primer</w:t>
      </w:r>
      <w:r w:rsidR="00D04DA9" w:rsidRPr="003F6B95">
        <w:rPr>
          <w:rFonts w:cs="Arial"/>
          <w:b/>
          <w:color w:val="000000" w:themeColor="text1"/>
          <w:sz w:val="24"/>
          <w:szCs w:val="24"/>
          <w:lang w:val="es-ES"/>
        </w:rPr>
        <w:t>o</w:t>
      </w:r>
      <w:r w:rsidRPr="003F6B95">
        <w:rPr>
          <w:rFonts w:cs="Arial"/>
          <w:b/>
          <w:color w:val="000000" w:themeColor="text1"/>
          <w:sz w:val="24"/>
          <w:szCs w:val="24"/>
          <w:lang w:val="es-ES"/>
        </w:rPr>
        <w:t>.</w:t>
      </w:r>
      <w:r w:rsidR="00924E7D" w:rsidRPr="003F6B95">
        <w:rPr>
          <w:rFonts w:cs="Arial"/>
          <w:b/>
          <w:sz w:val="24"/>
          <w:szCs w:val="24"/>
          <w:lang w:val="es-ES"/>
        </w:rPr>
        <w:t xml:space="preserve"> </w:t>
      </w:r>
      <w:r w:rsidRPr="003F6B95">
        <w:rPr>
          <w:rFonts w:cs="Arial"/>
          <w:sz w:val="24"/>
          <w:szCs w:val="24"/>
          <w:lang w:val="es-ES"/>
        </w:rPr>
        <w:t>L</w:t>
      </w:r>
      <w:r w:rsidR="00EF1E7F" w:rsidRPr="003F6B95">
        <w:rPr>
          <w:rFonts w:cs="Arial"/>
          <w:sz w:val="24"/>
          <w:szCs w:val="24"/>
          <w:lang w:val="es-ES"/>
        </w:rPr>
        <w:t>a</w:t>
      </w:r>
      <w:r w:rsidRPr="003F6B95">
        <w:rPr>
          <w:rFonts w:cs="Arial"/>
          <w:sz w:val="24"/>
          <w:szCs w:val="24"/>
          <w:lang w:val="es-ES"/>
        </w:rPr>
        <w:t xml:space="preserve"> </w:t>
      </w:r>
      <w:r w:rsidR="00EF1E7F" w:rsidRPr="003F6B95">
        <w:rPr>
          <w:rFonts w:cs="Arial"/>
          <w:sz w:val="24"/>
          <w:szCs w:val="24"/>
          <w:lang w:val="es-ES"/>
        </w:rPr>
        <w:t>s</w:t>
      </w:r>
      <w:r w:rsidRPr="003F6B95">
        <w:rPr>
          <w:rFonts w:cs="Arial"/>
          <w:sz w:val="24"/>
          <w:szCs w:val="24"/>
          <w:lang w:val="es-ES"/>
        </w:rPr>
        <w:t xml:space="preserve">ala erróneamente consideró que no se cometió un acto discriminatorio en contra de la señora </w:t>
      </w:r>
      <w:r w:rsidRPr="003F6B95">
        <w:rPr>
          <w:rFonts w:cs="Arial"/>
          <w:color w:val="FF0000"/>
          <w:sz w:val="24"/>
          <w:szCs w:val="24"/>
          <w:lang w:val="es-ES"/>
        </w:rPr>
        <w:t>GB</w:t>
      </w:r>
      <w:r w:rsidRPr="003F6B95">
        <w:rPr>
          <w:rFonts w:cs="Arial"/>
          <w:sz w:val="24"/>
          <w:szCs w:val="24"/>
          <w:lang w:val="es-ES"/>
        </w:rPr>
        <w:t>,</w:t>
      </w:r>
      <w:r w:rsidRPr="003F6B95">
        <w:rPr>
          <w:rFonts w:cs="Arial"/>
          <w:color w:val="FF0000"/>
          <w:sz w:val="24"/>
          <w:szCs w:val="24"/>
          <w:lang w:val="es-ES"/>
        </w:rPr>
        <w:t xml:space="preserve"> </w:t>
      </w:r>
      <w:r w:rsidRPr="003F6B95">
        <w:rPr>
          <w:rFonts w:cs="Arial"/>
          <w:sz w:val="24"/>
          <w:szCs w:val="24"/>
          <w:lang w:val="es-ES"/>
        </w:rPr>
        <w:t xml:space="preserve">a pesar de que </w:t>
      </w:r>
      <w:r w:rsidR="009D6077" w:rsidRPr="003F6B95">
        <w:rPr>
          <w:rFonts w:cs="Arial"/>
          <w:sz w:val="24"/>
          <w:szCs w:val="24"/>
          <w:lang w:val="es-ES"/>
        </w:rPr>
        <w:t>é</w:t>
      </w:r>
      <w:r w:rsidRPr="003F6B95">
        <w:rPr>
          <w:rFonts w:cs="Arial"/>
          <w:sz w:val="24"/>
          <w:szCs w:val="24"/>
          <w:lang w:val="es-ES"/>
        </w:rPr>
        <w:t xml:space="preserve">ste </w:t>
      </w:r>
      <w:r w:rsidRPr="003F6B95">
        <w:rPr>
          <w:rFonts w:cs="Arial"/>
          <w:color w:val="000000" w:themeColor="text1"/>
          <w:sz w:val="24"/>
          <w:szCs w:val="24"/>
          <w:lang w:val="es-ES"/>
        </w:rPr>
        <w:t xml:space="preserve">quedó asentado en el expediente del procedimiento de conciliación </w:t>
      </w:r>
      <w:r w:rsidRPr="003F6B95">
        <w:rPr>
          <w:rFonts w:cs="Arial"/>
          <w:sz w:val="24"/>
          <w:szCs w:val="24"/>
          <w:lang w:val="es-ES"/>
        </w:rPr>
        <w:t xml:space="preserve">seguido ante COPRED, el cual hace prueba plena. </w:t>
      </w:r>
      <w:r w:rsidR="00D326D0" w:rsidRPr="003F6B95">
        <w:rPr>
          <w:rFonts w:cs="Arial"/>
          <w:sz w:val="24"/>
          <w:szCs w:val="24"/>
          <w:lang w:val="es-ES"/>
        </w:rPr>
        <w:t>El</w:t>
      </w:r>
      <w:r w:rsidRPr="003F6B95">
        <w:rPr>
          <w:rFonts w:cs="Arial"/>
          <w:sz w:val="24"/>
          <w:szCs w:val="24"/>
          <w:lang w:val="es-ES"/>
        </w:rPr>
        <w:t xml:space="preserve"> trato recibido por el personal del módulo de atención de quejas de la </w:t>
      </w:r>
      <w:r w:rsidRPr="005229E1">
        <w:rPr>
          <w:rFonts w:cs="Arial"/>
          <w:sz w:val="24"/>
          <w:szCs w:val="24"/>
          <w:lang w:val="es-ES"/>
        </w:rPr>
        <w:t xml:space="preserve">plaza Reforma 222 </w:t>
      </w:r>
      <w:r w:rsidRPr="003F6B95">
        <w:rPr>
          <w:rFonts w:cs="Arial"/>
          <w:color w:val="000000" w:themeColor="text1"/>
          <w:sz w:val="24"/>
          <w:szCs w:val="24"/>
          <w:lang w:val="es-ES"/>
        </w:rPr>
        <w:t>co</w:t>
      </w:r>
      <w:r w:rsidRPr="003F6B95">
        <w:rPr>
          <w:rFonts w:cs="Arial"/>
          <w:sz w:val="24"/>
          <w:szCs w:val="24"/>
          <w:lang w:val="es-ES"/>
        </w:rPr>
        <w:t>nstituyó un acto discriminatorio</w:t>
      </w:r>
      <w:r w:rsidR="002E6505" w:rsidRPr="003F6B95">
        <w:rPr>
          <w:rFonts w:cs="Arial"/>
          <w:sz w:val="24"/>
          <w:szCs w:val="24"/>
          <w:lang w:val="es-ES"/>
        </w:rPr>
        <w:t>,</w:t>
      </w:r>
      <w:r w:rsidRPr="003F6B95">
        <w:rPr>
          <w:rFonts w:cs="Arial"/>
          <w:sz w:val="24"/>
          <w:szCs w:val="24"/>
          <w:lang w:val="es-ES"/>
        </w:rPr>
        <w:t xml:space="preserve"> en tanto que el actuar del personal fue agresivo y tuvo por objeto obstaculizar la interposición de una queja. </w:t>
      </w:r>
      <w:r w:rsidR="00D326D0" w:rsidRPr="003F6B95">
        <w:rPr>
          <w:rFonts w:cs="Arial"/>
          <w:sz w:val="24"/>
          <w:szCs w:val="24"/>
          <w:lang w:val="es-ES"/>
        </w:rPr>
        <w:t>Este</w:t>
      </w:r>
      <w:r w:rsidRPr="003F6B95">
        <w:rPr>
          <w:rFonts w:cs="Arial"/>
          <w:sz w:val="24"/>
          <w:szCs w:val="24"/>
          <w:lang w:val="es-ES"/>
        </w:rPr>
        <w:t xml:space="preserve"> trato diferenciado se basó en un prejuicio o estigma social por razón de género</w:t>
      </w:r>
      <w:r w:rsidR="008B6AFF" w:rsidRPr="003F6B95">
        <w:rPr>
          <w:rFonts w:cs="Arial"/>
          <w:sz w:val="24"/>
          <w:szCs w:val="24"/>
          <w:lang w:val="es-ES"/>
        </w:rPr>
        <w:t>,</w:t>
      </w:r>
      <w:r w:rsidRPr="003F6B95">
        <w:rPr>
          <w:rFonts w:cs="Arial"/>
          <w:sz w:val="24"/>
          <w:szCs w:val="24"/>
          <w:lang w:val="es-ES"/>
        </w:rPr>
        <w:t xml:space="preserve"> por lo que la carga de la prueba para demostrar que dicho acto cumplía con los criterios de ser objetivo, razonable y proporcional correspondía a las empresas señaladas como responsables y no a las quejosas.</w:t>
      </w:r>
    </w:p>
    <w:p w14:paraId="4C92A79A" w14:textId="4AD410F5" w:rsidR="00416378" w:rsidRPr="003F6B95" w:rsidRDefault="00416378" w:rsidP="1A9D0C58">
      <w:pPr>
        <w:pStyle w:val="corte4fondo"/>
        <w:numPr>
          <w:ilvl w:val="0"/>
          <w:numId w:val="8"/>
        </w:numPr>
        <w:spacing w:after="120" w:line="276" w:lineRule="auto"/>
        <w:ind w:left="567" w:right="51" w:hanging="567"/>
        <w:rPr>
          <w:rFonts w:cs="Arial"/>
          <w:color w:val="1F3864" w:themeColor="accent1" w:themeShade="80"/>
          <w:lang w:val="es-ES"/>
        </w:rPr>
      </w:pPr>
      <w:r w:rsidRPr="003F6B95">
        <w:rPr>
          <w:rFonts w:cs="Arial"/>
          <w:b/>
          <w:color w:val="000000" w:themeColor="text1"/>
          <w:sz w:val="24"/>
          <w:szCs w:val="24"/>
          <w:lang w:val="es-ES"/>
        </w:rPr>
        <w:t>Segundo.</w:t>
      </w:r>
      <w:r w:rsidRPr="003F6B95">
        <w:rPr>
          <w:rFonts w:cs="Arial"/>
          <w:b/>
          <w:sz w:val="24"/>
          <w:szCs w:val="24"/>
          <w:lang w:val="es-ES"/>
        </w:rPr>
        <w:t xml:space="preserve"> </w:t>
      </w:r>
      <w:r w:rsidR="00EF1E7F" w:rsidRPr="003F6B95">
        <w:rPr>
          <w:rFonts w:cs="Arial"/>
          <w:sz w:val="24"/>
          <w:szCs w:val="24"/>
          <w:lang w:val="es-ES"/>
        </w:rPr>
        <w:t>L</w:t>
      </w:r>
      <w:r w:rsidRPr="003F6B95">
        <w:rPr>
          <w:rFonts w:cs="Arial"/>
          <w:sz w:val="24"/>
          <w:szCs w:val="24"/>
          <w:lang w:val="es-ES"/>
        </w:rPr>
        <w:t xml:space="preserve">a </w:t>
      </w:r>
      <w:r w:rsidR="00EF1E7F" w:rsidRPr="003F6B95">
        <w:rPr>
          <w:rFonts w:cs="Arial"/>
          <w:sz w:val="24"/>
          <w:szCs w:val="24"/>
          <w:lang w:val="es-ES"/>
        </w:rPr>
        <w:t>s</w:t>
      </w:r>
      <w:r w:rsidRPr="003F6B95">
        <w:rPr>
          <w:rFonts w:cs="Arial"/>
          <w:sz w:val="24"/>
          <w:szCs w:val="24"/>
          <w:lang w:val="es-ES"/>
        </w:rPr>
        <w:t xml:space="preserve">ala incumplió con su obligación de juzgar el caso con perspectiva de género, pues ignoró que los hechos ocurridos en el caso se cometieron en un contexto generalizado de discriminación en contra de personas trans. </w:t>
      </w:r>
      <w:r w:rsidR="003A7971" w:rsidRPr="003F6B95">
        <w:rPr>
          <w:rFonts w:cs="Arial"/>
          <w:sz w:val="24"/>
          <w:szCs w:val="24"/>
          <w:lang w:val="es-ES"/>
        </w:rPr>
        <w:t>D</w:t>
      </w:r>
      <w:r w:rsidRPr="003F6B95">
        <w:rPr>
          <w:rFonts w:cs="Arial"/>
          <w:sz w:val="24"/>
          <w:szCs w:val="24"/>
          <w:lang w:val="es-ES"/>
        </w:rPr>
        <w:t xml:space="preserve">e haber incorporado una perspectiva de género al caso, la </w:t>
      </w:r>
      <w:r w:rsidR="003A7971" w:rsidRPr="003F6B95">
        <w:rPr>
          <w:rFonts w:cs="Arial"/>
          <w:sz w:val="24"/>
          <w:szCs w:val="24"/>
          <w:lang w:val="es-ES"/>
        </w:rPr>
        <w:t xml:space="preserve">sala </w:t>
      </w:r>
      <w:r w:rsidRPr="003F6B95">
        <w:rPr>
          <w:rFonts w:cs="Arial"/>
          <w:sz w:val="24"/>
          <w:szCs w:val="24"/>
          <w:lang w:val="es-ES"/>
        </w:rPr>
        <w:t xml:space="preserve">hubiera podido identificar que el impedir a </w:t>
      </w:r>
      <w:r w:rsidRPr="003F6B95">
        <w:rPr>
          <w:rFonts w:cs="Arial"/>
          <w:color w:val="FF0000"/>
          <w:sz w:val="24"/>
          <w:szCs w:val="24"/>
          <w:lang w:val="es-ES"/>
        </w:rPr>
        <w:t>JMDF</w:t>
      </w:r>
      <w:r w:rsidRPr="003F6B95">
        <w:rPr>
          <w:rFonts w:cs="Arial"/>
          <w:sz w:val="24"/>
          <w:szCs w:val="24"/>
          <w:lang w:val="es-ES"/>
        </w:rPr>
        <w:t xml:space="preserve"> y </w:t>
      </w:r>
      <w:r w:rsidRPr="003F6B95">
        <w:rPr>
          <w:rFonts w:cs="Arial"/>
          <w:color w:val="FF0000"/>
          <w:sz w:val="24"/>
          <w:szCs w:val="24"/>
          <w:lang w:val="es-ES"/>
        </w:rPr>
        <w:t xml:space="preserve">AMF </w:t>
      </w:r>
      <w:r w:rsidRPr="003F6B95">
        <w:rPr>
          <w:rFonts w:cs="Arial"/>
          <w:sz w:val="24"/>
          <w:szCs w:val="24"/>
          <w:lang w:val="es-ES"/>
        </w:rPr>
        <w:t xml:space="preserve">el ingreso a los </w:t>
      </w:r>
      <w:r w:rsidR="004F2A7C" w:rsidRPr="003F6B95">
        <w:rPr>
          <w:rFonts w:cs="Arial"/>
          <w:sz w:val="24"/>
          <w:szCs w:val="24"/>
          <w:lang w:val="es-ES"/>
        </w:rPr>
        <w:t>“</w:t>
      </w:r>
      <w:r w:rsidRPr="003F6B95">
        <w:rPr>
          <w:rFonts w:cs="Arial"/>
          <w:sz w:val="24"/>
          <w:szCs w:val="24"/>
          <w:lang w:val="es-ES"/>
        </w:rPr>
        <w:t>baños de mujeres</w:t>
      </w:r>
      <w:r w:rsidR="004F2A7C" w:rsidRPr="003F6B95">
        <w:rPr>
          <w:rFonts w:cs="Arial"/>
          <w:sz w:val="24"/>
          <w:szCs w:val="24"/>
          <w:lang w:val="es-ES"/>
        </w:rPr>
        <w:t>”</w:t>
      </w:r>
      <w:r w:rsidRPr="003F6B95">
        <w:rPr>
          <w:rFonts w:cs="Arial"/>
          <w:sz w:val="24"/>
          <w:szCs w:val="24"/>
          <w:lang w:val="es-ES"/>
        </w:rPr>
        <w:t xml:space="preserve"> también supuso una discriminación en contra de </w:t>
      </w:r>
      <w:r w:rsidRPr="003F6B95">
        <w:rPr>
          <w:rFonts w:cs="Arial"/>
          <w:color w:val="FF0000"/>
          <w:sz w:val="24"/>
          <w:szCs w:val="24"/>
          <w:lang w:val="es-ES"/>
        </w:rPr>
        <w:t>LNGB</w:t>
      </w:r>
      <w:r w:rsidR="00456D0B" w:rsidRPr="003F6B95">
        <w:rPr>
          <w:rFonts w:cs="Arial"/>
          <w:color w:val="FF0000"/>
          <w:sz w:val="24"/>
          <w:szCs w:val="24"/>
          <w:lang w:val="es-ES"/>
        </w:rPr>
        <w:t>,</w:t>
      </w:r>
      <w:r w:rsidRPr="003F6B95">
        <w:rPr>
          <w:rFonts w:cs="Arial"/>
          <w:color w:val="FF0000"/>
          <w:sz w:val="24"/>
          <w:szCs w:val="24"/>
          <w:lang w:val="es-ES"/>
        </w:rPr>
        <w:t xml:space="preserve"> </w:t>
      </w:r>
      <w:r w:rsidRPr="003F6B95">
        <w:rPr>
          <w:rFonts w:cs="Arial"/>
          <w:sz w:val="24"/>
          <w:szCs w:val="24"/>
          <w:lang w:val="es-ES"/>
        </w:rPr>
        <w:t xml:space="preserve">en tanto que ella también </w:t>
      </w:r>
      <w:r w:rsidR="00AC2A2B" w:rsidRPr="003F6B95">
        <w:rPr>
          <w:rFonts w:cs="Arial"/>
          <w:sz w:val="24"/>
          <w:szCs w:val="24"/>
          <w:lang w:val="es-ES"/>
        </w:rPr>
        <w:t xml:space="preserve">es </w:t>
      </w:r>
      <w:r w:rsidRPr="003F6B95">
        <w:rPr>
          <w:rFonts w:cs="Arial"/>
          <w:sz w:val="24"/>
          <w:szCs w:val="24"/>
          <w:lang w:val="es-ES"/>
        </w:rPr>
        <w:t>una persona trans y se encontraba en la misma plaza comercial en el momento en que sucedieron los presuntos actos transfóbicos.</w:t>
      </w:r>
    </w:p>
    <w:p w14:paraId="4DBB4089" w14:textId="5BB3F5CE" w:rsidR="00416378" w:rsidRPr="003F6B95" w:rsidRDefault="00416378" w:rsidP="1A9D0C58">
      <w:pPr>
        <w:pStyle w:val="corte4fondo"/>
        <w:numPr>
          <w:ilvl w:val="0"/>
          <w:numId w:val="8"/>
        </w:numPr>
        <w:spacing w:after="120" w:line="276" w:lineRule="auto"/>
        <w:ind w:left="567" w:right="51" w:hanging="567"/>
        <w:rPr>
          <w:rFonts w:cs="Arial"/>
          <w:sz w:val="24"/>
          <w:szCs w:val="24"/>
          <w:lang w:val="es-ES"/>
        </w:rPr>
      </w:pPr>
      <w:r w:rsidRPr="003F6B95">
        <w:rPr>
          <w:rFonts w:cs="Arial"/>
          <w:b/>
          <w:color w:val="000000" w:themeColor="text1"/>
          <w:sz w:val="24"/>
          <w:szCs w:val="24"/>
          <w:lang w:val="es-ES"/>
        </w:rPr>
        <w:t>Terce</w:t>
      </w:r>
      <w:r w:rsidR="00D04DA9" w:rsidRPr="003F6B95">
        <w:rPr>
          <w:rFonts w:cs="Arial"/>
          <w:b/>
          <w:color w:val="000000" w:themeColor="text1"/>
          <w:sz w:val="24"/>
          <w:szCs w:val="24"/>
          <w:lang w:val="es-ES"/>
        </w:rPr>
        <w:t>ro</w:t>
      </w:r>
      <w:r w:rsidRPr="003F6B95">
        <w:rPr>
          <w:rFonts w:cs="Arial"/>
          <w:b/>
          <w:color w:val="000000" w:themeColor="text1"/>
          <w:sz w:val="24"/>
          <w:szCs w:val="24"/>
          <w:lang w:val="es-ES"/>
        </w:rPr>
        <w:t>.</w:t>
      </w:r>
      <w:r w:rsidRPr="003F6B95">
        <w:rPr>
          <w:rFonts w:cs="Arial"/>
          <w:b/>
          <w:sz w:val="24"/>
          <w:szCs w:val="24"/>
          <w:lang w:val="es-ES"/>
        </w:rPr>
        <w:t xml:space="preserve"> </w:t>
      </w:r>
      <w:r w:rsidR="00EF1E7F" w:rsidRPr="003F6B95">
        <w:rPr>
          <w:rFonts w:cs="Arial"/>
          <w:sz w:val="24"/>
          <w:szCs w:val="24"/>
          <w:lang w:val="es-ES"/>
        </w:rPr>
        <w:t>F</w:t>
      </w:r>
      <w:r w:rsidRPr="003F6B95">
        <w:rPr>
          <w:rFonts w:cs="Arial"/>
          <w:sz w:val="24"/>
          <w:szCs w:val="24"/>
          <w:lang w:val="es-ES"/>
        </w:rPr>
        <w:t xml:space="preserve">ue incorrecta la determinación </w:t>
      </w:r>
      <w:r w:rsidR="00AC2A2B" w:rsidRPr="003F6B95">
        <w:rPr>
          <w:rFonts w:cs="Arial"/>
          <w:sz w:val="24"/>
          <w:szCs w:val="24"/>
          <w:lang w:val="es-ES"/>
        </w:rPr>
        <w:t xml:space="preserve">de la sala </w:t>
      </w:r>
      <w:r w:rsidRPr="003F6B95">
        <w:rPr>
          <w:rFonts w:cs="Arial"/>
          <w:sz w:val="24"/>
          <w:szCs w:val="24"/>
          <w:lang w:val="es-ES"/>
        </w:rPr>
        <w:t xml:space="preserve">que tuvo por no acreditados los tres elementos que configuran la acción de daño moral. Respecto del primer elemento (hecho ilícito), la </w:t>
      </w:r>
      <w:r w:rsidR="00AC2A2B" w:rsidRPr="003F6B95">
        <w:rPr>
          <w:rFonts w:cs="Arial"/>
          <w:sz w:val="24"/>
          <w:szCs w:val="24"/>
          <w:lang w:val="es-ES"/>
        </w:rPr>
        <w:t xml:space="preserve">sala </w:t>
      </w:r>
      <w:r w:rsidRPr="003F6B95">
        <w:rPr>
          <w:rFonts w:cs="Arial"/>
          <w:sz w:val="24"/>
          <w:szCs w:val="24"/>
          <w:lang w:val="es-ES"/>
        </w:rPr>
        <w:t xml:space="preserve">lo tuvo por acreditado en el caso de </w:t>
      </w:r>
      <w:r w:rsidRPr="003F6B95">
        <w:rPr>
          <w:rFonts w:cs="Arial"/>
          <w:color w:val="FF0000"/>
          <w:sz w:val="24"/>
          <w:szCs w:val="24"/>
          <w:lang w:val="es-ES"/>
        </w:rPr>
        <w:t>JMD</w:t>
      </w:r>
      <w:r w:rsidR="00DE6F8E">
        <w:rPr>
          <w:rFonts w:cs="Arial"/>
          <w:color w:val="FF0000"/>
          <w:sz w:val="24"/>
          <w:szCs w:val="24"/>
          <w:lang w:val="es-ES"/>
        </w:rPr>
        <w:t>F</w:t>
      </w:r>
      <w:r w:rsidRPr="003F6B95">
        <w:rPr>
          <w:rFonts w:cs="Arial"/>
          <w:sz w:val="24"/>
          <w:szCs w:val="24"/>
          <w:lang w:val="es-ES"/>
        </w:rPr>
        <w:t xml:space="preserve">, </w:t>
      </w:r>
      <w:r w:rsidR="00FF11AB" w:rsidRPr="003F6B95">
        <w:rPr>
          <w:rFonts w:cs="Arial"/>
          <w:sz w:val="24"/>
          <w:szCs w:val="24"/>
          <w:lang w:val="es-ES"/>
        </w:rPr>
        <w:t>pero no en el caso</w:t>
      </w:r>
      <w:r w:rsidRPr="003F6B95">
        <w:rPr>
          <w:rFonts w:cs="Arial"/>
          <w:sz w:val="24"/>
          <w:szCs w:val="24"/>
          <w:lang w:val="es-ES"/>
        </w:rPr>
        <w:t xml:space="preserve"> de </w:t>
      </w:r>
      <w:r w:rsidRPr="003F6B95">
        <w:rPr>
          <w:rFonts w:cs="Arial"/>
          <w:color w:val="FF0000"/>
          <w:sz w:val="24"/>
          <w:szCs w:val="24"/>
          <w:lang w:val="es-ES"/>
        </w:rPr>
        <w:t>LNGB</w:t>
      </w:r>
      <w:r w:rsidRPr="003F6B95">
        <w:rPr>
          <w:rFonts w:cs="Arial"/>
          <w:sz w:val="24"/>
          <w:szCs w:val="24"/>
          <w:lang w:val="es-ES"/>
        </w:rPr>
        <w:t>. Respecto del segundo elemento (daño)</w:t>
      </w:r>
      <w:r w:rsidR="00AC2A2B" w:rsidRPr="003F6B95">
        <w:rPr>
          <w:rFonts w:cs="Arial"/>
          <w:sz w:val="24"/>
          <w:szCs w:val="24"/>
          <w:lang w:val="es-ES"/>
        </w:rPr>
        <w:t>, la s</w:t>
      </w:r>
      <w:r w:rsidRPr="003F6B95">
        <w:rPr>
          <w:rFonts w:cs="Arial"/>
          <w:sz w:val="24"/>
          <w:szCs w:val="24"/>
          <w:lang w:val="es-ES"/>
        </w:rPr>
        <w:t xml:space="preserve">ala no aplicó la presunción legal que el </w:t>
      </w:r>
      <w:r w:rsidR="00B11206">
        <w:rPr>
          <w:rFonts w:cs="Arial"/>
          <w:sz w:val="24"/>
          <w:szCs w:val="24"/>
          <w:lang w:val="es-ES"/>
        </w:rPr>
        <w:t xml:space="preserve">artículo 1916 del </w:t>
      </w:r>
      <w:r w:rsidRPr="003F6B95">
        <w:rPr>
          <w:rFonts w:cs="Arial"/>
          <w:sz w:val="24"/>
          <w:szCs w:val="24"/>
          <w:lang w:val="es-ES"/>
        </w:rPr>
        <w:t xml:space="preserve">Código Civil para </w:t>
      </w:r>
      <w:r w:rsidR="00453DDD" w:rsidRPr="00453DDD">
        <w:rPr>
          <w:rFonts w:cs="Arial"/>
          <w:sz w:val="24"/>
          <w:szCs w:val="24"/>
          <w:lang w:val="es-ES"/>
        </w:rPr>
        <w:t>el Distrito Federal</w:t>
      </w:r>
      <w:r w:rsidRPr="003F6B95">
        <w:rPr>
          <w:rFonts w:cs="Arial"/>
          <w:sz w:val="24"/>
          <w:szCs w:val="24"/>
          <w:lang w:val="es-ES"/>
        </w:rPr>
        <w:t xml:space="preserve"> dispone para casos que involucren afectaciones a la integridad psíquica. A</w:t>
      </w:r>
      <w:r w:rsidR="00FD5ED4" w:rsidRPr="003F6B95">
        <w:rPr>
          <w:rFonts w:cs="Arial"/>
          <w:sz w:val="24"/>
          <w:szCs w:val="24"/>
          <w:lang w:val="es-ES"/>
        </w:rPr>
        <w:t>simismo, s</w:t>
      </w:r>
      <w:r w:rsidRPr="003F6B95">
        <w:rPr>
          <w:rFonts w:cs="Arial"/>
          <w:sz w:val="24"/>
          <w:szCs w:val="24"/>
          <w:lang w:val="es-ES"/>
        </w:rPr>
        <w:t xml:space="preserve">i bien la autoridad no </w:t>
      </w:r>
      <w:r w:rsidRPr="003F6B95">
        <w:rPr>
          <w:rFonts w:cs="Arial"/>
          <w:sz w:val="24"/>
          <w:szCs w:val="24"/>
          <w:lang w:val="es-ES"/>
        </w:rPr>
        <w:lastRenderedPageBreak/>
        <w:t>concedió valor probatorio al dictamen en psicología presentado por las quejosas, dicho dictamen tenía una naturaleza suplementaria</w:t>
      </w:r>
      <w:r w:rsidR="00CC2420" w:rsidRPr="003F6B95">
        <w:rPr>
          <w:rFonts w:cs="Arial"/>
          <w:sz w:val="24"/>
          <w:szCs w:val="24"/>
          <w:lang w:val="es-ES"/>
        </w:rPr>
        <w:t>,</w:t>
      </w:r>
      <w:r w:rsidRPr="003F6B95">
        <w:rPr>
          <w:rFonts w:cs="Arial"/>
          <w:sz w:val="24"/>
          <w:szCs w:val="24"/>
          <w:lang w:val="es-ES"/>
        </w:rPr>
        <w:t xml:space="preserve"> tendiente a acreditar la mayor o menor gravedad del daño, mas no su existencia. Además,</w:t>
      </w:r>
      <w:r w:rsidR="008B2473" w:rsidRPr="003F6B95">
        <w:rPr>
          <w:rFonts w:cs="Arial"/>
          <w:sz w:val="24"/>
          <w:szCs w:val="24"/>
          <w:lang w:val="es-ES"/>
        </w:rPr>
        <w:t xml:space="preserve"> </w:t>
      </w:r>
      <w:r w:rsidRPr="003F6B95">
        <w:rPr>
          <w:rFonts w:cs="Arial"/>
          <w:sz w:val="24"/>
          <w:szCs w:val="24"/>
          <w:lang w:val="es-ES"/>
        </w:rPr>
        <w:t xml:space="preserve">al tratarse de un acto de discriminación, correspondía a las empresas señaladas como responsables la carga de la prueba para demostrar que dicho daño no había sido producido. </w:t>
      </w:r>
      <w:r w:rsidR="00AA6B8A" w:rsidRPr="003F6B95">
        <w:rPr>
          <w:rFonts w:cs="Arial"/>
          <w:sz w:val="24"/>
          <w:szCs w:val="24"/>
          <w:lang w:val="es-ES"/>
        </w:rPr>
        <w:t>R</w:t>
      </w:r>
      <w:r w:rsidRPr="003F6B95">
        <w:rPr>
          <w:rFonts w:cs="Arial"/>
          <w:sz w:val="24"/>
          <w:szCs w:val="24"/>
          <w:lang w:val="es-ES"/>
        </w:rPr>
        <w:t>especto del tercer elemento (nexo causal)</w:t>
      </w:r>
      <w:r w:rsidR="0061163C" w:rsidRPr="003F6B95">
        <w:rPr>
          <w:rFonts w:cs="Arial"/>
          <w:sz w:val="24"/>
          <w:szCs w:val="24"/>
          <w:lang w:val="es-ES"/>
        </w:rPr>
        <w:t>,</w:t>
      </w:r>
      <w:r w:rsidRPr="003F6B95">
        <w:rPr>
          <w:rFonts w:cs="Arial"/>
          <w:sz w:val="24"/>
          <w:szCs w:val="24"/>
          <w:lang w:val="es-ES"/>
        </w:rPr>
        <w:t xml:space="preserve"> la </w:t>
      </w:r>
      <w:r w:rsidR="00EF1E7F" w:rsidRPr="003F6B95">
        <w:rPr>
          <w:rFonts w:cs="Arial"/>
          <w:sz w:val="24"/>
          <w:szCs w:val="24"/>
          <w:lang w:val="es-ES"/>
        </w:rPr>
        <w:t>s</w:t>
      </w:r>
      <w:r w:rsidRPr="003F6B95">
        <w:rPr>
          <w:rFonts w:cs="Arial"/>
          <w:sz w:val="24"/>
          <w:szCs w:val="24"/>
          <w:lang w:val="es-ES"/>
        </w:rPr>
        <w:t>ala ni siquiera analizó este supuesto.</w:t>
      </w:r>
    </w:p>
    <w:p w14:paraId="6D816321" w14:textId="24A2E416" w:rsidR="00416378" w:rsidRPr="003F6B95" w:rsidRDefault="00416378" w:rsidP="1A9D0C58">
      <w:pPr>
        <w:pStyle w:val="corte4fondo"/>
        <w:numPr>
          <w:ilvl w:val="0"/>
          <w:numId w:val="8"/>
        </w:numPr>
        <w:spacing w:after="120" w:line="276" w:lineRule="auto"/>
        <w:ind w:left="567" w:right="51" w:hanging="567"/>
        <w:rPr>
          <w:rFonts w:cs="Arial"/>
          <w:lang w:val="es-ES"/>
        </w:rPr>
      </w:pPr>
      <w:r w:rsidRPr="003F6B95">
        <w:rPr>
          <w:rFonts w:cs="Arial"/>
          <w:b/>
          <w:color w:val="000000" w:themeColor="text1"/>
          <w:sz w:val="24"/>
          <w:szCs w:val="24"/>
          <w:lang w:val="es-ES"/>
        </w:rPr>
        <w:t>Cuart</w:t>
      </w:r>
      <w:r w:rsidR="00D04DA9" w:rsidRPr="003F6B95">
        <w:rPr>
          <w:rFonts w:cs="Arial"/>
          <w:b/>
          <w:color w:val="000000" w:themeColor="text1"/>
          <w:sz w:val="24"/>
          <w:szCs w:val="24"/>
          <w:lang w:val="es-ES"/>
        </w:rPr>
        <w:t>o</w:t>
      </w:r>
      <w:r w:rsidRPr="003F6B95">
        <w:rPr>
          <w:rFonts w:cs="Arial"/>
          <w:b/>
          <w:color w:val="000000" w:themeColor="text1"/>
          <w:sz w:val="24"/>
          <w:szCs w:val="24"/>
          <w:lang w:val="es-ES"/>
        </w:rPr>
        <w:t>.</w:t>
      </w:r>
      <w:r w:rsidRPr="003F6B95">
        <w:rPr>
          <w:rFonts w:cs="Arial"/>
          <w:b/>
          <w:sz w:val="24"/>
          <w:szCs w:val="24"/>
          <w:lang w:val="es-ES"/>
        </w:rPr>
        <w:t xml:space="preserve"> </w:t>
      </w:r>
      <w:r w:rsidRPr="003F6B95">
        <w:rPr>
          <w:rFonts w:cs="Arial"/>
          <w:sz w:val="24"/>
          <w:szCs w:val="24"/>
          <w:lang w:val="es-ES"/>
        </w:rPr>
        <w:t>La</w:t>
      </w:r>
      <w:r w:rsidR="00EF1E7F" w:rsidRPr="003F6B95">
        <w:rPr>
          <w:rFonts w:cs="Arial"/>
          <w:sz w:val="24"/>
          <w:szCs w:val="24"/>
          <w:lang w:val="es-ES"/>
        </w:rPr>
        <w:t xml:space="preserve"> sentencia </w:t>
      </w:r>
      <w:r w:rsidRPr="003F6B95">
        <w:rPr>
          <w:rFonts w:cs="Arial"/>
          <w:sz w:val="24"/>
          <w:szCs w:val="24"/>
          <w:lang w:val="es-ES"/>
        </w:rPr>
        <w:t xml:space="preserve">atenta contra </w:t>
      </w:r>
      <w:r w:rsidR="00EF1E7F" w:rsidRPr="003F6B95">
        <w:rPr>
          <w:rFonts w:cs="Arial"/>
          <w:sz w:val="24"/>
          <w:szCs w:val="24"/>
          <w:lang w:val="es-ES"/>
        </w:rPr>
        <w:t xml:space="preserve">los </w:t>
      </w:r>
      <w:r w:rsidRPr="003F6B95">
        <w:rPr>
          <w:rFonts w:cs="Arial"/>
          <w:sz w:val="24"/>
          <w:szCs w:val="24"/>
          <w:lang w:val="es-ES"/>
        </w:rPr>
        <w:t xml:space="preserve">derechos </w:t>
      </w:r>
      <w:r w:rsidR="00EF1E7F" w:rsidRPr="003F6B95">
        <w:rPr>
          <w:rFonts w:cs="Arial"/>
          <w:sz w:val="24"/>
          <w:szCs w:val="24"/>
          <w:lang w:val="es-ES"/>
        </w:rPr>
        <w:t xml:space="preserve">de las quejosas </w:t>
      </w:r>
      <w:r w:rsidRPr="003F6B95">
        <w:rPr>
          <w:rFonts w:cs="Arial"/>
          <w:sz w:val="24"/>
          <w:szCs w:val="24"/>
          <w:lang w:val="es-ES"/>
        </w:rPr>
        <w:t>a la seguridad jurídica, tutela judicial y un recurso efectivo</w:t>
      </w:r>
      <w:r w:rsidR="006D3B5A" w:rsidRPr="003F6B95">
        <w:rPr>
          <w:rFonts w:cs="Arial"/>
          <w:sz w:val="24"/>
          <w:szCs w:val="24"/>
          <w:lang w:val="es-ES"/>
        </w:rPr>
        <w:t>,</w:t>
      </w:r>
      <w:r w:rsidRPr="003F6B95">
        <w:rPr>
          <w:rFonts w:cs="Arial"/>
          <w:sz w:val="24"/>
          <w:szCs w:val="24"/>
          <w:lang w:val="es-ES"/>
        </w:rPr>
        <w:t xml:space="preserve"> </w:t>
      </w:r>
      <w:r w:rsidR="00AB0D3C" w:rsidRPr="003F6B95">
        <w:rPr>
          <w:rFonts w:cs="Arial"/>
          <w:sz w:val="24"/>
          <w:szCs w:val="24"/>
          <w:lang w:val="es-ES"/>
        </w:rPr>
        <w:t xml:space="preserve">pues </w:t>
      </w:r>
      <w:r w:rsidRPr="003F6B95">
        <w:rPr>
          <w:rFonts w:cs="Arial"/>
          <w:sz w:val="24"/>
          <w:szCs w:val="24"/>
          <w:lang w:val="es-ES"/>
        </w:rPr>
        <w:t xml:space="preserve">absolvió a la parte demandada de cumplir con las prestaciones reclamadas bajo el argumento de que en el acuerdo de conciliación ante COPRED las partes pactaron una serie de medidas de reparación. </w:t>
      </w:r>
      <w:r w:rsidR="00AB0D3C" w:rsidRPr="003F6B95">
        <w:rPr>
          <w:rFonts w:cs="Arial"/>
          <w:sz w:val="24"/>
          <w:szCs w:val="24"/>
          <w:lang w:val="es-ES"/>
        </w:rPr>
        <w:t>Al respecto, e</w:t>
      </w:r>
      <w:r w:rsidRPr="003F6B95">
        <w:rPr>
          <w:rFonts w:cs="Arial"/>
          <w:sz w:val="24"/>
          <w:szCs w:val="24"/>
          <w:lang w:val="es-ES"/>
        </w:rPr>
        <w:t>l acuerdo de conciliación es un acto de naturaleza administrativa</w:t>
      </w:r>
      <w:r w:rsidR="002937FD" w:rsidRPr="003F6B95">
        <w:rPr>
          <w:rFonts w:cs="Arial"/>
          <w:sz w:val="24"/>
          <w:szCs w:val="24"/>
          <w:lang w:val="es-ES"/>
        </w:rPr>
        <w:t>,</w:t>
      </w:r>
      <w:r w:rsidRPr="003F6B95">
        <w:rPr>
          <w:rFonts w:cs="Arial"/>
          <w:sz w:val="24"/>
          <w:szCs w:val="24"/>
          <w:lang w:val="es-ES"/>
        </w:rPr>
        <w:t xml:space="preserve"> por lo que negar la procedencia de las reparaciones en una vía distinta –como la civil– atenta contra el ejercicio de su derecho a un recurso judicial efectivo.</w:t>
      </w:r>
    </w:p>
    <w:p w14:paraId="77D6261F" w14:textId="0F777579" w:rsidR="00416378" w:rsidRPr="005229E1" w:rsidRDefault="00416378" w:rsidP="1A9D0C58">
      <w:pPr>
        <w:pStyle w:val="corte4fondo"/>
        <w:numPr>
          <w:ilvl w:val="0"/>
          <w:numId w:val="8"/>
        </w:numPr>
        <w:spacing w:after="120" w:line="276" w:lineRule="auto"/>
        <w:ind w:left="567" w:right="51" w:hanging="567"/>
        <w:rPr>
          <w:rFonts w:cs="Arial"/>
          <w:sz w:val="24"/>
          <w:szCs w:val="24"/>
          <w:lang w:val="es-ES"/>
        </w:rPr>
      </w:pPr>
      <w:r w:rsidRPr="003F6B95">
        <w:rPr>
          <w:rFonts w:cs="Arial"/>
          <w:b/>
          <w:color w:val="000000" w:themeColor="text1"/>
          <w:sz w:val="24"/>
          <w:szCs w:val="24"/>
          <w:lang w:val="es-ES"/>
        </w:rPr>
        <w:t xml:space="preserve">Quinto. </w:t>
      </w:r>
      <w:r w:rsidR="00AF4AF6" w:rsidRPr="003F6B95">
        <w:rPr>
          <w:rFonts w:cs="Arial"/>
          <w:sz w:val="24"/>
          <w:szCs w:val="24"/>
          <w:lang w:val="es-ES"/>
        </w:rPr>
        <w:t>La</w:t>
      </w:r>
      <w:r w:rsidRPr="003F6B95">
        <w:rPr>
          <w:rFonts w:cs="Arial"/>
          <w:sz w:val="24"/>
          <w:szCs w:val="24"/>
          <w:lang w:val="es-ES"/>
        </w:rPr>
        <w:t xml:space="preserve"> condena de pago de gastos y costas a favor de </w:t>
      </w:r>
      <w:r w:rsidRPr="005229E1">
        <w:rPr>
          <w:rFonts w:cs="Arial"/>
          <w:sz w:val="24"/>
          <w:szCs w:val="24"/>
          <w:lang w:val="es-ES"/>
        </w:rPr>
        <w:t>Danhos S.A</w:t>
      </w:r>
      <w:r w:rsidR="004522F8" w:rsidRPr="005229E1">
        <w:rPr>
          <w:rFonts w:cs="Arial"/>
          <w:sz w:val="24"/>
          <w:szCs w:val="24"/>
          <w:lang w:val="es-ES"/>
        </w:rPr>
        <w:t>.</w:t>
      </w:r>
      <w:r w:rsidRPr="005229E1">
        <w:rPr>
          <w:rFonts w:cs="Arial"/>
          <w:sz w:val="24"/>
          <w:szCs w:val="24"/>
          <w:lang w:val="es-ES"/>
        </w:rPr>
        <w:t xml:space="preserve"> de C.V</w:t>
      </w:r>
      <w:r w:rsidR="00E56929" w:rsidRPr="005229E1">
        <w:rPr>
          <w:rFonts w:cs="Arial"/>
          <w:sz w:val="24"/>
          <w:szCs w:val="24"/>
          <w:lang w:val="es-ES"/>
        </w:rPr>
        <w:t>.</w:t>
      </w:r>
      <w:r w:rsidRPr="005229E1">
        <w:rPr>
          <w:rFonts w:cs="Arial"/>
          <w:sz w:val="24"/>
          <w:szCs w:val="24"/>
          <w:lang w:val="es-ES"/>
        </w:rPr>
        <w:t xml:space="preserve"> vulnera sus derechos a la tutela judicial y la seguridad jurídica</w:t>
      </w:r>
      <w:r w:rsidR="008B4D2C" w:rsidRPr="005229E1">
        <w:rPr>
          <w:rFonts w:cs="Arial"/>
          <w:sz w:val="24"/>
          <w:szCs w:val="24"/>
          <w:lang w:val="es-ES"/>
        </w:rPr>
        <w:t>,</w:t>
      </w:r>
      <w:r w:rsidRPr="005229E1">
        <w:rPr>
          <w:rFonts w:cs="Arial"/>
          <w:sz w:val="24"/>
          <w:szCs w:val="24"/>
          <w:lang w:val="es-ES"/>
        </w:rPr>
        <w:t xml:space="preserve"> en tanto que </w:t>
      </w:r>
      <w:r w:rsidR="005960D8" w:rsidRPr="005229E1">
        <w:rPr>
          <w:rFonts w:cs="Arial"/>
          <w:sz w:val="24"/>
          <w:szCs w:val="24"/>
          <w:lang w:val="es-ES"/>
        </w:rPr>
        <w:t>“</w:t>
      </w:r>
      <w:r w:rsidRPr="005229E1">
        <w:rPr>
          <w:rFonts w:cs="Arial"/>
          <w:sz w:val="24"/>
          <w:szCs w:val="24"/>
          <w:lang w:val="es-ES"/>
        </w:rPr>
        <w:t>Grupo Danhos S.A</w:t>
      </w:r>
      <w:r w:rsidR="004522F8" w:rsidRPr="005229E1">
        <w:rPr>
          <w:rFonts w:cs="Arial"/>
          <w:sz w:val="24"/>
          <w:szCs w:val="24"/>
          <w:lang w:val="es-ES"/>
        </w:rPr>
        <w:t>.</w:t>
      </w:r>
      <w:r w:rsidRPr="005229E1">
        <w:rPr>
          <w:rFonts w:cs="Arial"/>
          <w:sz w:val="24"/>
          <w:szCs w:val="24"/>
          <w:lang w:val="es-ES"/>
        </w:rPr>
        <w:t xml:space="preserve"> de C.V</w:t>
      </w:r>
      <w:r w:rsidR="004522F8" w:rsidRPr="005229E1">
        <w:rPr>
          <w:rFonts w:cs="Arial"/>
          <w:sz w:val="24"/>
          <w:szCs w:val="24"/>
          <w:lang w:val="es-ES"/>
        </w:rPr>
        <w:t>.</w:t>
      </w:r>
      <w:r w:rsidR="005960D8" w:rsidRPr="005229E1">
        <w:rPr>
          <w:rFonts w:cs="Arial"/>
          <w:sz w:val="24"/>
          <w:szCs w:val="24"/>
          <w:lang w:val="es-ES"/>
        </w:rPr>
        <w:t>”</w:t>
      </w:r>
      <w:r w:rsidRPr="005229E1">
        <w:rPr>
          <w:rFonts w:cs="Arial"/>
          <w:sz w:val="24"/>
          <w:szCs w:val="24"/>
          <w:lang w:val="es-ES"/>
        </w:rPr>
        <w:t xml:space="preserve"> fue señalada en su escrito inicial como demandada y fue debidamente emplazada. </w:t>
      </w:r>
      <w:r w:rsidR="00AF4AF6" w:rsidRPr="005229E1">
        <w:rPr>
          <w:rFonts w:cs="Arial"/>
          <w:sz w:val="24"/>
          <w:szCs w:val="24"/>
          <w:lang w:val="es-ES"/>
        </w:rPr>
        <w:t>E</w:t>
      </w:r>
      <w:r w:rsidRPr="005229E1">
        <w:rPr>
          <w:rFonts w:cs="Arial"/>
          <w:sz w:val="24"/>
          <w:szCs w:val="24"/>
          <w:lang w:val="es-ES"/>
        </w:rPr>
        <w:t>l hecho de que Danhos S.A</w:t>
      </w:r>
      <w:r w:rsidR="004522F8" w:rsidRPr="005229E1">
        <w:rPr>
          <w:rFonts w:cs="Arial"/>
          <w:sz w:val="24"/>
          <w:szCs w:val="24"/>
          <w:lang w:val="es-ES"/>
        </w:rPr>
        <w:t>.</w:t>
      </w:r>
      <w:r w:rsidRPr="005229E1">
        <w:rPr>
          <w:rFonts w:cs="Arial"/>
          <w:sz w:val="24"/>
          <w:szCs w:val="24"/>
          <w:lang w:val="es-ES"/>
        </w:rPr>
        <w:t xml:space="preserve"> de C.V. haya comparecido a juicio </w:t>
      </w:r>
      <w:r w:rsidRPr="005229E1">
        <w:rPr>
          <w:rFonts w:cs="Arial"/>
          <w:i/>
          <w:sz w:val="24"/>
          <w:szCs w:val="24"/>
          <w:lang w:val="es-ES"/>
        </w:rPr>
        <w:t>motu proprio</w:t>
      </w:r>
      <w:r w:rsidRPr="005229E1">
        <w:rPr>
          <w:rFonts w:cs="Arial"/>
          <w:sz w:val="24"/>
          <w:szCs w:val="24"/>
          <w:lang w:val="es-ES"/>
        </w:rPr>
        <w:t xml:space="preserve">, a pesar de tener conocimiento de que los hechos referían a una persona moral distinta e incluso ajena a ella, no puede tener el alcance para condenarlas por haber ejercitado una acción improcedente en su contra. Además, </w:t>
      </w:r>
      <w:r w:rsidR="00AF4AF6" w:rsidRPr="005229E1">
        <w:rPr>
          <w:rFonts w:cs="Arial"/>
          <w:sz w:val="24"/>
          <w:szCs w:val="24"/>
          <w:lang w:val="es-ES"/>
        </w:rPr>
        <w:t>la sala</w:t>
      </w:r>
      <w:r w:rsidRPr="005229E1">
        <w:rPr>
          <w:rFonts w:cs="Arial"/>
          <w:sz w:val="24"/>
          <w:szCs w:val="24"/>
          <w:lang w:val="es-ES"/>
        </w:rPr>
        <w:t xml:space="preserve"> obvió que la relación entre F</w:t>
      </w:r>
      <w:r w:rsidR="00F90BFD" w:rsidRPr="005229E1">
        <w:rPr>
          <w:rFonts w:cs="Arial"/>
          <w:sz w:val="24"/>
          <w:szCs w:val="24"/>
          <w:lang w:val="es-ES"/>
        </w:rPr>
        <w:t xml:space="preserve">ibra </w:t>
      </w:r>
      <w:r w:rsidRPr="005229E1">
        <w:rPr>
          <w:rFonts w:cs="Arial"/>
          <w:sz w:val="24"/>
          <w:szCs w:val="24"/>
          <w:lang w:val="es-ES"/>
        </w:rPr>
        <w:t>D</w:t>
      </w:r>
      <w:r w:rsidR="00F90BFD" w:rsidRPr="005229E1">
        <w:rPr>
          <w:rFonts w:cs="Arial"/>
          <w:sz w:val="24"/>
          <w:szCs w:val="24"/>
          <w:lang w:val="es-ES"/>
        </w:rPr>
        <w:t>anhos</w:t>
      </w:r>
      <w:r w:rsidRPr="005229E1">
        <w:rPr>
          <w:rFonts w:cs="Arial"/>
          <w:sz w:val="24"/>
          <w:szCs w:val="24"/>
          <w:lang w:val="es-ES"/>
        </w:rPr>
        <w:t xml:space="preserve"> y </w:t>
      </w:r>
      <w:r w:rsidR="00F90BFD" w:rsidRPr="005229E1">
        <w:rPr>
          <w:rFonts w:cs="Arial"/>
          <w:sz w:val="24"/>
          <w:szCs w:val="24"/>
          <w:lang w:val="es-ES"/>
        </w:rPr>
        <w:t xml:space="preserve">el </w:t>
      </w:r>
      <w:r w:rsidRPr="005229E1">
        <w:rPr>
          <w:rFonts w:cs="Arial"/>
          <w:sz w:val="24"/>
          <w:szCs w:val="24"/>
          <w:lang w:val="es-ES"/>
        </w:rPr>
        <w:t xml:space="preserve">centro comercial </w:t>
      </w:r>
      <w:r w:rsidR="00F90BFD" w:rsidRPr="005229E1">
        <w:rPr>
          <w:rFonts w:cs="Arial"/>
          <w:sz w:val="24"/>
          <w:szCs w:val="24"/>
          <w:lang w:val="es-ES"/>
        </w:rPr>
        <w:t>“</w:t>
      </w:r>
      <w:r w:rsidRPr="005229E1">
        <w:rPr>
          <w:rFonts w:cs="Arial"/>
          <w:sz w:val="24"/>
          <w:szCs w:val="24"/>
          <w:lang w:val="es-ES"/>
        </w:rPr>
        <w:t>Reforma 222</w:t>
      </w:r>
      <w:r w:rsidR="00F90BFD" w:rsidRPr="005229E1">
        <w:rPr>
          <w:rFonts w:cs="Arial"/>
          <w:sz w:val="24"/>
          <w:szCs w:val="24"/>
          <w:lang w:val="es-ES"/>
        </w:rPr>
        <w:t>”</w:t>
      </w:r>
      <w:r w:rsidRPr="005229E1">
        <w:rPr>
          <w:rFonts w:cs="Arial"/>
          <w:sz w:val="24"/>
          <w:szCs w:val="24"/>
          <w:lang w:val="es-ES"/>
        </w:rPr>
        <w:t xml:space="preserve"> es un hecho notorio</w:t>
      </w:r>
      <w:r w:rsidR="009B447F" w:rsidRPr="005229E1">
        <w:rPr>
          <w:rFonts w:cs="Arial"/>
          <w:sz w:val="24"/>
          <w:szCs w:val="24"/>
          <w:lang w:val="es-ES"/>
        </w:rPr>
        <w:t>,</w:t>
      </w:r>
      <w:r w:rsidRPr="005229E1">
        <w:rPr>
          <w:rFonts w:cs="Arial"/>
          <w:sz w:val="24"/>
          <w:szCs w:val="24"/>
          <w:lang w:val="es-ES"/>
        </w:rPr>
        <w:t xml:space="preserve"> dado que el establecimiento comercial es administrado por dicho fideicomiso inmobiliario, por lo que en el caso se actualiza un litisconsorcio pasivo necesario</w:t>
      </w:r>
      <w:r w:rsidR="00663725" w:rsidRPr="005229E1">
        <w:rPr>
          <w:rFonts w:cs="Arial"/>
          <w:sz w:val="24"/>
          <w:szCs w:val="24"/>
          <w:lang w:val="es-ES"/>
        </w:rPr>
        <w:t xml:space="preserve"> en relación con Concentradora Fibra Danhos S.A. de C.V.</w:t>
      </w:r>
    </w:p>
    <w:p w14:paraId="5362F7D3" w14:textId="77777777" w:rsidR="00FA41AE" w:rsidRPr="003F6B95" w:rsidRDefault="00FA41AE" w:rsidP="00FA41AE">
      <w:pPr>
        <w:pStyle w:val="corte4fondo"/>
        <w:tabs>
          <w:tab w:val="left" w:pos="0"/>
        </w:tabs>
        <w:ind w:right="51" w:firstLine="0"/>
        <w:rPr>
          <w:rFonts w:cs="Arial"/>
          <w:sz w:val="26"/>
          <w:szCs w:val="26"/>
        </w:rPr>
      </w:pPr>
    </w:p>
    <w:p w14:paraId="45A2F374" w14:textId="4A06AB9B" w:rsidR="003638ED" w:rsidRPr="003F6B95" w:rsidRDefault="003638ED" w:rsidP="00593EA2">
      <w:pPr>
        <w:pStyle w:val="corte4fondo"/>
        <w:numPr>
          <w:ilvl w:val="0"/>
          <w:numId w:val="2"/>
        </w:numPr>
        <w:tabs>
          <w:tab w:val="left" w:pos="0"/>
        </w:tabs>
        <w:ind w:left="0" w:right="51" w:hanging="567"/>
        <w:rPr>
          <w:rFonts w:cs="Arial"/>
          <w:sz w:val="26"/>
          <w:szCs w:val="26"/>
        </w:rPr>
      </w:pPr>
      <w:r w:rsidRPr="003F6B95">
        <w:rPr>
          <w:rFonts w:cs="Arial"/>
          <w:b/>
          <w:sz w:val="26"/>
          <w:szCs w:val="26"/>
          <w:lang w:val="es-ES"/>
        </w:rPr>
        <w:t>Juicios de amparo direct</w:t>
      </w:r>
      <w:r w:rsidRPr="003F6B95">
        <w:rPr>
          <w:rFonts w:cs="Arial"/>
          <w:b/>
          <w:color w:val="000000" w:themeColor="text1"/>
          <w:sz w:val="26"/>
          <w:szCs w:val="26"/>
          <w:lang w:val="es-ES"/>
        </w:rPr>
        <w:t>o 657/2019 y 659/2019.</w:t>
      </w:r>
      <w:r w:rsidRPr="003F6B95">
        <w:rPr>
          <w:rFonts w:cs="Arial"/>
          <w:b/>
          <w:sz w:val="26"/>
          <w:szCs w:val="26"/>
          <w:lang w:val="es-ES"/>
        </w:rPr>
        <w:t xml:space="preserve"> </w:t>
      </w:r>
      <w:r w:rsidRPr="003F6B95">
        <w:rPr>
          <w:rFonts w:cs="Arial"/>
          <w:sz w:val="26"/>
          <w:szCs w:val="26"/>
          <w:lang w:val="es-ES"/>
        </w:rPr>
        <w:t xml:space="preserve">Por su parte, las </w:t>
      </w:r>
      <w:r w:rsidRPr="005229E1">
        <w:rPr>
          <w:rFonts w:cs="Arial"/>
          <w:sz w:val="26"/>
          <w:szCs w:val="26"/>
          <w:lang w:val="es-ES"/>
        </w:rPr>
        <w:t xml:space="preserve">demandadas Reforma 222 y Protección Privada 2010 </w:t>
      </w:r>
      <w:r w:rsidRPr="003F6B95">
        <w:rPr>
          <w:rFonts w:cs="Arial"/>
          <w:sz w:val="26"/>
          <w:szCs w:val="26"/>
          <w:lang w:val="es-ES"/>
        </w:rPr>
        <w:t xml:space="preserve">también promovieron </w:t>
      </w:r>
      <w:r w:rsidR="000E3D57" w:rsidRPr="003F6B95">
        <w:rPr>
          <w:rFonts w:cs="Arial"/>
          <w:sz w:val="26"/>
          <w:szCs w:val="26"/>
          <w:lang w:val="es-ES"/>
        </w:rPr>
        <w:t xml:space="preserve">un </w:t>
      </w:r>
      <w:r w:rsidRPr="003F6B95">
        <w:rPr>
          <w:rFonts w:cs="Arial"/>
          <w:sz w:val="26"/>
          <w:szCs w:val="26"/>
          <w:lang w:val="es-ES"/>
        </w:rPr>
        <w:t>respectivo juicio de amparo directo en contra de la sentencia</w:t>
      </w:r>
      <w:r w:rsidR="005D755B" w:rsidRPr="003F6B95">
        <w:rPr>
          <w:rFonts w:cs="Arial"/>
          <w:sz w:val="26"/>
          <w:szCs w:val="26"/>
          <w:lang w:val="es-ES"/>
        </w:rPr>
        <w:t xml:space="preserve"> de apelación</w:t>
      </w:r>
      <w:r w:rsidR="005862FC" w:rsidRPr="003F6B95">
        <w:rPr>
          <w:rFonts w:cs="Arial"/>
          <w:sz w:val="26"/>
          <w:szCs w:val="26"/>
          <w:lang w:val="es-ES"/>
        </w:rPr>
        <w:t xml:space="preserve">. Tales asuntos </w:t>
      </w:r>
      <w:r w:rsidR="00BE0A98" w:rsidRPr="003F6B95">
        <w:rPr>
          <w:rFonts w:cs="Arial"/>
          <w:sz w:val="26"/>
          <w:szCs w:val="26"/>
          <w:lang w:val="es-ES"/>
        </w:rPr>
        <w:t>se registraron con los números de expediente 657/2019 y 659/2019, del índice</w:t>
      </w:r>
      <w:r w:rsidR="005862FC" w:rsidRPr="003F6B95">
        <w:rPr>
          <w:rFonts w:cs="Arial"/>
          <w:sz w:val="26"/>
          <w:szCs w:val="26"/>
        </w:rPr>
        <w:t xml:space="preserve"> del </w:t>
      </w:r>
      <w:r w:rsidR="005862FC" w:rsidRPr="003F6B95">
        <w:rPr>
          <w:rFonts w:cs="Arial"/>
          <w:sz w:val="26"/>
          <w:szCs w:val="26"/>
          <w:lang w:val="es-ES"/>
        </w:rPr>
        <w:t>Octavo Tribunal Colegiado en Materia Civil del Primer Circuito</w:t>
      </w:r>
      <w:r w:rsidRPr="003F6B95">
        <w:rPr>
          <w:rFonts w:cs="Arial"/>
          <w:sz w:val="26"/>
          <w:szCs w:val="26"/>
          <w:lang w:val="es-ES"/>
        </w:rPr>
        <w:t>.</w:t>
      </w:r>
    </w:p>
    <w:p w14:paraId="1ADFDEE3" w14:textId="77777777" w:rsidR="003638ED" w:rsidRPr="003F6B95" w:rsidRDefault="003638ED" w:rsidP="00C67EA7">
      <w:pPr>
        <w:pStyle w:val="corte4fondo"/>
        <w:tabs>
          <w:tab w:val="left" w:pos="0"/>
        </w:tabs>
        <w:ind w:right="51" w:firstLine="0"/>
        <w:rPr>
          <w:rFonts w:cs="Arial"/>
          <w:sz w:val="26"/>
          <w:szCs w:val="26"/>
        </w:rPr>
      </w:pPr>
    </w:p>
    <w:p w14:paraId="4E7535CE" w14:textId="6C95B08D" w:rsidR="00593EA2" w:rsidRPr="003F6B95" w:rsidRDefault="00CD34E2" w:rsidP="00593EA2">
      <w:pPr>
        <w:pStyle w:val="corte4fondo"/>
        <w:numPr>
          <w:ilvl w:val="0"/>
          <w:numId w:val="2"/>
        </w:numPr>
        <w:tabs>
          <w:tab w:val="left" w:pos="0"/>
        </w:tabs>
        <w:ind w:left="0" w:right="51" w:hanging="567"/>
        <w:rPr>
          <w:rFonts w:cs="Arial"/>
          <w:sz w:val="26"/>
          <w:szCs w:val="26"/>
        </w:rPr>
      </w:pPr>
      <w:r w:rsidRPr="003F6B95">
        <w:rPr>
          <w:rFonts w:cs="Arial"/>
          <w:b/>
          <w:bCs/>
          <w:sz w:val="26"/>
          <w:szCs w:val="26"/>
        </w:rPr>
        <w:t>Solicitud de ejercicio de la facultad de atracc</w:t>
      </w:r>
      <w:r w:rsidRPr="003F6B95">
        <w:rPr>
          <w:rFonts w:cs="Arial"/>
          <w:b/>
          <w:bCs/>
          <w:color w:val="000000" w:themeColor="text1"/>
          <w:sz w:val="26"/>
          <w:szCs w:val="26"/>
        </w:rPr>
        <w:t>ión 622/2019</w:t>
      </w:r>
      <w:r w:rsidRPr="003F6B95">
        <w:rPr>
          <w:rStyle w:val="Refdenotaalpie"/>
          <w:rFonts w:cs="Arial"/>
          <w:sz w:val="26"/>
          <w:szCs w:val="26"/>
        </w:rPr>
        <w:footnoteReference w:id="23"/>
      </w:r>
      <w:r w:rsidRPr="003F6B95">
        <w:rPr>
          <w:rFonts w:cs="Arial"/>
          <w:sz w:val="26"/>
          <w:szCs w:val="26"/>
        </w:rPr>
        <w:t xml:space="preserve">. El </w:t>
      </w:r>
      <w:r w:rsidR="00ED08E1" w:rsidRPr="003F6B95">
        <w:rPr>
          <w:rFonts w:cs="Arial"/>
          <w:sz w:val="26"/>
          <w:szCs w:val="26"/>
        </w:rPr>
        <w:t xml:space="preserve">24 </w:t>
      </w:r>
      <w:r w:rsidRPr="003F6B95">
        <w:rPr>
          <w:rFonts w:cs="Arial"/>
          <w:sz w:val="26"/>
          <w:szCs w:val="26"/>
        </w:rPr>
        <w:t>de septiembre de</w:t>
      </w:r>
      <w:r w:rsidR="00ED08E1" w:rsidRPr="003F6B95">
        <w:rPr>
          <w:rFonts w:cs="Arial"/>
          <w:sz w:val="26"/>
          <w:szCs w:val="26"/>
        </w:rPr>
        <w:t xml:space="preserve"> 2019</w:t>
      </w:r>
      <w:r w:rsidRPr="003F6B95">
        <w:rPr>
          <w:rFonts w:cs="Arial"/>
          <w:sz w:val="26"/>
          <w:szCs w:val="26"/>
        </w:rPr>
        <w:t>, las quejosas</w:t>
      </w:r>
      <w:r w:rsidRPr="003F6B95">
        <w:rPr>
          <w:rFonts w:cs="Arial"/>
          <w:color w:val="FF0000"/>
          <w:sz w:val="26"/>
          <w:szCs w:val="26"/>
        </w:rPr>
        <w:t xml:space="preserve"> </w:t>
      </w:r>
      <w:r w:rsidRPr="003F6B95">
        <w:rPr>
          <w:rFonts w:cs="Arial"/>
          <w:sz w:val="26"/>
          <w:szCs w:val="26"/>
        </w:rPr>
        <w:t>solicitaron el ejercicio de la facultad de atracción para que esta Suprema Corte conociera de los juicios de amparo dire</w:t>
      </w:r>
      <w:r w:rsidRPr="003F6B95">
        <w:rPr>
          <w:rFonts w:cs="Arial"/>
          <w:color w:val="000000" w:themeColor="text1"/>
          <w:sz w:val="26"/>
          <w:szCs w:val="26"/>
        </w:rPr>
        <w:t xml:space="preserve">cto </w:t>
      </w:r>
      <w:bookmarkStart w:id="4" w:name="_Hlk180177088"/>
      <w:r w:rsidRPr="003F6B95">
        <w:rPr>
          <w:rFonts w:cs="Arial"/>
          <w:color w:val="000000" w:themeColor="text1"/>
          <w:sz w:val="26"/>
          <w:szCs w:val="26"/>
        </w:rPr>
        <w:t>657/2019, 658/2019 y 659/2019</w:t>
      </w:r>
      <w:bookmarkEnd w:id="4"/>
      <w:r w:rsidRPr="003F6B95">
        <w:rPr>
          <w:rFonts w:cs="Arial"/>
          <w:color w:val="000000" w:themeColor="text1"/>
          <w:sz w:val="26"/>
          <w:szCs w:val="26"/>
        </w:rPr>
        <w:t xml:space="preserve"> del í</w:t>
      </w:r>
      <w:r w:rsidRPr="003F6B95">
        <w:rPr>
          <w:rFonts w:cs="Arial"/>
          <w:sz w:val="26"/>
          <w:szCs w:val="26"/>
        </w:rPr>
        <w:t xml:space="preserve">ndice del Octavo Tribunal </w:t>
      </w:r>
      <w:r w:rsidRPr="003F6B95">
        <w:rPr>
          <w:rFonts w:cs="Arial"/>
          <w:sz w:val="26"/>
          <w:szCs w:val="26"/>
        </w:rPr>
        <w:lastRenderedPageBreak/>
        <w:t xml:space="preserve">Colegiado en Materia Civil del Primer Circuito. En sesión privada de </w:t>
      </w:r>
      <w:r w:rsidR="00ED08E1" w:rsidRPr="003F6B95">
        <w:rPr>
          <w:rFonts w:cs="Arial"/>
          <w:sz w:val="26"/>
          <w:szCs w:val="26"/>
        </w:rPr>
        <w:t xml:space="preserve">6 </w:t>
      </w:r>
      <w:r w:rsidRPr="003F6B95">
        <w:rPr>
          <w:rFonts w:cs="Arial"/>
          <w:sz w:val="26"/>
          <w:szCs w:val="26"/>
        </w:rPr>
        <w:t xml:space="preserve">de noviembre de </w:t>
      </w:r>
      <w:r w:rsidR="00ED08E1" w:rsidRPr="003F6B95">
        <w:rPr>
          <w:rFonts w:cs="Arial"/>
          <w:sz w:val="26"/>
          <w:szCs w:val="26"/>
        </w:rPr>
        <w:t>2019</w:t>
      </w:r>
      <w:r w:rsidRPr="003F6B95">
        <w:rPr>
          <w:rFonts w:cs="Arial"/>
          <w:sz w:val="26"/>
          <w:szCs w:val="26"/>
        </w:rPr>
        <w:t xml:space="preserve">, el </w:t>
      </w:r>
      <w:r w:rsidR="00ED08E1" w:rsidRPr="003F6B95">
        <w:rPr>
          <w:rFonts w:cs="Arial"/>
          <w:sz w:val="26"/>
          <w:szCs w:val="26"/>
        </w:rPr>
        <w:t>m</w:t>
      </w:r>
      <w:r w:rsidRPr="003F6B95">
        <w:rPr>
          <w:rFonts w:cs="Arial"/>
          <w:sz w:val="26"/>
          <w:szCs w:val="26"/>
        </w:rPr>
        <w:t>inistro Juan Luis González Alcántara Carrancá hizo suya dicha solicitud.</w:t>
      </w:r>
      <w:r w:rsidR="00593EA2" w:rsidRPr="003F6B95">
        <w:rPr>
          <w:rFonts w:cs="Arial"/>
          <w:sz w:val="26"/>
          <w:szCs w:val="26"/>
        </w:rPr>
        <w:t xml:space="preserve"> </w:t>
      </w:r>
      <w:r w:rsidRPr="003F6B95">
        <w:rPr>
          <w:rFonts w:cs="Arial"/>
          <w:sz w:val="26"/>
          <w:szCs w:val="26"/>
        </w:rPr>
        <w:t xml:space="preserve">El </w:t>
      </w:r>
      <w:r w:rsidR="00ED08E1" w:rsidRPr="003F6B95">
        <w:rPr>
          <w:rFonts w:cs="Arial"/>
          <w:sz w:val="26"/>
          <w:szCs w:val="26"/>
        </w:rPr>
        <w:t xml:space="preserve">22 </w:t>
      </w:r>
      <w:r w:rsidRPr="003F6B95">
        <w:rPr>
          <w:rFonts w:cs="Arial"/>
          <w:sz w:val="26"/>
          <w:szCs w:val="26"/>
        </w:rPr>
        <w:t xml:space="preserve">de enero de </w:t>
      </w:r>
      <w:r w:rsidR="00ED08E1" w:rsidRPr="003F6B95">
        <w:rPr>
          <w:rFonts w:cs="Arial"/>
          <w:sz w:val="26"/>
          <w:szCs w:val="26"/>
        </w:rPr>
        <w:t>2020</w:t>
      </w:r>
      <w:r w:rsidRPr="003F6B95">
        <w:rPr>
          <w:rFonts w:cs="Arial"/>
          <w:sz w:val="26"/>
          <w:szCs w:val="26"/>
        </w:rPr>
        <w:t>, por mayoría de cuatro votos</w:t>
      </w:r>
      <w:r w:rsidRPr="003F6B95">
        <w:rPr>
          <w:rStyle w:val="Refdenotaalpie"/>
          <w:rFonts w:cs="Arial"/>
          <w:sz w:val="26"/>
          <w:szCs w:val="26"/>
        </w:rPr>
        <w:footnoteReference w:id="24"/>
      </w:r>
      <w:r w:rsidRPr="003F6B95">
        <w:rPr>
          <w:rFonts w:cs="Arial"/>
          <w:sz w:val="26"/>
          <w:szCs w:val="26"/>
        </w:rPr>
        <w:t>, esta Primera Sala determinó ejercer la facultad de atracción para resolver los juicios de amparo directo relacionados</w:t>
      </w:r>
      <w:r w:rsidR="00593EA2" w:rsidRPr="003F6B95">
        <w:rPr>
          <w:rFonts w:cs="Arial"/>
          <w:sz w:val="26"/>
          <w:szCs w:val="26"/>
        </w:rPr>
        <w:t xml:space="preserve">. </w:t>
      </w:r>
    </w:p>
    <w:p w14:paraId="46D47E18" w14:textId="3B1173AD" w:rsidR="006B1D31" w:rsidRPr="003F6B95" w:rsidRDefault="006B1D31" w:rsidP="00593EA2">
      <w:pPr>
        <w:pStyle w:val="corte4fondo"/>
        <w:tabs>
          <w:tab w:val="left" w:pos="0"/>
        </w:tabs>
        <w:ind w:right="51" w:firstLine="0"/>
        <w:rPr>
          <w:rFonts w:cs="Arial"/>
          <w:sz w:val="26"/>
          <w:szCs w:val="26"/>
        </w:rPr>
      </w:pPr>
    </w:p>
    <w:p w14:paraId="47725F2C" w14:textId="7DC7C7CD" w:rsidR="007B68D1" w:rsidRPr="003F6B95" w:rsidRDefault="007B68D1" w:rsidP="1A9D0C58">
      <w:pPr>
        <w:pStyle w:val="corte4fondo"/>
        <w:numPr>
          <w:ilvl w:val="0"/>
          <w:numId w:val="2"/>
        </w:numPr>
        <w:ind w:left="0" w:right="51" w:hanging="426"/>
        <w:rPr>
          <w:rFonts w:cs="Arial"/>
          <w:sz w:val="26"/>
          <w:szCs w:val="26"/>
          <w:lang w:val="es-ES"/>
        </w:rPr>
      </w:pPr>
      <w:r w:rsidRPr="003F6B95">
        <w:rPr>
          <w:rFonts w:cs="Arial"/>
          <w:b/>
          <w:sz w:val="26"/>
          <w:szCs w:val="26"/>
          <w:lang w:val="es-ES"/>
        </w:rPr>
        <w:t xml:space="preserve">Radicación del juicio </w:t>
      </w:r>
      <w:r w:rsidR="00AF015F" w:rsidRPr="003F6B95">
        <w:rPr>
          <w:rFonts w:cs="Arial"/>
          <w:b/>
          <w:sz w:val="26"/>
          <w:szCs w:val="26"/>
          <w:lang w:val="es-ES"/>
        </w:rPr>
        <w:t xml:space="preserve">de </w:t>
      </w:r>
      <w:r w:rsidRPr="003F6B95">
        <w:rPr>
          <w:rFonts w:cs="Arial"/>
          <w:b/>
          <w:sz w:val="26"/>
          <w:szCs w:val="26"/>
          <w:lang w:val="es-ES"/>
        </w:rPr>
        <w:t>amparo e</w:t>
      </w:r>
      <w:r w:rsidR="00ED3156" w:rsidRPr="003F6B95">
        <w:rPr>
          <w:rFonts w:cs="Arial"/>
          <w:b/>
          <w:sz w:val="26"/>
          <w:szCs w:val="26"/>
          <w:lang w:val="es-ES"/>
        </w:rPr>
        <w:t>n</w:t>
      </w:r>
      <w:r w:rsidRPr="003F6B95">
        <w:rPr>
          <w:rFonts w:cs="Arial"/>
          <w:b/>
          <w:sz w:val="26"/>
          <w:szCs w:val="26"/>
          <w:lang w:val="es-ES"/>
        </w:rPr>
        <w:t xml:space="preserve"> esta Suprema Corte. </w:t>
      </w:r>
      <w:r w:rsidRPr="003F6B95">
        <w:rPr>
          <w:rFonts w:cs="Arial"/>
          <w:sz w:val="26"/>
          <w:szCs w:val="26"/>
          <w:lang w:val="es-ES"/>
        </w:rPr>
        <w:t xml:space="preserve">En atención a lo resuelto por la Primera Sala en la solicitud de ejercicio de la facultad de atracción </w:t>
      </w:r>
      <w:r w:rsidRPr="00501881">
        <w:rPr>
          <w:rFonts w:cs="Arial"/>
          <w:sz w:val="26"/>
          <w:szCs w:val="26"/>
          <w:lang w:val="es-ES"/>
        </w:rPr>
        <w:t xml:space="preserve">622/2019, </w:t>
      </w:r>
      <w:r w:rsidRPr="003F6B95">
        <w:rPr>
          <w:rFonts w:cs="Arial"/>
          <w:sz w:val="26"/>
          <w:szCs w:val="26"/>
          <w:lang w:val="es-ES"/>
        </w:rPr>
        <w:t xml:space="preserve">por auto de </w:t>
      </w:r>
      <w:r w:rsidR="00206906" w:rsidRPr="003F6B95">
        <w:rPr>
          <w:rFonts w:cs="Arial"/>
          <w:sz w:val="26"/>
          <w:szCs w:val="26"/>
          <w:lang w:val="es-ES"/>
        </w:rPr>
        <w:t xml:space="preserve">3 </w:t>
      </w:r>
      <w:r w:rsidRPr="003F6B95">
        <w:rPr>
          <w:rFonts w:cs="Arial"/>
          <w:sz w:val="26"/>
          <w:szCs w:val="26"/>
          <w:lang w:val="es-ES"/>
        </w:rPr>
        <w:t>de marzo de</w:t>
      </w:r>
      <w:r w:rsidR="00206906" w:rsidRPr="003F6B95">
        <w:rPr>
          <w:rFonts w:cs="Arial"/>
          <w:sz w:val="26"/>
          <w:szCs w:val="26"/>
          <w:lang w:val="es-ES"/>
        </w:rPr>
        <w:t xml:space="preserve"> 2020</w:t>
      </w:r>
      <w:r w:rsidRPr="003F6B95">
        <w:rPr>
          <w:rFonts w:cs="Arial"/>
          <w:sz w:val="26"/>
          <w:szCs w:val="26"/>
          <w:lang w:val="es-ES"/>
        </w:rPr>
        <w:t xml:space="preserve"> dictado por el </w:t>
      </w:r>
      <w:r w:rsidR="00206906" w:rsidRPr="003F6B95">
        <w:rPr>
          <w:rFonts w:cs="Arial"/>
          <w:sz w:val="26"/>
          <w:szCs w:val="26"/>
          <w:lang w:val="es-ES"/>
        </w:rPr>
        <w:t>entonces m</w:t>
      </w:r>
      <w:r w:rsidRPr="003F6B95">
        <w:rPr>
          <w:rFonts w:cs="Arial"/>
          <w:sz w:val="26"/>
          <w:szCs w:val="26"/>
          <w:lang w:val="es-ES"/>
        </w:rPr>
        <w:t xml:space="preserve">inistro </w:t>
      </w:r>
      <w:r w:rsidR="00206906" w:rsidRPr="003F6B95">
        <w:rPr>
          <w:rFonts w:cs="Arial"/>
          <w:sz w:val="26"/>
          <w:szCs w:val="26"/>
          <w:lang w:val="es-ES"/>
        </w:rPr>
        <w:t>p</w:t>
      </w:r>
      <w:r w:rsidRPr="003F6B95">
        <w:rPr>
          <w:rFonts w:cs="Arial"/>
          <w:sz w:val="26"/>
          <w:szCs w:val="26"/>
          <w:lang w:val="es-ES"/>
        </w:rPr>
        <w:t>residente, esta Suprema Corte de Justicia de la Nación se avocó al conocimiento del asunto</w:t>
      </w:r>
      <w:r w:rsidR="00FB6056" w:rsidRPr="003F6B95">
        <w:rPr>
          <w:rFonts w:cs="Arial"/>
          <w:sz w:val="26"/>
          <w:szCs w:val="26"/>
          <w:lang w:val="es-ES"/>
        </w:rPr>
        <w:t>. Asimismo,</w:t>
      </w:r>
      <w:r w:rsidRPr="003F6B95">
        <w:rPr>
          <w:rFonts w:cs="Arial"/>
          <w:sz w:val="26"/>
          <w:szCs w:val="26"/>
          <w:lang w:val="es-ES"/>
        </w:rPr>
        <w:t xml:space="preserve"> se registró con el número de expediente </w:t>
      </w:r>
      <w:r w:rsidRPr="00501881">
        <w:rPr>
          <w:rFonts w:cs="Arial"/>
          <w:sz w:val="26"/>
          <w:szCs w:val="26"/>
          <w:lang w:val="es-ES"/>
        </w:rPr>
        <w:t xml:space="preserve">15/2020 </w:t>
      </w:r>
      <w:r w:rsidRPr="003F6B95">
        <w:rPr>
          <w:rFonts w:cs="Arial"/>
          <w:sz w:val="26"/>
          <w:szCs w:val="26"/>
          <w:lang w:val="es-ES"/>
        </w:rPr>
        <w:t xml:space="preserve">y se turnó a la ponencia de la </w:t>
      </w:r>
      <w:r w:rsidR="00C06020" w:rsidRPr="003F6B95">
        <w:rPr>
          <w:rFonts w:cs="Arial"/>
          <w:sz w:val="26"/>
          <w:szCs w:val="26"/>
          <w:lang w:val="es-ES"/>
        </w:rPr>
        <w:t xml:space="preserve">ministra </w:t>
      </w:r>
      <w:r w:rsidRPr="003F6B95">
        <w:rPr>
          <w:rFonts w:cs="Arial"/>
          <w:sz w:val="26"/>
          <w:szCs w:val="26"/>
          <w:lang w:val="es-ES"/>
        </w:rPr>
        <w:t>Ana Margarita Ríos Farjat</w:t>
      </w:r>
      <w:r w:rsidR="00FB6056" w:rsidRPr="003F6B95">
        <w:rPr>
          <w:rFonts w:cs="Arial"/>
          <w:sz w:val="26"/>
          <w:szCs w:val="26"/>
          <w:lang w:val="es-ES"/>
        </w:rPr>
        <w:t>,</w:t>
      </w:r>
      <w:r w:rsidRPr="003F6B95">
        <w:rPr>
          <w:rFonts w:cs="Arial"/>
          <w:sz w:val="26"/>
          <w:szCs w:val="26"/>
          <w:lang w:val="es-ES"/>
        </w:rPr>
        <w:t xml:space="preserve"> para la elaboración del proyecto de resolución.</w:t>
      </w:r>
      <w:r w:rsidR="00C4285F">
        <w:rPr>
          <w:rFonts w:cs="Arial"/>
          <w:sz w:val="26"/>
          <w:szCs w:val="26"/>
          <w:lang w:val="es-ES"/>
        </w:rPr>
        <w:t xml:space="preserve"> </w:t>
      </w:r>
      <w:r w:rsidR="00C4285F" w:rsidRPr="009656EE">
        <w:rPr>
          <w:sz w:val="26"/>
          <w:szCs w:val="26"/>
          <w:lang w:val="es-ES"/>
        </w:rPr>
        <w:t xml:space="preserve">Posteriormente, por acuerdo de </w:t>
      </w:r>
      <w:r w:rsidR="009B3A74">
        <w:rPr>
          <w:sz w:val="26"/>
          <w:szCs w:val="26"/>
          <w:lang w:val="es-ES"/>
        </w:rPr>
        <w:t>29 de septiembre de 2020</w:t>
      </w:r>
      <w:r w:rsidR="00C4285F" w:rsidRPr="009656EE">
        <w:rPr>
          <w:sz w:val="26"/>
          <w:szCs w:val="26"/>
          <w:lang w:val="es-ES"/>
        </w:rPr>
        <w:t xml:space="preserve">, el </w:t>
      </w:r>
      <w:r w:rsidR="009B3A74">
        <w:rPr>
          <w:sz w:val="26"/>
          <w:szCs w:val="26"/>
          <w:lang w:val="es-ES"/>
        </w:rPr>
        <w:t xml:space="preserve">entonces </w:t>
      </w:r>
      <w:r w:rsidR="00C4285F" w:rsidRPr="009656EE">
        <w:rPr>
          <w:sz w:val="26"/>
          <w:szCs w:val="26"/>
          <w:lang w:val="es-ES"/>
        </w:rPr>
        <w:t xml:space="preserve">ministro </w:t>
      </w:r>
      <w:r w:rsidR="00C4285F" w:rsidRPr="007111E0">
        <w:rPr>
          <w:sz w:val="26"/>
          <w:szCs w:val="26"/>
        </w:rPr>
        <w:t>presidente</w:t>
      </w:r>
      <w:r w:rsidR="00C4285F" w:rsidRPr="009656EE">
        <w:rPr>
          <w:sz w:val="26"/>
          <w:szCs w:val="26"/>
          <w:lang w:val="es-ES"/>
        </w:rPr>
        <w:t xml:space="preserve"> de </w:t>
      </w:r>
      <w:r w:rsidR="00ED6ED6">
        <w:rPr>
          <w:sz w:val="26"/>
          <w:szCs w:val="26"/>
          <w:lang w:val="es-ES"/>
        </w:rPr>
        <w:t>esta</w:t>
      </w:r>
      <w:r w:rsidR="00C4285F" w:rsidRPr="009656EE">
        <w:rPr>
          <w:sz w:val="26"/>
          <w:szCs w:val="26"/>
          <w:lang w:val="es-ES"/>
        </w:rPr>
        <w:t xml:space="preserve"> Primera Sala se avocó al conocimiento del asunto</w:t>
      </w:r>
      <w:r w:rsidR="00561B7B">
        <w:rPr>
          <w:sz w:val="26"/>
          <w:szCs w:val="26"/>
          <w:lang w:val="es-ES"/>
        </w:rPr>
        <w:t>.</w:t>
      </w:r>
    </w:p>
    <w:p w14:paraId="5D543587" w14:textId="77777777" w:rsidR="004F1364" w:rsidRPr="003F6B95" w:rsidRDefault="004F1364" w:rsidP="00C66519">
      <w:pPr>
        <w:pStyle w:val="corte4fondo"/>
        <w:tabs>
          <w:tab w:val="left" w:pos="0"/>
        </w:tabs>
        <w:ind w:right="51" w:firstLine="0"/>
        <w:rPr>
          <w:rFonts w:cs="Arial"/>
          <w:sz w:val="26"/>
          <w:szCs w:val="26"/>
        </w:rPr>
      </w:pPr>
    </w:p>
    <w:p w14:paraId="1F5E9D48" w14:textId="71CF4AEA" w:rsidR="00AF015F" w:rsidRPr="003F6B95" w:rsidRDefault="0065787D" w:rsidP="1A9D0C58">
      <w:pPr>
        <w:pStyle w:val="corte4fondo"/>
        <w:numPr>
          <w:ilvl w:val="0"/>
          <w:numId w:val="2"/>
        </w:numPr>
        <w:ind w:left="0" w:right="51" w:hanging="426"/>
        <w:rPr>
          <w:rFonts w:cs="Arial"/>
          <w:sz w:val="26"/>
          <w:szCs w:val="26"/>
          <w:lang w:val="es-ES"/>
        </w:rPr>
      </w:pPr>
      <w:r w:rsidRPr="003F6B95">
        <w:rPr>
          <w:rFonts w:cs="Arial"/>
          <w:b/>
          <w:bCs/>
          <w:color w:val="000000" w:themeColor="text1"/>
          <w:sz w:val="26"/>
          <w:szCs w:val="26"/>
        </w:rPr>
        <w:t>Returno del asunto.</w:t>
      </w:r>
      <w:r w:rsidRPr="003F6B95">
        <w:rPr>
          <w:rFonts w:cs="Arial"/>
          <w:color w:val="000000" w:themeColor="text1"/>
          <w:sz w:val="26"/>
          <w:szCs w:val="26"/>
        </w:rPr>
        <w:t xml:space="preserve"> </w:t>
      </w:r>
      <w:r w:rsidR="00C06020" w:rsidRPr="003F6B95">
        <w:rPr>
          <w:rFonts w:cs="Arial"/>
          <w:color w:val="000000" w:themeColor="text1"/>
          <w:sz w:val="26"/>
          <w:szCs w:val="26"/>
        </w:rPr>
        <w:t xml:space="preserve">En sesión de </w:t>
      </w:r>
      <w:r w:rsidR="008F2104" w:rsidRPr="003F6B95">
        <w:rPr>
          <w:rFonts w:cs="Arial"/>
          <w:color w:val="000000" w:themeColor="text1"/>
          <w:sz w:val="26"/>
          <w:szCs w:val="26"/>
        </w:rPr>
        <w:t>3 de julio de 2024</w:t>
      </w:r>
      <w:r w:rsidR="00C06020" w:rsidRPr="003F6B95">
        <w:rPr>
          <w:rFonts w:cs="Arial"/>
          <w:color w:val="000000" w:themeColor="text1"/>
          <w:sz w:val="26"/>
          <w:szCs w:val="26"/>
        </w:rPr>
        <w:t xml:space="preserve">, esta Primera Sala de la Suprema Corte de Justicia de la Nación desechó el proyecto de resolución propuesto por la ministra ponente. Ante ello, se ordenó devolver los autos a la </w:t>
      </w:r>
      <w:r w:rsidR="00B56585" w:rsidRPr="003F6B95">
        <w:rPr>
          <w:rFonts w:cs="Arial"/>
          <w:color w:val="000000" w:themeColor="text1"/>
          <w:sz w:val="26"/>
          <w:szCs w:val="26"/>
        </w:rPr>
        <w:t>p</w:t>
      </w:r>
      <w:r w:rsidR="00C06020" w:rsidRPr="003F6B95">
        <w:rPr>
          <w:rFonts w:cs="Arial"/>
          <w:color w:val="000000" w:themeColor="text1"/>
          <w:sz w:val="26"/>
          <w:szCs w:val="26"/>
        </w:rPr>
        <w:t>residencia de la Primera Sala</w:t>
      </w:r>
      <w:r w:rsidR="00C66519" w:rsidRPr="003F6B95">
        <w:rPr>
          <w:rFonts w:cs="Arial"/>
          <w:color w:val="000000" w:themeColor="text1"/>
          <w:sz w:val="26"/>
          <w:szCs w:val="26"/>
        </w:rPr>
        <w:t>,</w:t>
      </w:r>
      <w:r w:rsidR="00C06020" w:rsidRPr="003F6B95">
        <w:rPr>
          <w:rFonts w:cs="Arial"/>
          <w:color w:val="000000" w:themeColor="text1"/>
          <w:sz w:val="26"/>
          <w:szCs w:val="26"/>
        </w:rPr>
        <w:t xml:space="preserve"> para el efecto de returnar </w:t>
      </w:r>
      <w:r w:rsidR="00C661CA" w:rsidRPr="003F6B95">
        <w:rPr>
          <w:rFonts w:cs="Arial"/>
          <w:color w:val="000000" w:themeColor="text1"/>
          <w:sz w:val="26"/>
          <w:szCs w:val="26"/>
        </w:rPr>
        <w:t xml:space="preserve">el asunto </w:t>
      </w:r>
      <w:r w:rsidR="00C06020" w:rsidRPr="003F6B95">
        <w:rPr>
          <w:rFonts w:cs="Arial"/>
          <w:color w:val="000000" w:themeColor="text1"/>
          <w:sz w:val="26"/>
          <w:szCs w:val="26"/>
        </w:rPr>
        <w:t xml:space="preserve">a </w:t>
      </w:r>
      <w:r w:rsidR="00C66519" w:rsidRPr="003F6B95">
        <w:rPr>
          <w:rFonts w:cs="Arial"/>
          <w:color w:val="000000" w:themeColor="text1"/>
          <w:sz w:val="26"/>
          <w:szCs w:val="26"/>
        </w:rPr>
        <w:t xml:space="preserve">alguno de </w:t>
      </w:r>
      <w:r w:rsidR="00C06020" w:rsidRPr="003F6B95">
        <w:rPr>
          <w:rFonts w:cs="Arial"/>
          <w:color w:val="000000" w:themeColor="text1"/>
          <w:sz w:val="26"/>
          <w:szCs w:val="26"/>
        </w:rPr>
        <w:t xml:space="preserve">los ministros de la mayoría. </w:t>
      </w:r>
      <w:r w:rsidR="00F813AB" w:rsidRPr="003F6B95">
        <w:rPr>
          <w:rFonts w:cs="Arial"/>
          <w:color w:val="000000" w:themeColor="text1"/>
          <w:sz w:val="26"/>
          <w:szCs w:val="26"/>
        </w:rPr>
        <w:t>Por acuerdo de 4 de julio</w:t>
      </w:r>
      <w:r w:rsidR="00C661CA" w:rsidRPr="003F6B95">
        <w:rPr>
          <w:rFonts w:cs="Arial"/>
          <w:color w:val="000000" w:themeColor="text1"/>
          <w:sz w:val="26"/>
          <w:szCs w:val="26"/>
        </w:rPr>
        <w:t xml:space="preserve"> </w:t>
      </w:r>
      <w:r w:rsidR="00C06020" w:rsidRPr="003F6B95">
        <w:rPr>
          <w:rFonts w:cs="Arial"/>
          <w:color w:val="000000" w:themeColor="text1"/>
          <w:sz w:val="26"/>
          <w:szCs w:val="26"/>
        </w:rPr>
        <w:t>de 202</w:t>
      </w:r>
      <w:r w:rsidR="00C661CA" w:rsidRPr="003F6B95">
        <w:rPr>
          <w:rFonts w:cs="Arial"/>
          <w:color w:val="000000" w:themeColor="text1"/>
          <w:sz w:val="26"/>
          <w:szCs w:val="26"/>
        </w:rPr>
        <w:t>4</w:t>
      </w:r>
      <w:r w:rsidR="00C06020" w:rsidRPr="003F6B95">
        <w:rPr>
          <w:rFonts w:cs="Arial"/>
          <w:color w:val="000000" w:themeColor="text1"/>
          <w:sz w:val="26"/>
          <w:szCs w:val="26"/>
        </w:rPr>
        <w:t xml:space="preserve">, se returnaron los autos al </w:t>
      </w:r>
      <w:r w:rsidR="00C661CA" w:rsidRPr="003F6B95">
        <w:rPr>
          <w:rFonts w:cs="Arial"/>
          <w:color w:val="000000" w:themeColor="text1"/>
          <w:sz w:val="26"/>
          <w:szCs w:val="26"/>
        </w:rPr>
        <w:t>m</w:t>
      </w:r>
      <w:r w:rsidR="00C06020" w:rsidRPr="003F6B95">
        <w:rPr>
          <w:rFonts w:cs="Arial"/>
          <w:color w:val="000000" w:themeColor="text1"/>
          <w:sz w:val="26"/>
          <w:szCs w:val="26"/>
        </w:rPr>
        <w:t>inistro Alfredo Gutiérrez Ortiz Mena</w:t>
      </w:r>
      <w:r w:rsidR="00C661CA" w:rsidRPr="003F6B95">
        <w:rPr>
          <w:rFonts w:cs="Arial"/>
          <w:color w:val="000000" w:themeColor="text1"/>
          <w:sz w:val="26"/>
          <w:szCs w:val="26"/>
        </w:rPr>
        <w:t>,</w:t>
      </w:r>
      <w:r w:rsidR="00C06020" w:rsidRPr="003F6B95">
        <w:rPr>
          <w:rFonts w:cs="Arial"/>
          <w:color w:val="000000" w:themeColor="text1"/>
          <w:sz w:val="26"/>
          <w:szCs w:val="26"/>
        </w:rPr>
        <w:t xml:space="preserve"> para la elaboración de</w:t>
      </w:r>
      <w:r w:rsidR="00C66519" w:rsidRPr="003F6B95">
        <w:rPr>
          <w:rFonts w:cs="Arial"/>
          <w:color w:val="000000" w:themeColor="text1"/>
          <w:sz w:val="26"/>
          <w:szCs w:val="26"/>
        </w:rPr>
        <w:t xml:space="preserve"> un nuevo</w:t>
      </w:r>
      <w:r w:rsidR="00C06020" w:rsidRPr="003F6B95">
        <w:rPr>
          <w:rFonts w:cs="Arial"/>
          <w:color w:val="000000" w:themeColor="text1"/>
          <w:sz w:val="26"/>
          <w:szCs w:val="26"/>
        </w:rPr>
        <w:t xml:space="preserve"> proyecto de resolución.</w:t>
      </w:r>
    </w:p>
    <w:p w14:paraId="7887E47D" w14:textId="77777777" w:rsidR="00FE19EA" w:rsidRPr="003F6B95" w:rsidRDefault="00FE19EA" w:rsidP="00AF015F">
      <w:pPr>
        <w:pStyle w:val="corte4fondo"/>
        <w:tabs>
          <w:tab w:val="left" w:pos="0"/>
        </w:tabs>
        <w:ind w:right="51" w:firstLine="0"/>
        <w:rPr>
          <w:rFonts w:cs="Arial"/>
          <w:b/>
          <w:bCs/>
          <w:sz w:val="26"/>
          <w:szCs w:val="26"/>
        </w:rPr>
      </w:pPr>
    </w:p>
    <w:p w14:paraId="6E3D5EEC" w14:textId="2B902177" w:rsidR="005500C9" w:rsidRPr="003F6B95" w:rsidRDefault="00AF015F" w:rsidP="00AF015F">
      <w:pPr>
        <w:pStyle w:val="corte4fondo"/>
        <w:tabs>
          <w:tab w:val="left" w:pos="0"/>
        </w:tabs>
        <w:ind w:right="51" w:firstLine="0"/>
        <w:jc w:val="center"/>
        <w:rPr>
          <w:rFonts w:cs="Arial"/>
          <w:b/>
          <w:bCs/>
          <w:sz w:val="26"/>
          <w:szCs w:val="26"/>
        </w:rPr>
      </w:pPr>
      <w:r w:rsidRPr="003F6B95">
        <w:rPr>
          <w:rFonts w:cs="Arial"/>
          <w:b/>
          <w:bCs/>
          <w:sz w:val="26"/>
          <w:szCs w:val="26"/>
        </w:rPr>
        <w:t xml:space="preserve">II. </w:t>
      </w:r>
      <w:r w:rsidR="000023B2" w:rsidRPr="003F6B95">
        <w:rPr>
          <w:rFonts w:cs="Arial"/>
          <w:b/>
          <w:bCs/>
          <w:sz w:val="26"/>
          <w:szCs w:val="26"/>
        </w:rPr>
        <w:t>COMPETENCIA</w:t>
      </w:r>
    </w:p>
    <w:p w14:paraId="18309623" w14:textId="3F09DDC6" w:rsidR="004B16E6" w:rsidRPr="003F6B95" w:rsidRDefault="004B16E6" w:rsidP="00EC4800">
      <w:pPr>
        <w:pStyle w:val="Prrafodelista"/>
        <w:numPr>
          <w:ilvl w:val="0"/>
          <w:numId w:val="2"/>
        </w:numPr>
        <w:spacing w:before="240" w:line="360" w:lineRule="auto"/>
        <w:ind w:left="0" w:hanging="567"/>
        <w:contextualSpacing/>
        <w:jc w:val="both"/>
        <w:rPr>
          <w:rFonts w:ascii="Arial" w:hAnsi="Arial" w:cs="Arial"/>
          <w:sz w:val="26"/>
          <w:szCs w:val="26"/>
        </w:rPr>
      </w:pPr>
      <w:r w:rsidRPr="003F6B95">
        <w:rPr>
          <w:rFonts w:ascii="Arial" w:hAnsi="Arial" w:cs="Arial"/>
          <w:sz w:val="26"/>
          <w:szCs w:val="26"/>
        </w:rPr>
        <w:t>Esta Primera Sala de la Suprema Corte de Justicia de la Nación es competente para conocer del presente juicio de amparo directo, en atención a que se ejer</w:t>
      </w:r>
      <w:r w:rsidR="0071695B">
        <w:rPr>
          <w:rFonts w:ascii="Arial" w:hAnsi="Arial" w:cs="Arial"/>
          <w:sz w:val="26"/>
          <w:szCs w:val="26"/>
        </w:rPr>
        <w:t>ci</w:t>
      </w:r>
      <w:r w:rsidRPr="003F6B95">
        <w:rPr>
          <w:rFonts w:ascii="Arial" w:hAnsi="Arial" w:cs="Arial"/>
          <w:sz w:val="26"/>
          <w:szCs w:val="26"/>
        </w:rPr>
        <w:t>ó la facultad de atracción, conforme con lo dispuesto por los artículos 107, fracción V, último párrafo</w:t>
      </w:r>
      <w:r w:rsidR="00972402" w:rsidRPr="003F6B95">
        <w:rPr>
          <w:rFonts w:ascii="Arial" w:hAnsi="Arial" w:cs="Arial"/>
          <w:sz w:val="26"/>
          <w:szCs w:val="26"/>
        </w:rPr>
        <w:t>,</w:t>
      </w:r>
      <w:r w:rsidRPr="003F6B95">
        <w:rPr>
          <w:rFonts w:ascii="Arial" w:hAnsi="Arial" w:cs="Arial"/>
          <w:sz w:val="26"/>
          <w:szCs w:val="26"/>
        </w:rPr>
        <w:t xml:space="preserve"> de la Constitución Política de los Estados Unidos Mexicanos, 40 de la Ley de Amparo</w:t>
      </w:r>
      <w:r w:rsidR="0006268B">
        <w:rPr>
          <w:rStyle w:val="Refdenotaalpie"/>
          <w:rFonts w:ascii="Arial" w:hAnsi="Arial" w:cs="Arial"/>
          <w:sz w:val="26"/>
          <w:szCs w:val="26"/>
        </w:rPr>
        <w:footnoteReference w:id="25"/>
      </w:r>
      <w:r w:rsidRPr="003F6B95">
        <w:rPr>
          <w:rFonts w:ascii="Arial" w:hAnsi="Arial" w:cs="Arial"/>
          <w:sz w:val="26"/>
          <w:szCs w:val="26"/>
        </w:rPr>
        <w:t xml:space="preserve"> y 21, fracción III, inciso b)</w:t>
      </w:r>
      <w:r w:rsidR="005302D4" w:rsidRPr="003F6B95">
        <w:rPr>
          <w:rFonts w:ascii="Arial" w:hAnsi="Arial" w:cs="Arial"/>
          <w:sz w:val="26"/>
          <w:szCs w:val="26"/>
        </w:rPr>
        <w:t>,</w:t>
      </w:r>
      <w:r w:rsidRPr="003F6B95">
        <w:rPr>
          <w:rFonts w:ascii="Arial" w:hAnsi="Arial" w:cs="Arial"/>
          <w:sz w:val="26"/>
          <w:szCs w:val="26"/>
        </w:rPr>
        <w:t xml:space="preserve"> de la Ley Orgánica del Poder Judicial de la Federación</w:t>
      </w:r>
      <w:r w:rsidR="003F6B2B">
        <w:rPr>
          <w:rFonts w:ascii="Arial" w:hAnsi="Arial" w:cs="Arial"/>
          <w:sz w:val="26"/>
          <w:szCs w:val="26"/>
        </w:rPr>
        <w:t xml:space="preserve"> </w:t>
      </w:r>
      <w:r w:rsidR="00D7708B" w:rsidRPr="00D7708B">
        <w:rPr>
          <w:rFonts w:ascii="Arial" w:hAnsi="Arial" w:cs="Arial"/>
          <w:bCs/>
          <w:sz w:val="26"/>
          <w:szCs w:val="26"/>
          <w:lang w:val="es-MX"/>
        </w:rPr>
        <w:t xml:space="preserve">(abrogada), y en relación con el artículo Tercero transitorio de la Ley Orgánica del Poder </w:t>
      </w:r>
      <w:r w:rsidR="00D7708B" w:rsidRPr="00D7708B">
        <w:rPr>
          <w:rFonts w:ascii="Arial" w:hAnsi="Arial" w:cs="Arial"/>
          <w:bCs/>
          <w:sz w:val="26"/>
          <w:szCs w:val="26"/>
          <w:lang w:val="es-MX"/>
        </w:rPr>
        <w:lastRenderedPageBreak/>
        <w:t>Judicial de la Federación (vigente);</w:t>
      </w:r>
      <w:r w:rsidR="003F6B2B">
        <w:rPr>
          <w:rFonts w:ascii="Arial" w:hAnsi="Arial" w:cs="Arial"/>
          <w:bCs/>
          <w:sz w:val="26"/>
          <w:szCs w:val="26"/>
          <w:lang w:val="es-MX"/>
        </w:rPr>
        <w:t xml:space="preserve"> </w:t>
      </w:r>
      <w:r w:rsidR="00972402" w:rsidRPr="003F6B95">
        <w:rPr>
          <w:rFonts w:ascii="Arial" w:hAnsi="Arial" w:cs="Arial"/>
          <w:sz w:val="26"/>
          <w:szCs w:val="26"/>
        </w:rPr>
        <w:t xml:space="preserve">aunado a </w:t>
      </w:r>
      <w:r w:rsidR="005302D4" w:rsidRPr="003F6B95">
        <w:rPr>
          <w:rFonts w:ascii="Arial" w:hAnsi="Arial" w:cs="Arial"/>
          <w:sz w:val="26"/>
          <w:szCs w:val="26"/>
        </w:rPr>
        <w:t xml:space="preserve">que el asunto </w:t>
      </w:r>
      <w:r w:rsidRPr="003F6B95">
        <w:rPr>
          <w:rFonts w:ascii="Arial" w:hAnsi="Arial" w:cs="Arial"/>
          <w:sz w:val="26"/>
          <w:szCs w:val="26"/>
        </w:rPr>
        <w:t xml:space="preserve">guarda relación con </w:t>
      </w:r>
      <w:r w:rsidR="00A8588B" w:rsidRPr="003F6B95">
        <w:rPr>
          <w:rFonts w:ascii="Arial" w:hAnsi="Arial" w:cs="Arial"/>
          <w:sz w:val="26"/>
          <w:szCs w:val="26"/>
        </w:rPr>
        <w:t xml:space="preserve">la </w:t>
      </w:r>
      <w:r w:rsidRPr="003F6B95">
        <w:rPr>
          <w:rFonts w:ascii="Arial" w:hAnsi="Arial" w:cs="Arial"/>
          <w:sz w:val="26"/>
          <w:szCs w:val="26"/>
        </w:rPr>
        <w:t xml:space="preserve">materia </w:t>
      </w:r>
      <w:r w:rsidR="00A8588B" w:rsidRPr="003F6B95">
        <w:rPr>
          <w:rFonts w:ascii="Arial" w:hAnsi="Arial" w:cs="Arial"/>
          <w:sz w:val="26"/>
          <w:szCs w:val="26"/>
        </w:rPr>
        <w:t xml:space="preserve">civil, </w:t>
      </w:r>
      <w:r w:rsidRPr="003F6B95">
        <w:rPr>
          <w:rFonts w:ascii="Arial" w:hAnsi="Arial" w:cs="Arial"/>
          <w:sz w:val="26"/>
          <w:szCs w:val="26"/>
        </w:rPr>
        <w:t>especialidad</w:t>
      </w:r>
      <w:r w:rsidR="005302D4" w:rsidRPr="003F6B95">
        <w:rPr>
          <w:rFonts w:ascii="Arial" w:hAnsi="Arial" w:cs="Arial"/>
          <w:sz w:val="26"/>
          <w:szCs w:val="26"/>
        </w:rPr>
        <w:t xml:space="preserve"> de la Primera Sala</w:t>
      </w:r>
      <w:r w:rsidRPr="003F6B95">
        <w:rPr>
          <w:rFonts w:ascii="Arial" w:hAnsi="Arial" w:cs="Arial"/>
          <w:sz w:val="26"/>
          <w:szCs w:val="26"/>
        </w:rPr>
        <w:t>.</w:t>
      </w:r>
    </w:p>
    <w:p w14:paraId="1AFC877F" w14:textId="77777777" w:rsidR="004B16E6" w:rsidRPr="003F6B95" w:rsidRDefault="004B16E6" w:rsidP="004B16E6">
      <w:pPr>
        <w:pStyle w:val="Prrafodelista"/>
        <w:spacing w:before="240" w:line="360" w:lineRule="auto"/>
        <w:ind w:left="0"/>
        <w:contextualSpacing/>
        <w:jc w:val="both"/>
        <w:rPr>
          <w:rFonts w:ascii="Arial" w:hAnsi="Arial" w:cs="Arial"/>
          <w:sz w:val="26"/>
          <w:szCs w:val="26"/>
        </w:rPr>
      </w:pPr>
    </w:p>
    <w:p w14:paraId="60E83687" w14:textId="127AFDB0" w:rsidR="005500C9" w:rsidRPr="003F6B95" w:rsidRDefault="00AF015F" w:rsidP="00976F09">
      <w:pPr>
        <w:pStyle w:val="corte4fondo"/>
        <w:tabs>
          <w:tab w:val="left" w:pos="0"/>
        </w:tabs>
        <w:ind w:right="51"/>
        <w:jc w:val="center"/>
        <w:rPr>
          <w:rFonts w:cs="Arial"/>
          <w:b/>
          <w:sz w:val="26"/>
          <w:szCs w:val="26"/>
        </w:rPr>
      </w:pPr>
      <w:r w:rsidRPr="003F6B95">
        <w:rPr>
          <w:rFonts w:cs="Arial"/>
          <w:b/>
          <w:sz w:val="26"/>
          <w:szCs w:val="26"/>
        </w:rPr>
        <w:t xml:space="preserve">III. </w:t>
      </w:r>
      <w:r w:rsidR="004B16E6" w:rsidRPr="003F6B95">
        <w:rPr>
          <w:rFonts w:cs="Arial"/>
          <w:b/>
          <w:sz w:val="26"/>
          <w:szCs w:val="26"/>
        </w:rPr>
        <w:t>OPORTUNIDAD</w:t>
      </w:r>
    </w:p>
    <w:p w14:paraId="559E235A" w14:textId="5FF29EB6" w:rsidR="00212A5C" w:rsidRPr="003F6B95" w:rsidRDefault="004B16E6" w:rsidP="00976F09">
      <w:pPr>
        <w:pStyle w:val="corte4fondo"/>
        <w:numPr>
          <w:ilvl w:val="0"/>
          <w:numId w:val="2"/>
        </w:numPr>
        <w:spacing w:before="240"/>
        <w:ind w:left="0" w:right="51" w:hanging="567"/>
        <w:rPr>
          <w:rFonts w:cs="Arial"/>
          <w:sz w:val="26"/>
          <w:szCs w:val="26"/>
          <w:lang w:val="es-ES"/>
        </w:rPr>
      </w:pPr>
      <w:r w:rsidRPr="003F6B95">
        <w:rPr>
          <w:rFonts w:eastAsia="Calibri" w:cs="Arial"/>
          <w:sz w:val="26"/>
          <w:szCs w:val="26"/>
          <w:lang w:val="es-ES"/>
        </w:rPr>
        <w:t xml:space="preserve">La resolución reclamada fue notificada por la autoridad responsable a </w:t>
      </w:r>
      <w:r w:rsidRPr="003F6B95">
        <w:rPr>
          <w:rFonts w:eastAsia="Calibri" w:cs="Arial"/>
          <w:color w:val="FF0000"/>
          <w:sz w:val="26"/>
          <w:szCs w:val="26"/>
          <w:lang w:val="es-ES"/>
        </w:rPr>
        <w:t>JMDF</w:t>
      </w:r>
      <w:r w:rsidRPr="003F6B95">
        <w:rPr>
          <w:rFonts w:eastAsia="Calibri" w:cs="Arial"/>
          <w:sz w:val="26"/>
          <w:szCs w:val="26"/>
          <w:lang w:val="es-ES"/>
        </w:rPr>
        <w:t xml:space="preserve"> y </w:t>
      </w:r>
      <w:r w:rsidRPr="003F6B95">
        <w:rPr>
          <w:rFonts w:eastAsia="Calibri" w:cs="Arial"/>
          <w:color w:val="FF0000"/>
          <w:sz w:val="26"/>
          <w:szCs w:val="26"/>
          <w:lang w:val="es-ES"/>
        </w:rPr>
        <w:t>LNGB</w:t>
      </w:r>
      <w:r w:rsidRPr="003F6B95">
        <w:rPr>
          <w:rFonts w:eastAsia="Calibri" w:cs="Arial"/>
          <w:sz w:val="26"/>
          <w:szCs w:val="26"/>
          <w:lang w:val="es-ES"/>
        </w:rPr>
        <w:t xml:space="preserve">, quejosas en el presente juicio de amparo, mediante boletín judicial el </w:t>
      </w:r>
      <w:r w:rsidR="00A20726" w:rsidRPr="003F6B95">
        <w:rPr>
          <w:rFonts w:eastAsia="Calibri" w:cs="Arial"/>
          <w:sz w:val="26"/>
          <w:szCs w:val="26"/>
          <w:lang w:val="es-ES"/>
        </w:rPr>
        <w:t xml:space="preserve">2 </w:t>
      </w:r>
      <w:r w:rsidRPr="003F6B95">
        <w:rPr>
          <w:rFonts w:eastAsia="Calibri" w:cs="Arial"/>
          <w:sz w:val="26"/>
          <w:szCs w:val="26"/>
          <w:lang w:val="es-ES"/>
        </w:rPr>
        <w:t>de julio de</w:t>
      </w:r>
      <w:r w:rsidR="00A20726" w:rsidRPr="003F6B95">
        <w:rPr>
          <w:rFonts w:eastAsia="Calibri" w:cs="Arial"/>
          <w:sz w:val="26"/>
          <w:szCs w:val="26"/>
          <w:lang w:val="es-ES"/>
        </w:rPr>
        <w:t xml:space="preserve"> 2019</w:t>
      </w:r>
      <w:r w:rsidRPr="003F6B95">
        <w:rPr>
          <w:rFonts w:eastAsia="Calibri" w:cs="Arial"/>
          <w:sz w:val="26"/>
          <w:szCs w:val="26"/>
          <w:lang w:val="es-ES"/>
        </w:rPr>
        <w:t>. Dicha notificación surtió efectos al día siguiente, es</w:t>
      </w:r>
      <w:r w:rsidR="00212A5C" w:rsidRPr="003F6B95">
        <w:rPr>
          <w:rFonts w:eastAsia="Calibri" w:cs="Arial"/>
          <w:sz w:val="26"/>
          <w:szCs w:val="26"/>
          <w:lang w:val="es-ES"/>
        </w:rPr>
        <w:t xml:space="preserve"> decir</w:t>
      </w:r>
      <w:r w:rsidRPr="003F6B95">
        <w:rPr>
          <w:rFonts w:eastAsia="Calibri" w:cs="Arial"/>
          <w:sz w:val="26"/>
          <w:szCs w:val="26"/>
          <w:lang w:val="es-ES"/>
        </w:rPr>
        <w:t xml:space="preserve">, el </w:t>
      </w:r>
      <w:r w:rsidR="00A20726" w:rsidRPr="003F6B95">
        <w:rPr>
          <w:rFonts w:eastAsia="Calibri" w:cs="Arial"/>
          <w:sz w:val="26"/>
          <w:szCs w:val="26"/>
          <w:lang w:val="es-ES"/>
        </w:rPr>
        <w:t xml:space="preserve">3 </w:t>
      </w:r>
      <w:r w:rsidRPr="003F6B95">
        <w:rPr>
          <w:rFonts w:eastAsia="Calibri" w:cs="Arial"/>
          <w:sz w:val="26"/>
          <w:szCs w:val="26"/>
          <w:lang w:val="es-ES"/>
        </w:rPr>
        <w:t xml:space="preserve">de julio de </w:t>
      </w:r>
      <w:r w:rsidR="00A20726" w:rsidRPr="003F6B95">
        <w:rPr>
          <w:rFonts w:eastAsia="Calibri" w:cs="Arial"/>
          <w:sz w:val="26"/>
          <w:szCs w:val="26"/>
          <w:lang w:val="es-ES"/>
        </w:rPr>
        <w:t>2019</w:t>
      </w:r>
      <w:r w:rsidRPr="003F6B95">
        <w:rPr>
          <w:rFonts w:eastAsia="Calibri" w:cs="Arial"/>
          <w:sz w:val="26"/>
          <w:szCs w:val="26"/>
          <w:lang w:val="es-ES"/>
        </w:rPr>
        <w:t xml:space="preserve">. </w:t>
      </w:r>
      <w:r w:rsidRPr="003F6B95">
        <w:rPr>
          <w:rFonts w:cs="Arial"/>
          <w:sz w:val="26"/>
          <w:szCs w:val="26"/>
          <w:lang w:val="es-ES"/>
        </w:rPr>
        <w:t>Por tanto, el plazo de quince días</w:t>
      </w:r>
      <w:r w:rsidRPr="003F6B95">
        <w:rPr>
          <w:rFonts w:eastAsia="Calibri" w:cs="Arial"/>
          <w:sz w:val="26"/>
          <w:szCs w:val="26"/>
          <w:lang w:val="es-ES"/>
        </w:rPr>
        <w:t xml:space="preserve"> previsto en el artículo 17 de la Ley de Amparo</w:t>
      </w:r>
      <w:r w:rsidRPr="003F6B95">
        <w:rPr>
          <w:rFonts w:cs="Arial"/>
          <w:sz w:val="26"/>
          <w:szCs w:val="26"/>
          <w:lang w:val="es-ES"/>
        </w:rPr>
        <w:t xml:space="preserve"> para la presentación de la demanda</w:t>
      </w:r>
      <w:r w:rsidRPr="003F6B95">
        <w:rPr>
          <w:rFonts w:eastAsia="Calibri" w:cs="Arial"/>
          <w:sz w:val="26"/>
          <w:szCs w:val="26"/>
          <w:lang w:val="es-ES"/>
        </w:rPr>
        <w:t xml:space="preserve"> </w:t>
      </w:r>
      <w:r w:rsidRPr="003F6B95">
        <w:rPr>
          <w:rFonts w:cs="Arial"/>
          <w:sz w:val="26"/>
          <w:szCs w:val="26"/>
          <w:lang w:val="es-ES"/>
        </w:rPr>
        <w:t xml:space="preserve">transcurrió del </w:t>
      </w:r>
      <w:r w:rsidR="00A20726" w:rsidRPr="003F6B95">
        <w:rPr>
          <w:rFonts w:cs="Arial"/>
          <w:sz w:val="26"/>
          <w:szCs w:val="26"/>
          <w:lang w:val="es-ES"/>
        </w:rPr>
        <w:t xml:space="preserve">4 </w:t>
      </w:r>
      <w:r w:rsidRPr="003F6B95">
        <w:rPr>
          <w:rFonts w:cs="Arial"/>
          <w:sz w:val="26"/>
          <w:szCs w:val="26"/>
          <w:lang w:val="es-ES"/>
        </w:rPr>
        <w:t xml:space="preserve">de julio al </w:t>
      </w:r>
      <w:r w:rsidR="00A20726" w:rsidRPr="003F6B95">
        <w:rPr>
          <w:rFonts w:cs="Arial"/>
          <w:sz w:val="26"/>
          <w:szCs w:val="26"/>
          <w:lang w:val="es-ES"/>
        </w:rPr>
        <w:t xml:space="preserve">15 </w:t>
      </w:r>
      <w:r w:rsidRPr="003F6B95">
        <w:rPr>
          <w:rFonts w:cs="Arial"/>
          <w:sz w:val="26"/>
          <w:szCs w:val="26"/>
          <w:lang w:val="es-ES"/>
        </w:rPr>
        <w:t xml:space="preserve">de agosto de </w:t>
      </w:r>
      <w:r w:rsidR="00A20726" w:rsidRPr="003F6B95">
        <w:rPr>
          <w:rFonts w:cs="Arial"/>
          <w:sz w:val="26"/>
          <w:szCs w:val="26"/>
          <w:lang w:val="es-ES"/>
        </w:rPr>
        <w:t>2019</w:t>
      </w:r>
      <w:r w:rsidRPr="003F6B95">
        <w:rPr>
          <w:rStyle w:val="Refdenotaalpie"/>
          <w:rFonts w:cs="Arial"/>
          <w:sz w:val="26"/>
          <w:szCs w:val="26"/>
          <w:lang w:val="es-ES"/>
        </w:rPr>
        <w:footnoteReference w:id="26"/>
      </w:r>
      <w:r w:rsidRPr="003F6B95">
        <w:rPr>
          <w:rFonts w:cs="Arial"/>
          <w:sz w:val="26"/>
          <w:szCs w:val="26"/>
          <w:lang w:val="es-ES"/>
        </w:rPr>
        <w:t xml:space="preserve">. </w:t>
      </w:r>
    </w:p>
    <w:p w14:paraId="0380724A" w14:textId="77777777" w:rsidR="00212A5C" w:rsidRPr="003F6B95" w:rsidRDefault="00212A5C" w:rsidP="00976F09">
      <w:pPr>
        <w:pStyle w:val="corte4fondo"/>
        <w:tabs>
          <w:tab w:val="left" w:pos="0"/>
        </w:tabs>
        <w:ind w:right="51" w:firstLine="0"/>
        <w:rPr>
          <w:rFonts w:cs="Arial"/>
          <w:sz w:val="26"/>
          <w:szCs w:val="26"/>
        </w:rPr>
      </w:pPr>
    </w:p>
    <w:p w14:paraId="61FD1645" w14:textId="7DECB138" w:rsidR="004B16E6" w:rsidRPr="003F6B95" w:rsidRDefault="004B16E6" w:rsidP="00EC4800">
      <w:pPr>
        <w:pStyle w:val="corte4fondo"/>
        <w:numPr>
          <w:ilvl w:val="0"/>
          <w:numId w:val="2"/>
        </w:numPr>
        <w:tabs>
          <w:tab w:val="left" w:pos="0"/>
        </w:tabs>
        <w:ind w:left="0" w:right="51" w:hanging="426"/>
        <w:rPr>
          <w:rFonts w:cs="Arial"/>
          <w:sz w:val="26"/>
          <w:szCs w:val="26"/>
        </w:rPr>
      </w:pPr>
      <w:r w:rsidRPr="003F6B95">
        <w:rPr>
          <w:rFonts w:eastAsia="Calibri" w:cs="Arial"/>
          <w:sz w:val="26"/>
          <w:szCs w:val="26"/>
          <w:lang w:eastAsia="x-none"/>
        </w:rPr>
        <w:t>De la certificación realizada por la sala responsable se desprende que la demanda de ampar</w:t>
      </w:r>
      <w:r w:rsidR="00A20726" w:rsidRPr="003F6B95">
        <w:rPr>
          <w:rFonts w:eastAsia="Calibri" w:cs="Arial"/>
          <w:sz w:val="26"/>
          <w:szCs w:val="26"/>
          <w:lang w:eastAsia="x-none"/>
        </w:rPr>
        <w:t xml:space="preserve">o se presentó </w:t>
      </w:r>
      <w:r w:rsidRPr="003F6B95">
        <w:rPr>
          <w:rFonts w:eastAsia="Calibri" w:cs="Arial"/>
          <w:sz w:val="26"/>
          <w:szCs w:val="26"/>
          <w:lang w:eastAsia="x-none"/>
        </w:rPr>
        <w:t xml:space="preserve">el </w:t>
      </w:r>
      <w:r w:rsidR="00A20726" w:rsidRPr="003F6B95">
        <w:rPr>
          <w:rFonts w:eastAsia="Calibri" w:cs="Arial"/>
          <w:sz w:val="26"/>
          <w:szCs w:val="26"/>
          <w:lang w:eastAsia="x-none"/>
        </w:rPr>
        <w:t xml:space="preserve">14 </w:t>
      </w:r>
      <w:r w:rsidRPr="003F6B95">
        <w:rPr>
          <w:rFonts w:eastAsia="Calibri" w:cs="Arial"/>
          <w:sz w:val="26"/>
          <w:szCs w:val="26"/>
          <w:lang w:eastAsia="x-none"/>
        </w:rPr>
        <w:t xml:space="preserve">de agosto de </w:t>
      </w:r>
      <w:r w:rsidR="00A20726" w:rsidRPr="003F6B95">
        <w:rPr>
          <w:rFonts w:eastAsia="Calibri" w:cs="Arial"/>
          <w:sz w:val="26"/>
          <w:szCs w:val="26"/>
          <w:lang w:eastAsia="x-none"/>
        </w:rPr>
        <w:t xml:space="preserve">2019 </w:t>
      </w:r>
      <w:r w:rsidRPr="003F6B95">
        <w:rPr>
          <w:rFonts w:eastAsia="Calibri" w:cs="Arial"/>
          <w:sz w:val="26"/>
          <w:szCs w:val="26"/>
          <w:lang w:eastAsia="x-none"/>
        </w:rPr>
        <w:t>ante la Oficialía de Partes de Común para Juzgados y Salas del Tribunal Superior de Justicia de la Ciudad de México</w:t>
      </w:r>
      <w:r w:rsidR="00A20726" w:rsidRPr="003F6B95">
        <w:rPr>
          <w:rFonts w:eastAsia="Calibri" w:cs="Arial"/>
          <w:sz w:val="26"/>
          <w:szCs w:val="26"/>
          <w:lang w:eastAsia="x-none"/>
        </w:rPr>
        <w:t>. P</w:t>
      </w:r>
      <w:r w:rsidRPr="003F6B95">
        <w:rPr>
          <w:rFonts w:eastAsia="Calibri" w:cs="Arial"/>
          <w:sz w:val="26"/>
          <w:szCs w:val="26"/>
          <w:lang w:eastAsia="x-none"/>
        </w:rPr>
        <w:t>or ello</w:t>
      </w:r>
      <w:r w:rsidR="00A20726" w:rsidRPr="003F6B95">
        <w:rPr>
          <w:rFonts w:eastAsia="Calibri" w:cs="Arial"/>
          <w:sz w:val="26"/>
          <w:szCs w:val="26"/>
          <w:lang w:eastAsia="x-none"/>
        </w:rPr>
        <w:t>,</w:t>
      </w:r>
      <w:r w:rsidR="0091288B" w:rsidRPr="003F6B95">
        <w:rPr>
          <w:rFonts w:eastAsia="Calibri" w:cs="Arial"/>
          <w:sz w:val="26"/>
          <w:szCs w:val="26"/>
          <w:lang w:eastAsia="x-none"/>
        </w:rPr>
        <w:t xml:space="preserve"> </w:t>
      </w:r>
      <w:r w:rsidRPr="003F6B95">
        <w:rPr>
          <w:rFonts w:eastAsia="Calibri" w:cs="Arial"/>
          <w:sz w:val="26"/>
          <w:szCs w:val="26"/>
          <w:lang w:eastAsia="x-none"/>
        </w:rPr>
        <w:t>la demanda se presentó oportunamente</w:t>
      </w:r>
      <w:r w:rsidRPr="003F6B95">
        <w:rPr>
          <w:rStyle w:val="corte4fondoCar"/>
          <w:rFonts w:eastAsia="Calibri"/>
          <w:sz w:val="26"/>
          <w:szCs w:val="26"/>
        </w:rPr>
        <w:t>.</w:t>
      </w:r>
    </w:p>
    <w:p w14:paraId="454C3D24" w14:textId="77777777" w:rsidR="004B16E6" w:rsidRPr="003F6B95" w:rsidRDefault="004B16E6" w:rsidP="004B16E6">
      <w:pPr>
        <w:pStyle w:val="corte4fondo"/>
        <w:tabs>
          <w:tab w:val="left" w:pos="0"/>
        </w:tabs>
        <w:ind w:right="51" w:firstLine="0"/>
        <w:rPr>
          <w:rFonts w:cs="Arial"/>
          <w:sz w:val="26"/>
          <w:szCs w:val="26"/>
        </w:rPr>
      </w:pPr>
    </w:p>
    <w:p w14:paraId="18D27362" w14:textId="34B4E7AF" w:rsidR="004B16E6" w:rsidRPr="003F6B95" w:rsidRDefault="00AF015F" w:rsidP="00F5646A">
      <w:pPr>
        <w:pStyle w:val="Prrafodelista"/>
        <w:spacing w:line="360" w:lineRule="auto"/>
        <w:ind w:left="0"/>
        <w:jc w:val="center"/>
        <w:rPr>
          <w:rFonts w:ascii="Arial" w:hAnsi="Arial" w:cs="Arial"/>
          <w:sz w:val="26"/>
          <w:szCs w:val="26"/>
        </w:rPr>
      </w:pPr>
      <w:r w:rsidRPr="003F6B95">
        <w:rPr>
          <w:rFonts w:ascii="Arial" w:hAnsi="Arial" w:cs="Arial"/>
          <w:b/>
          <w:sz w:val="26"/>
          <w:szCs w:val="26"/>
        </w:rPr>
        <w:t>I</w:t>
      </w:r>
      <w:r w:rsidR="004B16E6" w:rsidRPr="003F6B95">
        <w:rPr>
          <w:rFonts w:ascii="Arial" w:hAnsi="Arial" w:cs="Arial"/>
          <w:b/>
          <w:sz w:val="26"/>
          <w:szCs w:val="26"/>
        </w:rPr>
        <w:t>V. EXISTENCIA DEL ACTO RECLAMADO</w:t>
      </w:r>
    </w:p>
    <w:p w14:paraId="7CEB6A02" w14:textId="5838D7C7" w:rsidR="004B16E6" w:rsidRPr="003F6B95" w:rsidRDefault="004B16E6" w:rsidP="1A9D0C58">
      <w:pPr>
        <w:pStyle w:val="corte4fondo"/>
        <w:numPr>
          <w:ilvl w:val="0"/>
          <w:numId w:val="2"/>
        </w:numPr>
        <w:spacing w:before="240"/>
        <w:ind w:left="0" w:right="51" w:hanging="425"/>
        <w:rPr>
          <w:rFonts w:cs="Arial"/>
          <w:sz w:val="26"/>
          <w:szCs w:val="26"/>
          <w:lang w:val="es-ES"/>
        </w:rPr>
      </w:pPr>
      <w:r w:rsidRPr="003F6B95">
        <w:rPr>
          <w:rFonts w:cs="Arial"/>
          <w:sz w:val="26"/>
          <w:szCs w:val="26"/>
          <w:lang w:val="es-ES"/>
        </w:rPr>
        <w:t xml:space="preserve">La existencia del acto reclamado se acredita con el documento original que contiene la sentencia de </w:t>
      </w:r>
      <w:r w:rsidR="0091288B" w:rsidRPr="003F6B95">
        <w:rPr>
          <w:rFonts w:cs="Arial"/>
          <w:sz w:val="26"/>
          <w:szCs w:val="26"/>
          <w:lang w:val="es-ES"/>
        </w:rPr>
        <w:t xml:space="preserve">1 </w:t>
      </w:r>
      <w:r w:rsidRPr="003F6B95">
        <w:rPr>
          <w:rFonts w:cs="Arial"/>
          <w:sz w:val="26"/>
          <w:szCs w:val="26"/>
          <w:lang w:val="es-ES"/>
        </w:rPr>
        <w:t>de julio de</w:t>
      </w:r>
      <w:r w:rsidR="0091288B" w:rsidRPr="003F6B95">
        <w:rPr>
          <w:rFonts w:cs="Arial"/>
          <w:sz w:val="26"/>
          <w:szCs w:val="26"/>
          <w:lang w:val="es-ES"/>
        </w:rPr>
        <w:t xml:space="preserve"> 2019 </w:t>
      </w:r>
      <w:r w:rsidRPr="003F6B95">
        <w:rPr>
          <w:rFonts w:cs="Arial"/>
          <w:sz w:val="26"/>
          <w:szCs w:val="26"/>
          <w:lang w:val="es-ES"/>
        </w:rPr>
        <w:t xml:space="preserve">dictada por la Cuarta Sala Civil del Tribunal Superior de Justicia de la Ciudad de México, la cual </w:t>
      </w:r>
      <w:r w:rsidR="0091288B" w:rsidRPr="003F6B95">
        <w:rPr>
          <w:rFonts w:cs="Arial"/>
          <w:sz w:val="26"/>
          <w:szCs w:val="26"/>
          <w:lang w:val="es-ES"/>
        </w:rPr>
        <w:t xml:space="preserve">se contiene en el </w:t>
      </w:r>
      <w:r w:rsidRPr="003F6B95">
        <w:rPr>
          <w:rFonts w:cs="Arial"/>
          <w:sz w:val="26"/>
          <w:szCs w:val="26"/>
          <w:lang w:val="es-ES"/>
        </w:rPr>
        <w:t>toca de apelación civil n</w:t>
      </w:r>
      <w:r w:rsidRPr="003F6B95">
        <w:rPr>
          <w:rFonts w:cs="Arial"/>
          <w:color w:val="000000" w:themeColor="text1"/>
          <w:sz w:val="26"/>
          <w:szCs w:val="26"/>
          <w:lang w:val="es-ES"/>
        </w:rPr>
        <w:t xml:space="preserve">úmero 255/2019-I, </w:t>
      </w:r>
      <w:r w:rsidRPr="003F6B95">
        <w:rPr>
          <w:rFonts w:cs="Arial"/>
          <w:sz w:val="26"/>
          <w:szCs w:val="26"/>
          <w:lang w:val="es-ES"/>
        </w:rPr>
        <w:t>de su índice.</w:t>
      </w:r>
    </w:p>
    <w:p w14:paraId="5EE9FBC8" w14:textId="77777777" w:rsidR="00FE19EA" w:rsidRPr="003F6B95" w:rsidRDefault="00FE19EA" w:rsidP="00AF7D6E">
      <w:pPr>
        <w:pStyle w:val="corte4fondo"/>
        <w:tabs>
          <w:tab w:val="left" w:pos="0"/>
        </w:tabs>
        <w:ind w:right="51" w:firstLine="0"/>
        <w:rPr>
          <w:rFonts w:cs="Arial"/>
          <w:sz w:val="26"/>
          <w:szCs w:val="26"/>
        </w:rPr>
      </w:pPr>
    </w:p>
    <w:p w14:paraId="6E4EBA3F" w14:textId="790E8B70" w:rsidR="004B16E6" w:rsidRPr="003F6B95" w:rsidRDefault="004B16E6" w:rsidP="004B16E6">
      <w:pPr>
        <w:spacing w:line="360" w:lineRule="auto"/>
        <w:jc w:val="center"/>
        <w:rPr>
          <w:rFonts w:ascii="Arial" w:hAnsi="Arial" w:cs="Arial"/>
          <w:b/>
          <w:sz w:val="26"/>
          <w:szCs w:val="26"/>
          <w:lang w:val="es-ES_tradnl"/>
        </w:rPr>
      </w:pPr>
      <w:r w:rsidRPr="003F6B95">
        <w:rPr>
          <w:rFonts w:ascii="Arial" w:hAnsi="Arial" w:cs="Arial"/>
          <w:b/>
          <w:sz w:val="26"/>
          <w:szCs w:val="26"/>
          <w:lang w:val="es-ES_tradnl"/>
        </w:rPr>
        <w:t>V. CAUSAS DE IMPROCEDENCIA</w:t>
      </w:r>
    </w:p>
    <w:p w14:paraId="17C5B4DA" w14:textId="23ADD631" w:rsidR="00FB5580" w:rsidRPr="003F6B95" w:rsidRDefault="004B16E6" w:rsidP="00EC4800">
      <w:pPr>
        <w:pStyle w:val="corte4fondo"/>
        <w:numPr>
          <w:ilvl w:val="0"/>
          <w:numId w:val="2"/>
        </w:numPr>
        <w:tabs>
          <w:tab w:val="left" w:pos="0"/>
        </w:tabs>
        <w:spacing w:before="240"/>
        <w:ind w:left="0" w:right="51" w:hanging="425"/>
        <w:rPr>
          <w:rFonts w:cs="Arial"/>
          <w:sz w:val="26"/>
          <w:szCs w:val="26"/>
        </w:rPr>
      </w:pPr>
      <w:r w:rsidRPr="003F6B95">
        <w:rPr>
          <w:rFonts w:eastAsia="Calibri" w:cs="Arial"/>
          <w:sz w:val="26"/>
          <w:szCs w:val="26"/>
        </w:rPr>
        <w:t>En el caso, las partes no hicieron valer causas de improcedenci</w:t>
      </w:r>
      <w:r w:rsidR="0091288B" w:rsidRPr="003F6B95">
        <w:rPr>
          <w:rFonts w:eastAsia="Calibri" w:cs="Arial"/>
          <w:sz w:val="26"/>
          <w:szCs w:val="26"/>
        </w:rPr>
        <w:t>a. D</w:t>
      </w:r>
      <w:r w:rsidRPr="003F6B95">
        <w:rPr>
          <w:rFonts w:eastAsia="Calibri" w:cs="Arial"/>
          <w:sz w:val="26"/>
          <w:szCs w:val="26"/>
        </w:rPr>
        <w:t>e oficio</w:t>
      </w:r>
      <w:r w:rsidR="0091288B" w:rsidRPr="003F6B95">
        <w:rPr>
          <w:rFonts w:eastAsia="Calibri" w:cs="Arial"/>
          <w:sz w:val="26"/>
          <w:szCs w:val="26"/>
        </w:rPr>
        <w:t>, est</w:t>
      </w:r>
      <w:r w:rsidR="00AA32AE">
        <w:rPr>
          <w:rFonts w:eastAsia="Calibri" w:cs="Arial"/>
          <w:sz w:val="26"/>
          <w:szCs w:val="26"/>
        </w:rPr>
        <w:t>a Primera Sala</w:t>
      </w:r>
      <w:r w:rsidR="007A0BB6" w:rsidRPr="003F6B95">
        <w:rPr>
          <w:rFonts w:eastAsia="Calibri" w:cs="Arial"/>
          <w:sz w:val="26"/>
          <w:szCs w:val="26"/>
        </w:rPr>
        <w:t xml:space="preserve"> </w:t>
      </w:r>
      <w:r w:rsidR="0091288B" w:rsidRPr="003F6B95">
        <w:rPr>
          <w:rFonts w:eastAsia="Calibri" w:cs="Arial"/>
          <w:sz w:val="26"/>
          <w:szCs w:val="26"/>
        </w:rPr>
        <w:t xml:space="preserve">tampoco </w:t>
      </w:r>
      <w:r w:rsidRPr="003F6B95">
        <w:rPr>
          <w:rFonts w:eastAsia="Calibri" w:cs="Arial"/>
          <w:sz w:val="26"/>
          <w:szCs w:val="26"/>
        </w:rPr>
        <w:t>advierte su actualización</w:t>
      </w:r>
      <w:r w:rsidRPr="003F6B95">
        <w:rPr>
          <w:rFonts w:cs="Arial"/>
          <w:sz w:val="26"/>
          <w:szCs w:val="26"/>
        </w:rPr>
        <w:t>.</w:t>
      </w:r>
    </w:p>
    <w:p w14:paraId="36E85C60" w14:textId="77777777" w:rsidR="00EA61B5" w:rsidRPr="003F6B95" w:rsidRDefault="00EA61B5" w:rsidP="00F5646A">
      <w:pPr>
        <w:pStyle w:val="corte4fondo"/>
        <w:ind w:right="51" w:firstLine="0"/>
        <w:rPr>
          <w:rFonts w:cs="Arial"/>
          <w:sz w:val="26"/>
          <w:szCs w:val="26"/>
        </w:rPr>
      </w:pPr>
    </w:p>
    <w:p w14:paraId="5858F05D" w14:textId="0645301E" w:rsidR="00FB5580" w:rsidRPr="003F6B95" w:rsidRDefault="00FB5580" w:rsidP="00394C0D">
      <w:pPr>
        <w:pStyle w:val="corte4fondo"/>
        <w:keepNext/>
        <w:ind w:right="51" w:firstLine="0"/>
        <w:jc w:val="center"/>
        <w:rPr>
          <w:rFonts w:cs="Arial"/>
          <w:b/>
          <w:bCs/>
          <w:sz w:val="26"/>
          <w:szCs w:val="26"/>
        </w:rPr>
      </w:pPr>
      <w:r w:rsidRPr="003F6B95">
        <w:rPr>
          <w:rFonts w:cs="Arial"/>
          <w:b/>
          <w:bCs/>
          <w:sz w:val="26"/>
          <w:szCs w:val="26"/>
        </w:rPr>
        <w:t>VI. ESTUDIO DE FONDO</w:t>
      </w:r>
    </w:p>
    <w:p w14:paraId="5CD7BAE7" w14:textId="6C35CB38" w:rsidR="00185052" w:rsidRPr="003F6B95" w:rsidRDefault="00AF36A8" w:rsidP="1A9D0C58">
      <w:pPr>
        <w:pStyle w:val="corte4fondo"/>
        <w:numPr>
          <w:ilvl w:val="0"/>
          <w:numId w:val="2"/>
        </w:numPr>
        <w:spacing w:before="240"/>
        <w:ind w:left="0" w:right="51" w:hanging="425"/>
        <w:rPr>
          <w:rFonts w:cs="Arial"/>
          <w:sz w:val="26"/>
          <w:szCs w:val="26"/>
          <w:lang w:val="es-ES"/>
        </w:rPr>
      </w:pPr>
      <w:r w:rsidRPr="003F6B95">
        <w:rPr>
          <w:rFonts w:cs="Arial"/>
          <w:sz w:val="26"/>
          <w:szCs w:val="26"/>
        </w:rPr>
        <w:t xml:space="preserve">De forma </w:t>
      </w:r>
      <w:r w:rsidR="005818ED" w:rsidRPr="003F6B95">
        <w:rPr>
          <w:rFonts w:cs="Arial"/>
          <w:sz w:val="26"/>
          <w:szCs w:val="26"/>
        </w:rPr>
        <w:t>preliminar</w:t>
      </w:r>
      <w:r w:rsidR="00CA1339" w:rsidRPr="003F6B95">
        <w:rPr>
          <w:rFonts w:cs="Arial"/>
          <w:sz w:val="26"/>
          <w:szCs w:val="26"/>
        </w:rPr>
        <w:t xml:space="preserve">, esta Primera Sala </w:t>
      </w:r>
      <w:r w:rsidRPr="003F6B95">
        <w:rPr>
          <w:rFonts w:cs="Arial"/>
          <w:sz w:val="26"/>
          <w:szCs w:val="26"/>
        </w:rPr>
        <w:t xml:space="preserve">advierte que los primeros cuatro conceptos de violación </w:t>
      </w:r>
      <w:r w:rsidR="00D6374D" w:rsidRPr="003F6B95">
        <w:rPr>
          <w:rFonts w:cs="Arial"/>
          <w:sz w:val="26"/>
          <w:szCs w:val="26"/>
        </w:rPr>
        <w:t xml:space="preserve">tienen como </w:t>
      </w:r>
      <w:r w:rsidR="00250930" w:rsidRPr="003F6B95">
        <w:rPr>
          <w:rFonts w:cs="Arial"/>
          <w:sz w:val="26"/>
          <w:szCs w:val="26"/>
        </w:rPr>
        <w:t>reclamo</w:t>
      </w:r>
      <w:r w:rsidR="00D6374D" w:rsidRPr="003F6B95">
        <w:rPr>
          <w:rFonts w:cs="Arial"/>
          <w:sz w:val="26"/>
          <w:szCs w:val="26"/>
        </w:rPr>
        <w:t xml:space="preserve"> transversal, en esencia, </w:t>
      </w:r>
      <w:r w:rsidR="00743D73" w:rsidRPr="003F6B95">
        <w:rPr>
          <w:rFonts w:cs="Arial"/>
          <w:sz w:val="26"/>
          <w:szCs w:val="26"/>
        </w:rPr>
        <w:t xml:space="preserve">i) </w:t>
      </w:r>
      <w:r w:rsidR="00D6374D" w:rsidRPr="003F6B95">
        <w:rPr>
          <w:rFonts w:cs="Arial"/>
          <w:sz w:val="26"/>
          <w:szCs w:val="26"/>
        </w:rPr>
        <w:t>el i</w:t>
      </w:r>
      <w:r w:rsidR="00260705" w:rsidRPr="003F6B95">
        <w:rPr>
          <w:rFonts w:cs="Arial"/>
          <w:sz w:val="26"/>
          <w:szCs w:val="26"/>
        </w:rPr>
        <w:t xml:space="preserve">ncumplimiento de la obligación de juzgar con perspectiva </w:t>
      </w:r>
      <w:r w:rsidR="00D6374D" w:rsidRPr="003F6B95">
        <w:rPr>
          <w:rFonts w:cs="Arial"/>
          <w:sz w:val="26"/>
          <w:szCs w:val="26"/>
        </w:rPr>
        <w:t xml:space="preserve">de género ante </w:t>
      </w:r>
      <w:r w:rsidR="00D6374D" w:rsidRPr="003F6B95">
        <w:rPr>
          <w:rFonts w:eastAsia="Calibri" w:cs="Arial"/>
          <w:sz w:val="26"/>
          <w:szCs w:val="26"/>
        </w:rPr>
        <w:lastRenderedPageBreak/>
        <w:t>hechos</w:t>
      </w:r>
      <w:r w:rsidR="00D6374D" w:rsidRPr="003F6B95">
        <w:rPr>
          <w:rFonts w:cs="Arial"/>
          <w:sz w:val="26"/>
          <w:szCs w:val="26"/>
        </w:rPr>
        <w:t xml:space="preserve"> discriminatorios perpetuados en contra de personas de la </w:t>
      </w:r>
      <w:r w:rsidR="00315DAD">
        <w:rPr>
          <w:rFonts w:cs="Arial"/>
          <w:sz w:val="26"/>
          <w:szCs w:val="26"/>
        </w:rPr>
        <w:t>población</w:t>
      </w:r>
      <w:r w:rsidR="00D6374D" w:rsidRPr="003F6B95">
        <w:rPr>
          <w:rFonts w:cs="Arial"/>
          <w:sz w:val="26"/>
          <w:szCs w:val="26"/>
        </w:rPr>
        <w:t xml:space="preserve"> LGBTI</w:t>
      </w:r>
      <w:r w:rsidR="004A3B3F">
        <w:rPr>
          <w:rFonts w:cs="Arial"/>
          <w:sz w:val="26"/>
          <w:szCs w:val="26"/>
        </w:rPr>
        <w:t>Q</w:t>
      </w:r>
      <w:r w:rsidR="00D6374D" w:rsidRPr="003F6B95">
        <w:rPr>
          <w:rFonts w:cs="Arial"/>
          <w:sz w:val="26"/>
          <w:szCs w:val="26"/>
        </w:rPr>
        <w:t xml:space="preserve">+; </w:t>
      </w:r>
      <w:r w:rsidR="00743D73" w:rsidRPr="003F6B95">
        <w:rPr>
          <w:rFonts w:cs="Arial"/>
          <w:sz w:val="26"/>
          <w:szCs w:val="26"/>
        </w:rPr>
        <w:t xml:space="preserve">ii) </w:t>
      </w:r>
      <w:r w:rsidR="00D6374D" w:rsidRPr="003F6B95">
        <w:rPr>
          <w:rFonts w:cs="Arial"/>
          <w:sz w:val="26"/>
          <w:szCs w:val="26"/>
        </w:rPr>
        <w:t>un</w:t>
      </w:r>
      <w:r w:rsidR="0033172E" w:rsidRPr="003F6B95">
        <w:rPr>
          <w:rFonts w:cs="Arial"/>
          <w:sz w:val="26"/>
          <w:szCs w:val="26"/>
        </w:rPr>
        <w:t xml:space="preserve"> entendimiento incorrecto</w:t>
      </w:r>
      <w:r w:rsidR="00D6374D" w:rsidRPr="003F6B95">
        <w:rPr>
          <w:rFonts w:cs="Arial"/>
          <w:sz w:val="26"/>
          <w:szCs w:val="26"/>
        </w:rPr>
        <w:t xml:space="preserve"> </w:t>
      </w:r>
      <w:r w:rsidR="0033172E" w:rsidRPr="003F6B95">
        <w:rPr>
          <w:rFonts w:cs="Arial"/>
          <w:sz w:val="26"/>
          <w:szCs w:val="26"/>
        </w:rPr>
        <w:t xml:space="preserve">de </w:t>
      </w:r>
      <w:r w:rsidR="00D6374D" w:rsidRPr="003F6B95">
        <w:rPr>
          <w:rFonts w:cs="Arial"/>
          <w:sz w:val="26"/>
          <w:szCs w:val="26"/>
        </w:rPr>
        <w:t xml:space="preserve">dicha metodología en la valoración de las pruebas y el acreditamiento de los hechos ilícitos </w:t>
      </w:r>
      <w:r w:rsidR="00AD7499" w:rsidRPr="003F6B95">
        <w:rPr>
          <w:rFonts w:cs="Arial"/>
          <w:sz w:val="26"/>
          <w:szCs w:val="26"/>
        </w:rPr>
        <w:t xml:space="preserve">alegados </w:t>
      </w:r>
      <w:r w:rsidR="00D6374D" w:rsidRPr="003F6B95">
        <w:rPr>
          <w:rFonts w:cs="Arial"/>
          <w:sz w:val="26"/>
          <w:szCs w:val="26"/>
        </w:rPr>
        <w:t>y el daño moral</w:t>
      </w:r>
      <w:r w:rsidR="00AD7499" w:rsidRPr="003F6B95">
        <w:rPr>
          <w:rFonts w:cs="Arial"/>
          <w:sz w:val="26"/>
          <w:szCs w:val="26"/>
        </w:rPr>
        <w:t xml:space="preserve"> consecuente</w:t>
      </w:r>
      <w:r w:rsidR="002708C7" w:rsidRPr="003F6B95">
        <w:rPr>
          <w:rFonts w:cs="Arial"/>
          <w:sz w:val="26"/>
          <w:szCs w:val="26"/>
        </w:rPr>
        <w:t>, así como</w:t>
      </w:r>
      <w:r w:rsidR="00743D73" w:rsidRPr="003F6B95">
        <w:rPr>
          <w:rFonts w:cs="Arial"/>
          <w:sz w:val="26"/>
          <w:szCs w:val="26"/>
        </w:rPr>
        <w:t xml:space="preserve"> iii)</w:t>
      </w:r>
      <w:r w:rsidR="002708C7" w:rsidRPr="003F6B95">
        <w:rPr>
          <w:rFonts w:cs="Arial"/>
          <w:sz w:val="26"/>
          <w:szCs w:val="26"/>
        </w:rPr>
        <w:t xml:space="preserve"> un</w:t>
      </w:r>
      <w:r w:rsidR="00250930" w:rsidRPr="003F6B95">
        <w:rPr>
          <w:rFonts w:cs="Arial"/>
          <w:sz w:val="26"/>
          <w:szCs w:val="26"/>
        </w:rPr>
        <w:t>a incorrecta apreciación del alcance de</w:t>
      </w:r>
      <w:r w:rsidR="00C96D76" w:rsidRPr="003F6B95">
        <w:rPr>
          <w:rFonts w:cs="Arial"/>
          <w:sz w:val="26"/>
          <w:szCs w:val="26"/>
        </w:rPr>
        <w:t xml:space="preserve">l convenio </w:t>
      </w:r>
      <w:r w:rsidR="00250930" w:rsidRPr="003F6B95">
        <w:rPr>
          <w:rFonts w:cs="Arial"/>
          <w:sz w:val="26"/>
          <w:szCs w:val="26"/>
        </w:rPr>
        <w:t xml:space="preserve">de conciliación </w:t>
      </w:r>
      <w:r w:rsidR="00C96D76" w:rsidRPr="003F6B95">
        <w:rPr>
          <w:rFonts w:cs="Arial"/>
          <w:sz w:val="26"/>
          <w:szCs w:val="26"/>
        </w:rPr>
        <w:t xml:space="preserve">celebrado por </w:t>
      </w:r>
      <w:r w:rsidR="00250930" w:rsidRPr="003F6B95">
        <w:rPr>
          <w:rFonts w:cs="Arial"/>
          <w:sz w:val="26"/>
          <w:szCs w:val="26"/>
        </w:rPr>
        <w:t xml:space="preserve">el COPRED, </w:t>
      </w:r>
      <w:r w:rsidR="00354B7C" w:rsidRPr="003F6B95">
        <w:rPr>
          <w:rFonts w:cs="Arial"/>
          <w:sz w:val="26"/>
          <w:szCs w:val="26"/>
        </w:rPr>
        <w:t>frente a la posibilidad de las quejosas de reclamar medidas de reparación integral</w:t>
      </w:r>
      <w:r w:rsidR="00007298" w:rsidRPr="003F6B95">
        <w:rPr>
          <w:rFonts w:cs="Arial"/>
          <w:sz w:val="26"/>
          <w:szCs w:val="26"/>
        </w:rPr>
        <w:t xml:space="preserve"> </w:t>
      </w:r>
      <w:r w:rsidR="00354B7C" w:rsidRPr="003F6B95">
        <w:rPr>
          <w:rFonts w:cs="Arial"/>
          <w:sz w:val="26"/>
          <w:szCs w:val="26"/>
        </w:rPr>
        <w:t>en un procedimiento judicial posterior.</w:t>
      </w:r>
      <w:r w:rsidR="006825EB" w:rsidRPr="003F6B95">
        <w:rPr>
          <w:rFonts w:cs="Arial"/>
          <w:sz w:val="26"/>
          <w:szCs w:val="26"/>
        </w:rPr>
        <w:t xml:space="preserve"> </w:t>
      </w:r>
    </w:p>
    <w:p w14:paraId="1D16B909" w14:textId="77777777" w:rsidR="00185052" w:rsidRPr="003F6B95" w:rsidRDefault="00185052" w:rsidP="002628AD">
      <w:pPr>
        <w:pStyle w:val="corte4fondo"/>
        <w:tabs>
          <w:tab w:val="left" w:pos="0"/>
        </w:tabs>
        <w:ind w:right="51" w:firstLine="0"/>
        <w:rPr>
          <w:rFonts w:cs="Arial"/>
          <w:sz w:val="26"/>
          <w:szCs w:val="26"/>
        </w:rPr>
      </w:pPr>
    </w:p>
    <w:p w14:paraId="1774670C" w14:textId="301589C8" w:rsidR="00621168" w:rsidRPr="003F6B95" w:rsidRDefault="006825EB" w:rsidP="00185052">
      <w:pPr>
        <w:pStyle w:val="corte4fondo"/>
        <w:numPr>
          <w:ilvl w:val="0"/>
          <w:numId w:val="2"/>
        </w:numPr>
        <w:tabs>
          <w:tab w:val="left" w:pos="0"/>
        </w:tabs>
        <w:ind w:left="0" w:right="51" w:hanging="425"/>
        <w:rPr>
          <w:rFonts w:cs="Arial"/>
          <w:sz w:val="26"/>
          <w:szCs w:val="26"/>
        </w:rPr>
      </w:pPr>
      <w:r w:rsidRPr="003F6B95">
        <w:rPr>
          <w:rFonts w:cs="Arial"/>
          <w:sz w:val="26"/>
          <w:szCs w:val="26"/>
        </w:rPr>
        <w:t xml:space="preserve">Por </w:t>
      </w:r>
      <w:r w:rsidR="00BD1BF2" w:rsidRPr="003F6B95">
        <w:rPr>
          <w:rFonts w:cs="Arial"/>
          <w:sz w:val="26"/>
          <w:szCs w:val="26"/>
        </w:rPr>
        <w:t>otra</w:t>
      </w:r>
      <w:r w:rsidRPr="003F6B95">
        <w:rPr>
          <w:rFonts w:cs="Arial"/>
          <w:sz w:val="26"/>
          <w:szCs w:val="26"/>
        </w:rPr>
        <w:t xml:space="preserve"> parte, en el quinto concepto de violación, las quejosas </w:t>
      </w:r>
      <w:r w:rsidR="00BD1BF2" w:rsidRPr="003F6B95">
        <w:rPr>
          <w:rFonts w:cs="Arial"/>
          <w:sz w:val="26"/>
          <w:szCs w:val="26"/>
        </w:rPr>
        <w:t>desarrollan</w:t>
      </w:r>
      <w:r w:rsidR="00D807C6" w:rsidRPr="003F6B95">
        <w:rPr>
          <w:rFonts w:cs="Arial"/>
          <w:sz w:val="26"/>
          <w:szCs w:val="26"/>
        </w:rPr>
        <w:t xml:space="preserve"> dos reclamos relacionados con violaciones </w:t>
      </w:r>
      <w:r w:rsidR="0035612B" w:rsidRPr="003F6B95">
        <w:rPr>
          <w:rFonts w:cs="Arial"/>
          <w:sz w:val="26"/>
          <w:szCs w:val="26"/>
        </w:rPr>
        <w:t xml:space="preserve">al </w:t>
      </w:r>
      <w:r w:rsidR="00D807C6" w:rsidRPr="003F6B95">
        <w:rPr>
          <w:rFonts w:cs="Arial"/>
          <w:sz w:val="26"/>
          <w:szCs w:val="26"/>
        </w:rPr>
        <w:t xml:space="preserve">procedimiento. </w:t>
      </w:r>
      <w:r w:rsidR="009A74ED" w:rsidRPr="003F6B95">
        <w:rPr>
          <w:rFonts w:cs="Arial"/>
          <w:sz w:val="26"/>
          <w:szCs w:val="26"/>
        </w:rPr>
        <w:t xml:space="preserve">Dado que los </w:t>
      </w:r>
      <w:r w:rsidR="00B321B7" w:rsidRPr="003F6B95">
        <w:rPr>
          <w:rFonts w:cs="Arial"/>
          <w:sz w:val="26"/>
          <w:szCs w:val="26"/>
        </w:rPr>
        <w:t>planteamientos</w:t>
      </w:r>
      <w:r w:rsidR="009A74ED" w:rsidRPr="003F6B95">
        <w:rPr>
          <w:rFonts w:cs="Arial"/>
          <w:sz w:val="26"/>
          <w:szCs w:val="26"/>
        </w:rPr>
        <w:t xml:space="preserve"> sobre violaciones </w:t>
      </w:r>
      <w:r w:rsidR="003D1C58">
        <w:rPr>
          <w:rFonts w:cs="Arial"/>
          <w:sz w:val="26"/>
          <w:szCs w:val="26"/>
        </w:rPr>
        <w:t>procesales</w:t>
      </w:r>
      <w:r w:rsidR="009A74ED" w:rsidRPr="003F6B95">
        <w:rPr>
          <w:rFonts w:cs="Arial"/>
          <w:sz w:val="26"/>
          <w:szCs w:val="26"/>
        </w:rPr>
        <w:t xml:space="preserve"> son de estudio </w:t>
      </w:r>
      <w:r w:rsidR="000A5004" w:rsidRPr="003F6B95">
        <w:rPr>
          <w:rFonts w:cs="Arial"/>
          <w:sz w:val="26"/>
          <w:szCs w:val="26"/>
        </w:rPr>
        <w:t>preferente, a continuación, esta Primera Sala dará respuesta a tales motivos de inconformidad</w:t>
      </w:r>
      <w:r w:rsidR="007F037D" w:rsidRPr="003F6B95">
        <w:rPr>
          <w:rFonts w:cs="Arial"/>
          <w:sz w:val="26"/>
          <w:szCs w:val="26"/>
        </w:rPr>
        <w:t xml:space="preserve"> (A)</w:t>
      </w:r>
      <w:r w:rsidR="000A5004" w:rsidRPr="003F6B95">
        <w:rPr>
          <w:rFonts w:cs="Arial"/>
          <w:sz w:val="26"/>
          <w:szCs w:val="26"/>
        </w:rPr>
        <w:t xml:space="preserve">, para, en su caso, posteriormente atender el resto de los conceptos de violación </w:t>
      </w:r>
      <w:r w:rsidR="007F037D" w:rsidRPr="003F6B95">
        <w:rPr>
          <w:rFonts w:cs="Arial"/>
          <w:sz w:val="26"/>
          <w:szCs w:val="26"/>
        </w:rPr>
        <w:t>relacionados con el fondo de la controversia (B)</w:t>
      </w:r>
      <w:r w:rsidR="000A5004" w:rsidRPr="003F6B95">
        <w:rPr>
          <w:rFonts w:cs="Arial"/>
          <w:sz w:val="26"/>
          <w:szCs w:val="26"/>
        </w:rPr>
        <w:t>.</w:t>
      </w:r>
    </w:p>
    <w:p w14:paraId="136C200D" w14:textId="77777777" w:rsidR="007F037D" w:rsidRPr="003F6B95" w:rsidRDefault="007F037D" w:rsidP="002628AD">
      <w:pPr>
        <w:pStyle w:val="corte4fondo"/>
        <w:tabs>
          <w:tab w:val="left" w:pos="0"/>
        </w:tabs>
        <w:ind w:right="51" w:firstLine="0"/>
        <w:rPr>
          <w:rFonts w:cs="Arial"/>
          <w:sz w:val="26"/>
          <w:szCs w:val="26"/>
        </w:rPr>
      </w:pPr>
    </w:p>
    <w:p w14:paraId="11F3A42A" w14:textId="7407FB88" w:rsidR="00AE5B9E" w:rsidRPr="003F6B95" w:rsidRDefault="00CC1CD5" w:rsidP="002628AD">
      <w:pPr>
        <w:pStyle w:val="corte4fondo"/>
        <w:tabs>
          <w:tab w:val="left" w:pos="0"/>
        </w:tabs>
        <w:ind w:right="51" w:firstLine="0"/>
        <w:jc w:val="center"/>
        <w:rPr>
          <w:rFonts w:cs="Arial"/>
          <w:sz w:val="26"/>
          <w:szCs w:val="26"/>
        </w:rPr>
      </w:pPr>
      <w:r w:rsidRPr="003F6B95">
        <w:rPr>
          <w:rFonts w:cs="Arial"/>
          <w:b/>
          <w:bCs/>
          <w:sz w:val="26"/>
          <w:szCs w:val="26"/>
        </w:rPr>
        <w:t>A) CONCEPTO DE VIOLACIÓN RELACIONADO CON VIOLACIONES</w:t>
      </w:r>
      <w:r w:rsidR="003D1C58">
        <w:rPr>
          <w:rFonts w:cs="Arial"/>
          <w:b/>
          <w:bCs/>
          <w:sz w:val="26"/>
          <w:szCs w:val="26"/>
        </w:rPr>
        <w:t xml:space="preserve"> PROCESALES</w:t>
      </w:r>
    </w:p>
    <w:p w14:paraId="6D8FEB51" w14:textId="29D36836" w:rsidR="00560135" w:rsidRPr="005229E1" w:rsidRDefault="00FB4C40" w:rsidP="002628AD">
      <w:pPr>
        <w:pStyle w:val="corte4fondo"/>
        <w:spacing w:before="240"/>
        <w:ind w:right="51" w:firstLine="0"/>
        <w:rPr>
          <w:rFonts w:cs="Arial"/>
          <w:b/>
          <w:bCs/>
          <w:sz w:val="26"/>
          <w:szCs w:val="26"/>
        </w:rPr>
      </w:pPr>
      <w:r w:rsidRPr="003F6B95">
        <w:rPr>
          <w:rFonts w:cs="Arial"/>
          <w:b/>
          <w:bCs/>
          <w:sz w:val="26"/>
          <w:szCs w:val="26"/>
        </w:rPr>
        <w:t>i</w:t>
      </w:r>
      <w:r w:rsidR="00417C1A" w:rsidRPr="003F6B95">
        <w:rPr>
          <w:rFonts w:cs="Arial"/>
          <w:b/>
          <w:bCs/>
          <w:sz w:val="26"/>
          <w:szCs w:val="26"/>
        </w:rPr>
        <w:t>)</w:t>
      </w:r>
      <w:r w:rsidRPr="003F6B95">
        <w:rPr>
          <w:rFonts w:cs="Arial"/>
          <w:b/>
          <w:bCs/>
          <w:sz w:val="26"/>
          <w:szCs w:val="26"/>
        </w:rPr>
        <w:t xml:space="preserve"> </w:t>
      </w:r>
      <w:r w:rsidR="00C76A19" w:rsidRPr="005229E1">
        <w:rPr>
          <w:rFonts w:cs="Arial"/>
          <w:b/>
          <w:bCs/>
          <w:sz w:val="26"/>
          <w:szCs w:val="26"/>
        </w:rPr>
        <w:t>V</w:t>
      </w:r>
      <w:r w:rsidR="00560135" w:rsidRPr="005229E1">
        <w:rPr>
          <w:rFonts w:cs="Arial"/>
          <w:b/>
          <w:bCs/>
          <w:sz w:val="26"/>
          <w:szCs w:val="26"/>
        </w:rPr>
        <w:t xml:space="preserve">iolación </w:t>
      </w:r>
      <w:r w:rsidR="003D1C58" w:rsidRPr="005229E1">
        <w:rPr>
          <w:rFonts w:cs="Arial"/>
          <w:b/>
          <w:bCs/>
          <w:sz w:val="26"/>
          <w:szCs w:val="26"/>
        </w:rPr>
        <w:t>procesal</w:t>
      </w:r>
      <w:r w:rsidR="00C76A19" w:rsidRPr="005229E1">
        <w:rPr>
          <w:rFonts w:cs="Arial"/>
          <w:b/>
          <w:bCs/>
          <w:sz w:val="26"/>
          <w:szCs w:val="26"/>
        </w:rPr>
        <w:t xml:space="preserve"> relacionada</w:t>
      </w:r>
      <w:r w:rsidR="00083FEF" w:rsidRPr="005229E1">
        <w:rPr>
          <w:rFonts w:cs="Arial"/>
          <w:b/>
          <w:bCs/>
          <w:sz w:val="26"/>
          <w:szCs w:val="26"/>
        </w:rPr>
        <w:t xml:space="preserve"> con </w:t>
      </w:r>
      <w:r w:rsidR="005932BF" w:rsidRPr="005229E1">
        <w:rPr>
          <w:rFonts w:cs="Arial"/>
          <w:b/>
          <w:bCs/>
          <w:sz w:val="26"/>
          <w:szCs w:val="26"/>
        </w:rPr>
        <w:t xml:space="preserve">tener como demandada a </w:t>
      </w:r>
      <w:r w:rsidR="00083FEF" w:rsidRPr="005229E1">
        <w:rPr>
          <w:rFonts w:cs="Arial"/>
          <w:b/>
          <w:bCs/>
          <w:sz w:val="26"/>
          <w:szCs w:val="26"/>
        </w:rPr>
        <w:t xml:space="preserve">la </w:t>
      </w:r>
      <w:r w:rsidR="00847A40" w:rsidRPr="005229E1">
        <w:rPr>
          <w:rFonts w:cs="Arial"/>
          <w:b/>
          <w:bCs/>
          <w:sz w:val="26"/>
          <w:szCs w:val="26"/>
        </w:rPr>
        <w:t xml:space="preserve">persona moral </w:t>
      </w:r>
      <w:r w:rsidR="00847A40" w:rsidRPr="005229E1">
        <w:rPr>
          <w:rFonts w:cs="Arial"/>
          <w:b/>
          <w:sz w:val="26"/>
          <w:szCs w:val="26"/>
        </w:rPr>
        <w:t>Danhos</w:t>
      </w:r>
      <w:r w:rsidR="00083FEF" w:rsidRPr="005229E1">
        <w:rPr>
          <w:rFonts w:cs="Arial"/>
          <w:b/>
          <w:sz w:val="26"/>
          <w:szCs w:val="26"/>
        </w:rPr>
        <w:t xml:space="preserve"> </w:t>
      </w:r>
    </w:p>
    <w:p w14:paraId="120E4B93" w14:textId="475CD3F0" w:rsidR="00CC147A" w:rsidRPr="003F6B95" w:rsidRDefault="0086536E" w:rsidP="001D52E4">
      <w:pPr>
        <w:pStyle w:val="corte4fondo"/>
        <w:numPr>
          <w:ilvl w:val="0"/>
          <w:numId w:val="2"/>
        </w:numPr>
        <w:spacing w:before="240"/>
        <w:ind w:left="0" w:right="51" w:hanging="426"/>
        <w:rPr>
          <w:rFonts w:cs="Arial"/>
          <w:sz w:val="26"/>
          <w:szCs w:val="26"/>
          <w:lang w:val="es-ES"/>
        </w:rPr>
      </w:pPr>
      <w:r w:rsidRPr="005229E1">
        <w:rPr>
          <w:rFonts w:cs="Arial"/>
          <w:bCs/>
          <w:sz w:val="26"/>
          <w:szCs w:val="26"/>
        </w:rPr>
        <w:t>E</w:t>
      </w:r>
      <w:r w:rsidR="00C851EF" w:rsidRPr="005229E1">
        <w:rPr>
          <w:rFonts w:cs="Arial"/>
          <w:bCs/>
          <w:sz w:val="26"/>
          <w:szCs w:val="26"/>
        </w:rPr>
        <w:t>n primer lugar,</w:t>
      </w:r>
      <w:r w:rsidRPr="005229E1">
        <w:rPr>
          <w:rFonts w:cs="Arial"/>
          <w:sz w:val="26"/>
          <w:szCs w:val="26"/>
          <w:lang w:val="es-ES"/>
        </w:rPr>
        <w:t xml:space="preserve"> e</w:t>
      </w:r>
      <w:r w:rsidR="00F919D0" w:rsidRPr="005229E1">
        <w:rPr>
          <w:rFonts w:cs="Arial"/>
          <w:sz w:val="26"/>
          <w:szCs w:val="26"/>
          <w:lang w:val="es-ES"/>
        </w:rPr>
        <w:t>sta Primera Sala recuerda que, en la sentencia de apelación, la sala responsable</w:t>
      </w:r>
      <w:r w:rsidR="00781A17" w:rsidRPr="005229E1">
        <w:rPr>
          <w:rFonts w:cs="Arial"/>
          <w:sz w:val="26"/>
          <w:szCs w:val="26"/>
          <w:lang w:val="es-ES"/>
        </w:rPr>
        <w:t xml:space="preserve"> </w:t>
      </w:r>
      <w:r w:rsidR="00CC147A" w:rsidRPr="005229E1">
        <w:rPr>
          <w:rFonts w:cs="Arial"/>
          <w:sz w:val="26"/>
          <w:szCs w:val="26"/>
          <w:lang w:val="es-ES"/>
        </w:rPr>
        <w:t xml:space="preserve">sostuvo que la </w:t>
      </w:r>
      <w:r w:rsidR="00737CEB" w:rsidRPr="005229E1">
        <w:rPr>
          <w:rFonts w:cs="Arial"/>
          <w:sz w:val="26"/>
          <w:szCs w:val="26"/>
          <w:lang w:val="es-ES"/>
        </w:rPr>
        <w:t>persona moral</w:t>
      </w:r>
      <w:r w:rsidR="00CC147A" w:rsidRPr="005229E1">
        <w:rPr>
          <w:rFonts w:cs="Arial"/>
          <w:sz w:val="26"/>
          <w:szCs w:val="26"/>
          <w:lang w:val="es-ES"/>
        </w:rPr>
        <w:t xml:space="preserve"> Danhos carec</w:t>
      </w:r>
      <w:r w:rsidR="00075DBB" w:rsidRPr="005229E1">
        <w:rPr>
          <w:rFonts w:cs="Arial"/>
          <w:sz w:val="26"/>
          <w:szCs w:val="26"/>
          <w:lang w:val="es-ES"/>
        </w:rPr>
        <w:t>ía</w:t>
      </w:r>
      <w:r w:rsidR="00CC147A" w:rsidRPr="005229E1">
        <w:rPr>
          <w:rFonts w:cs="Arial"/>
          <w:sz w:val="26"/>
          <w:szCs w:val="26"/>
          <w:lang w:val="es-ES"/>
        </w:rPr>
        <w:t xml:space="preserve"> de legitimación pasiva en la causa, ya que ésta únicamente construyó el centro comercial </w:t>
      </w:r>
      <w:r w:rsidR="0062425D" w:rsidRPr="005229E1">
        <w:rPr>
          <w:rFonts w:cs="Arial"/>
          <w:sz w:val="26"/>
          <w:szCs w:val="26"/>
          <w:lang w:val="es-ES"/>
        </w:rPr>
        <w:t>“</w:t>
      </w:r>
      <w:r w:rsidR="00CC147A" w:rsidRPr="005229E1">
        <w:rPr>
          <w:rFonts w:cs="Arial"/>
          <w:sz w:val="26"/>
          <w:szCs w:val="26"/>
          <w:lang w:val="es-ES"/>
        </w:rPr>
        <w:t>Reforma 222</w:t>
      </w:r>
      <w:r w:rsidR="0062425D" w:rsidRPr="005229E1">
        <w:rPr>
          <w:rFonts w:cs="Arial"/>
          <w:sz w:val="26"/>
          <w:szCs w:val="26"/>
          <w:lang w:val="es-ES"/>
        </w:rPr>
        <w:t>”,</w:t>
      </w:r>
      <w:r w:rsidR="00CC147A" w:rsidRPr="005229E1">
        <w:rPr>
          <w:rFonts w:cs="Arial"/>
          <w:sz w:val="26"/>
          <w:szCs w:val="26"/>
          <w:lang w:val="es-ES"/>
        </w:rPr>
        <w:t xml:space="preserve"> por </w:t>
      </w:r>
      <w:r w:rsidR="00CC147A" w:rsidRPr="003F6B95">
        <w:rPr>
          <w:rFonts w:cs="Arial"/>
          <w:sz w:val="26"/>
          <w:szCs w:val="26"/>
          <w:lang w:val="es-ES"/>
        </w:rPr>
        <w:t>lo que no se encontraba obligada a responder por las prestaciones exigidas en juicio</w:t>
      </w:r>
      <w:r w:rsidR="00075DBB" w:rsidRPr="003F6B95">
        <w:rPr>
          <w:rFonts w:cs="Arial"/>
          <w:sz w:val="26"/>
          <w:szCs w:val="26"/>
          <w:lang w:val="es-ES"/>
        </w:rPr>
        <w:t>,</w:t>
      </w:r>
      <w:r w:rsidR="00CC147A" w:rsidRPr="003F6B95">
        <w:rPr>
          <w:rFonts w:cs="Arial"/>
          <w:sz w:val="26"/>
          <w:szCs w:val="26"/>
          <w:lang w:val="es-ES"/>
        </w:rPr>
        <w:t xml:space="preserve"> ni cuando se celebró el convenio ante COPRED. Asimismo, </w:t>
      </w:r>
      <w:r w:rsidR="00075DBB" w:rsidRPr="003F6B95">
        <w:rPr>
          <w:rFonts w:cs="Arial"/>
          <w:sz w:val="26"/>
          <w:szCs w:val="26"/>
          <w:lang w:val="es-ES"/>
        </w:rPr>
        <w:t xml:space="preserve">la sala </w:t>
      </w:r>
      <w:r w:rsidR="00D96D1A" w:rsidRPr="005229E1">
        <w:rPr>
          <w:rFonts w:cs="Arial"/>
          <w:sz w:val="26"/>
          <w:szCs w:val="26"/>
          <w:lang w:val="es-ES"/>
        </w:rPr>
        <w:t xml:space="preserve">señaló </w:t>
      </w:r>
      <w:r w:rsidR="00075DBB" w:rsidRPr="005229E1">
        <w:rPr>
          <w:rFonts w:cs="Arial"/>
          <w:sz w:val="26"/>
          <w:szCs w:val="26"/>
          <w:lang w:val="es-ES"/>
        </w:rPr>
        <w:t xml:space="preserve">que </w:t>
      </w:r>
      <w:r w:rsidR="00CC147A" w:rsidRPr="005229E1">
        <w:rPr>
          <w:rFonts w:cs="Arial"/>
          <w:sz w:val="26"/>
          <w:szCs w:val="26"/>
          <w:lang w:val="es-ES"/>
        </w:rPr>
        <w:t>de las constancias derivadas del procedimiento de conciliación se desprend</w:t>
      </w:r>
      <w:r w:rsidR="00F92B04" w:rsidRPr="005229E1">
        <w:rPr>
          <w:rFonts w:cs="Arial"/>
          <w:sz w:val="26"/>
          <w:szCs w:val="26"/>
          <w:lang w:val="es-ES"/>
        </w:rPr>
        <w:t>ía</w:t>
      </w:r>
      <w:r w:rsidR="00CC147A" w:rsidRPr="005229E1">
        <w:rPr>
          <w:rFonts w:cs="Arial"/>
          <w:sz w:val="26"/>
          <w:szCs w:val="26"/>
          <w:lang w:val="es-ES"/>
        </w:rPr>
        <w:t xml:space="preserve"> que Danhos </w:t>
      </w:r>
      <w:r w:rsidR="00CC147A" w:rsidRPr="003F6B95">
        <w:rPr>
          <w:rFonts w:cs="Arial"/>
          <w:sz w:val="26"/>
          <w:szCs w:val="26"/>
          <w:lang w:val="es-ES"/>
        </w:rPr>
        <w:t>no formó parte de</w:t>
      </w:r>
      <w:r w:rsidR="005557F2" w:rsidRPr="003F6B95">
        <w:rPr>
          <w:rFonts w:cs="Arial"/>
          <w:sz w:val="26"/>
          <w:szCs w:val="26"/>
          <w:lang w:val="es-ES"/>
        </w:rPr>
        <w:t xml:space="preserve"> tal procedimiento</w:t>
      </w:r>
      <w:r w:rsidR="00CC147A" w:rsidRPr="003F6B95">
        <w:rPr>
          <w:rFonts w:cs="Arial"/>
          <w:sz w:val="26"/>
          <w:szCs w:val="26"/>
          <w:lang w:val="es-ES"/>
        </w:rPr>
        <w:t xml:space="preserve"> ni del convenio celebrado entre las partes</w:t>
      </w:r>
      <w:r w:rsidR="00CC147A" w:rsidRPr="003F6B95">
        <w:rPr>
          <w:rStyle w:val="Refdenotaalpie"/>
          <w:rFonts w:cs="Arial"/>
          <w:sz w:val="26"/>
          <w:szCs w:val="26"/>
          <w:lang w:val="es-ES"/>
        </w:rPr>
        <w:footnoteReference w:id="27"/>
      </w:r>
      <w:r w:rsidR="00BA51D7" w:rsidRPr="003F6B95">
        <w:rPr>
          <w:rFonts w:cs="Arial"/>
          <w:sz w:val="26"/>
          <w:szCs w:val="26"/>
          <w:lang w:val="es-ES"/>
        </w:rPr>
        <w:t>.</w:t>
      </w:r>
      <w:r w:rsidR="008E7F81" w:rsidRPr="003F6B95">
        <w:rPr>
          <w:rFonts w:cs="Arial"/>
          <w:sz w:val="26"/>
          <w:szCs w:val="26"/>
          <w:lang w:val="es-ES"/>
        </w:rPr>
        <w:t xml:space="preserve"> </w:t>
      </w:r>
      <w:r w:rsidR="0088399B" w:rsidRPr="003F6B95">
        <w:rPr>
          <w:rFonts w:cs="Arial"/>
          <w:color w:val="000000" w:themeColor="text1"/>
          <w:sz w:val="26"/>
          <w:szCs w:val="26"/>
          <w:lang w:val="es-ES"/>
        </w:rPr>
        <w:t xml:space="preserve">Por lo anterior, la </w:t>
      </w:r>
      <w:r w:rsidR="005E3FFB" w:rsidRPr="003F6B95">
        <w:rPr>
          <w:rFonts w:cs="Arial"/>
          <w:color w:val="000000" w:themeColor="text1"/>
          <w:sz w:val="26"/>
          <w:szCs w:val="26"/>
          <w:lang w:val="es-ES"/>
        </w:rPr>
        <w:t>autoridad responsable</w:t>
      </w:r>
      <w:r w:rsidR="0088399B" w:rsidRPr="003F6B95">
        <w:rPr>
          <w:rFonts w:cs="Arial"/>
          <w:color w:val="000000" w:themeColor="text1"/>
          <w:sz w:val="26"/>
          <w:szCs w:val="26"/>
          <w:lang w:val="es-ES"/>
        </w:rPr>
        <w:t xml:space="preserve"> condenó</w:t>
      </w:r>
      <w:r w:rsidR="0088399B" w:rsidRPr="008153A0">
        <w:rPr>
          <w:rFonts w:cs="Arial"/>
          <w:color w:val="000000" w:themeColor="text1"/>
          <w:sz w:val="26"/>
          <w:szCs w:val="26"/>
          <w:lang w:val="es-ES"/>
        </w:rPr>
        <w:t xml:space="preserve"> </w:t>
      </w:r>
      <w:r w:rsidR="00C86F64" w:rsidRPr="008153A0">
        <w:rPr>
          <w:rFonts w:cs="Arial"/>
          <w:color w:val="000000" w:themeColor="text1"/>
          <w:sz w:val="26"/>
          <w:szCs w:val="26"/>
          <w:lang w:val="es-ES"/>
        </w:rPr>
        <w:t>i)</w:t>
      </w:r>
      <w:r w:rsidR="0088399B" w:rsidRPr="003F6B95">
        <w:rPr>
          <w:rFonts w:cs="Arial"/>
          <w:color w:val="000000" w:themeColor="text1"/>
          <w:sz w:val="26"/>
          <w:szCs w:val="26"/>
          <w:lang w:val="es-ES"/>
        </w:rPr>
        <w:t xml:space="preserve"> a las </w:t>
      </w:r>
      <w:r w:rsidR="00C86F64" w:rsidRPr="008153A0">
        <w:rPr>
          <w:rFonts w:cs="Arial"/>
          <w:color w:val="000000" w:themeColor="text1"/>
          <w:sz w:val="26"/>
          <w:szCs w:val="26"/>
          <w:lang w:val="es-ES"/>
        </w:rPr>
        <w:t>señoras</w:t>
      </w:r>
      <w:r w:rsidR="0088399B" w:rsidRPr="003F6B95">
        <w:rPr>
          <w:rFonts w:cs="Arial"/>
          <w:color w:val="FF0000"/>
          <w:sz w:val="26"/>
          <w:szCs w:val="26"/>
          <w:lang w:val="es-ES"/>
        </w:rPr>
        <w:t xml:space="preserve"> DF </w:t>
      </w:r>
      <w:r w:rsidR="0088399B" w:rsidRPr="003F6B95">
        <w:rPr>
          <w:rFonts w:cs="Arial"/>
          <w:sz w:val="26"/>
          <w:szCs w:val="26"/>
          <w:lang w:val="es-ES"/>
        </w:rPr>
        <w:t xml:space="preserve">y </w:t>
      </w:r>
      <w:r w:rsidR="0088399B" w:rsidRPr="003F6B95">
        <w:rPr>
          <w:rFonts w:cs="Arial"/>
          <w:color w:val="FF0000"/>
          <w:sz w:val="26"/>
          <w:szCs w:val="26"/>
          <w:lang w:val="es-ES"/>
        </w:rPr>
        <w:t>GB</w:t>
      </w:r>
      <w:r w:rsidR="0088399B" w:rsidRPr="003F6B95">
        <w:rPr>
          <w:rFonts w:cs="Arial"/>
          <w:color w:val="000000" w:themeColor="text1"/>
          <w:sz w:val="26"/>
          <w:szCs w:val="26"/>
          <w:lang w:val="es-ES"/>
        </w:rPr>
        <w:t xml:space="preserve"> al </w:t>
      </w:r>
      <w:r w:rsidR="00CC147A" w:rsidRPr="003F6B95">
        <w:rPr>
          <w:rFonts w:cs="Arial"/>
          <w:sz w:val="26"/>
          <w:szCs w:val="26"/>
          <w:lang w:val="es-ES"/>
        </w:rPr>
        <w:t xml:space="preserve">pago de gastos y costas en primera instancia a favor </w:t>
      </w:r>
      <w:r w:rsidR="00CC147A" w:rsidRPr="005229E1">
        <w:rPr>
          <w:rFonts w:cs="Arial"/>
          <w:sz w:val="26"/>
          <w:szCs w:val="26"/>
          <w:lang w:val="es-ES"/>
        </w:rPr>
        <w:t>de Danhos</w:t>
      </w:r>
      <w:r w:rsidR="002104A2" w:rsidRPr="005229E1">
        <w:rPr>
          <w:rFonts w:cs="Arial"/>
          <w:sz w:val="26"/>
          <w:szCs w:val="26"/>
          <w:lang w:val="es-ES"/>
        </w:rPr>
        <w:t xml:space="preserve">, y </w:t>
      </w:r>
      <w:r w:rsidR="00C86F64" w:rsidRPr="005229E1">
        <w:rPr>
          <w:rFonts w:cs="Arial"/>
          <w:sz w:val="26"/>
          <w:szCs w:val="26"/>
          <w:lang w:val="es-ES"/>
        </w:rPr>
        <w:t>ii</w:t>
      </w:r>
      <w:r w:rsidR="00C86F64" w:rsidRPr="008153A0">
        <w:rPr>
          <w:rFonts w:cs="Arial"/>
          <w:sz w:val="26"/>
          <w:szCs w:val="26"/>
          <w:lang w:val="es-ES"/>
        </w:rPr>
        <w:t xml:space="preserve">) </w:t>
      </w:r>
      <w:r w:rsidR="002104A2" w:rsidRPr="008153A0">
        <w:rPr>
          <w:rFonts w:cs="Arial"/>
          <w:sz w:val="26"/>
          <w:szCs w:val="26"/>
          <w:lang w:val="es-ES"/>
        </w:rPr>
        <w:t>a la señora</w:t>
      </w:r>
      <w:r w:rsidR="002104A2" w:rsidRPr="008153A0">
        <w:rPr>
          <w:rFonts w:cs="Arial"/>
          <w:color w:val="FF0000"/>
          <w:sz w:val="26"/>
          <w:szCs w:val="26"/>
          <w:lang w:val="es-ES"/>
        </w:rPr>
        <w:t xml:space="preserve"> GB </w:t>
      </w:r>
      <w:r w:rsidR="00C86F64" w:rsidRPr="008153A0">
        <w:rPr>
          <w:rFonts w:cs="Arial"/>
          <w:color w:val="000000" w:themeColor="text1"/>
          <w:sz w:val="26"/>
          <w:szCs w:val="26"/>
          <w:lang w:val="es-ES"/>
        </w:rPr>
        <w:t xml:space="preserve">al </w:t>
      </w:r>
      <w:r w:rsidR="00C86F64" w:rsidRPr="008153A0">
        <w:rPr>
          <w:rFonts w:cs="Arial"/>
          <w:sz w:val="26"/>
          <w:szCs w:val="26"/>
          <w:lang w:val="es-ES"/>
        </w:rPr>
        <w:t>pago de gastos y costas en segunda instancia a favor de</w:t>
      </w:r>
      <w:r w:rsidR="00CC147A" w:rsidRPr="003F6B95">
        <w:rPr>
          <w:rFonts w:cs="Arial"/>
          <w:sz w:val="26"/>
          <w:szCs w:val="26"/>
          <w:lang w:val="es-ES"/>
        </w:rPr>
        <w:t xml:space="preserve"> </w:t>
      </w:r>
      <w:r w:rsidR="00CC147A" w:rsidRPr="005229E1">
        <w:rPr>
          <w:rFonts w:cs="Arial"/>
          <w:sz w:val="26"/>
          <w:szCs w:val="26"/>
          <w:lang w:val="es-ES"/>
        </w:rPr>
        <w:t>Danhos</w:t>
      </w:r>
      <w:r w:rsidR="008E7F81" w:rsidRPr="005229E1">
        <w:rPr>
          <w:rFonts w:cs="Arial"/>
          <w:sz w:val="26"/>
          <w:szCs w:val="26"/>
          <w:lang w:val="es-ES"/>
        </w:rPr>
        <w:t>.</w:t>
      </w:r>
    </w:p>
    <w:p w14:paraId="37961AF0" w14:textId="77777777" w:rsidR="00CC147A" w:rsidRPr="008D688C" w:rsidRDefault="00CC147A" w:rsidP="002628AD">
      <w:pPr>
        <w:pStyle w:val="corte4fondo"/>
        <w:tabs>
          <w:tab w:val="left" w:pos="0"/>
        </w:tabs>
        <w:ind w:right="51" w:firstLine="0"/>
        <w:rPr>
          <w:rFonts w:cs="Arial"/>
          <w:color w:val="000000" w:themeColor="text1"/>
          <w:sz w:val="26"/>
          <w:szCs w:val="26"/>
          <w:lang w:val="es-ES"/>
        </w:rPr>
      </w:pPr>
    </w:p>
    <w:p w14:paraId="6AB33561" w14:textId="1077BD85" w:rsidR="00781A17" w:rsidRPr="00E22760" w:rsidRDefault="00E15D02" w:rsidP="1A9D0C58">
      <w:pPr>
        <w:pStyle w:val="corte4fondo"/>
        <w:numPr>
          <w:ilvl w:val="0"/>
          <w:numId w:val="2"/>
        </w:numPr>
        <w:ind w:left="0" w:right="51" w:hanging="425"/>
        <w:rPr>
          <w:rFonts w:cs="Arial"/>
          <w:color w:val="000000" w:themeColor="text1"/>
          <w:sz w:val="26"/>
          <w:szCs w:val="26"/>
          <w:lang w:val="es-ES"/>
        </w:rPr>
      </w:pPr>
      <w:r w:rsidRPr="003F6B95">
        <w:rPr>
          <w:rFonts w:cs="Arial"/>
          <w:color w:val="000000" w:themeColor="text1"/>
          <w:sz w:val="26"/>
          <w:szCs w:val="26"/>
          <w:lang w:val="es-ES"/>
        </w:rPr>
        <w:lastRenderedPageBreak/>
        <w:t>Inconformes, las quejosas plantean en</w:t>
      </w:r>
      <w:r w:rsidR="00781A17" w:rsidRPr="003F6B95">
        <w:rPr>
          <w:rFonts w:cs="Arial"/>
          <w:color w:val="000000" w:themeColor="text1"/>
          <w:sz w:val="26"/>
          <w:szCs w:val="26"/>
          <w:lang w:val="es-ES"/>
        </w:rPr>
        <w:t xml:space="preserve"> su quinto concepto de violación</w:t>
      </w:r>
      <w:r w:rsidR="00BA424B" w:rsidRPr="003F6B95">
        <w:rPr>
          <w:rFonts w:cs="Arial"/>
          <w:color w:val="000000" w:themeColor="text1"/>
          <w:sz w:val="26"/>
          <w:szCs w:val="26"/>
          <w:lang w:val="es-ES"/>
        </w:rPr>
        <w:t xml:space="preserve"> </w:t>
      </w:r>
      <w:r w:rsidR="00781A17" w:rsidRPr="003F6B95">
        <w:rPr>
          <w:rFonts w:cs="Arial"/>
          <w:color w:val="000000" w:themeColor="text1"/>
          <w:sz w:val="26"/>
          <w:szCs w:val="26"/>
          <w:lang w:val="es-ES"/>
        </w:rPr>
        <w:t>que l</w:t>
      </w:r>
      <w:r w:rsidR="00AE5B9E" w:rsidRPr="003F6B95">
        <w:rPr>
          <w:rFonts w:cs="Arial"/>
          <w:sz w:val="26"/>
          <w:szCs w:val="26"/>
          <w:lang w:val="es-ES"/>
        </w:rPr>
        <w:t xml:space="preserve">a condena de pago de gastos y costas a favor de </w:t>
      </w:r>
      <w:r w:rsidR="00AE5B9E" w:rsidRPr="005229E1">
        <w:rPr>
          <w:rFonts w:cs="Arial"/>
          <w:sz w:val="26"/>
          <w:szCs w:val="26"/>
          <w:lang w:val="es-ES"/>
        </w:rPr>
        <w:t xml:space="preserve">Danhos vulnera sus derechos a la tutela judicial y </w:t>
      </w:r>
      <w:r w:rsidR="00EB61EF" w:rsidRPr="005229E1">
        <w:rPr>
          <w:rFonts w:cs="Arial"/>
          <w:sz w:val="26"/>
          <w:szCs w:val="26"/>
          <w:lang w:val="es-ES"/>
        </w:rPr>
        <w:t xml:space="preserve">a </w:t>
      </w:r>
      <w:r w:rsidR="00AE5B9E" w:rsidRPr="005229E1">
        <w:rPr>
          <w:rFonts w:cs="Arial"/>
          <w:sz w:val="26"/>
          <w:szCs w:val="26"/>
          <w:lang w:val="es-ES"/>
        </w:rPr>
        <w:t>la seguridad jurídica</w:t>
      </w:r>
      <w:r w:rsidR="00390F32" w:rsidRPr="005229E1">
        <w:rPr>
          <w:rFonts w:cs="Arial"/>
          <w:sz w:val="26"/>
          <w:szCs w:val="26"/>
          <w:lang w:val="es-ES"/>
        </w:rPr>
        <w:t>. A su parecer, esta transgresión deriva de</w:t>
      </w:r>
      <w:r w:rsidR="00EB61EF" w:rsidRPr="005229E1">
        <w:rPr>
          <w:rFonts w:cs="Arial"/>
          <w:sz w:val="26"/>
          <w:szCs w:val="26"/>
          <w:lang w:val="es-ES"/>
        </w:rPr>
        <w:t xml:space="preserve"> que</w:t>
      </w:r>
      <w:r w:rsidR="00390F32" w:rsidRPr="005229E1">
        <w:rPr>
          <w:rFonts w:cs="Arial"/>
          <w:sz w:val="26"/>
          <w:szCs w:val="26"/>
          <w:lang w:val="es-ES"/>
        </w:rPr>
        <w:t xml:space="preserve"> </w:t>
      </w:r>
      <w:r w:rsidR="00E8333B" w:rsidRPr="005229E1">
        <w:rPr>
          <w:rFonts w:cs="Arial"/>
          <w:sz w:val="26"/>
          <w:szCs w:val="26"/>
          <w:lang w:val="es-ES"/>
        </w:rPr>
        <w:t xml:space="preserve">las actoras señalaron en su escrito inicial a </w:t>
      </w:r>
      <w:r w:rsidR="003B3B86" w:rsidRPr="005229E1">
        <w:rPr>
          <w:rFonts w:cs="Arial"/>
          <w:sz w:val="26"/>
          <w:szCs w:val="26"/>
          <w:lang w:val="es-ES"/>
        </w:rPr>
        <w:t>“Grupo Danhos”</w:t>
      </w:r>
      <w:r w:rsidR="00AE5B9E" w:rsidRPr="005229E1">
        <w:rPr>
          <w:rFonts w:cs="Arial"/>
          <w:sz w:val="26"/>
          <w:szCs w:val="26"/>
          <w:lang w:val="es-ES"/>
        </w:rPr>
        <w:t xml:space="preserve"> como </w:t>
      </w:r>
      <w:r w:rsidR="00E8333B" w:rsidRPr="005229E1">
        <w:rPr>
          <w:rFonts w:cs="Arial"/>
          <w:sz w:val="26"/>
          <w:szCs w:val="26"/>
          <w:lang w:val="es-ES"/>
        </w:rPr>
        <w:t xml:space="preserve">una de las partes demandadas, </w:t>
      </w:r>
      <w:r w:rsidR="00395B2F" w:rsidRPr="005229E1">
        <w:rPr>
          <w:rFonts w:cs="Arial"/>
          <w:sz w:val="26"/>
          <w:szCs w:val="26"/>
          <w:lang w:val="es-ES"/>
        </w:rPr>
        <w:t xml:space="preserve">y que ésta </w:t>
      </w:r>
      <w:r w:rsidR="00AE5B9E" w:rsidRPr="005229E1">
        <w:rPr>
          <w:rFonts w:cs="Arial"/>
          <w:sz w:val="26"/>
          <w:szCs w:val="26"/>
          <w:lang w:val="es-ES"/>
        </w:rPr>
        <w:t>fue emplazada</w:t>
      </w:r>
      <w:r w:rsidR="00395B2F" w:rsidRPr="005229E1">
        <w:rPr>
          <w:rFonts w:cs="Arial"/>
          <w:sz w:val="26"/>
          <w:szCs w:val="26"/>
          <w:lang w:val="es-ES"/>
        </w:rPr>
        <w:t xml:space="preserve"> a juicio</w:t>
      </w:r>
      <w:r w:rsidR="00AE5B9E" w:rsidRPr="005229E1">
        <w:rPr>
          <w:rFonts w:cs="Arial"/>
          <w:sz w:val="26"/>
          <w:szCs w:val="26"/>
          <w:lang w:val="es-ES"/>
        </w:rPr>
        <w:t xml:space="preserve">. </w:t>
      </w:r>
      <w:r w:rsidR="00395B2F" w:rsidRPr="005229E1">
        <w:rPr>
          <w:rFonts w:cs="Arial"/>
          <w:sz w:val="26"/>
          <w:szCs w:val="26"/>
          <w:lang w:val="es-ES"/>
        </w:rPr>
        <w:t>Por ello, sostienen que e</w:t>
      </w:r>
      <w:r w:rsidR="00AE5B9E" w:rsidRPr="005229E1">
        <w:rPr>
          <w:rFonts w:cs="Arial"/>
          <w:sz w:val="26"/>
          <w:szCs w:val="26"/>
          <w:lang w:val="es-ES"/>
        </w:rPr>
        <w:t xml:space="preserve">l hecho de que </w:t>
      </w:r>
      <w:r w:rsidR="00395B2F" w:rsidRPr="005229E1">
        <w:rPr>
          <w:rFonts w:cs="Arial"/>
          <w:sz w:val="26"/>
          <w:szCs w:val="26"/>
          <w:lang w:val="es-ES"/>
        </w:rPr>
        <w:t xml:space="preserve">la persona moral </w:t>
      </w:r>
      <w:r w:rsidR="00AE5B9E" w:rsidRPr="005229E1">
        <w:rPr>
          <w:rFonts w:cs="Arial"/>
          <w:sz w:val="26"/>
          <w:szCs w:val="26"/>
          <w:lang w:val="es-ES"/>
        </w:rPr>
        <w:t>Danhos h</w:t>
      </w:r>
      <w:r w:rsidR="00AE5B9E" w:rsidRPr="00E22760">
        <w:rPr>
          <w:rFonts w:cs="Arial"/>
          <w:sz w:val="26"/>
          <w:szCs w:val="26"/>
          <w:lang w:val="es-ES"/>
        </w:rPr>
        <w:t xml:space="preserve">aya comparecido a juicio </w:t>
      </w:r>
      <w:r w:rsidR="00AE5B9E" w:rsidRPr="00E22760">
        <w:rPr>
          <w:rFonts w:cs="Arial"/>
          <w:i/>
          <w:sz w:val="26"/>
          <w:szCs w:val="26"/>
          <w:lang w:val="es-ES"/>
        </w:rPr>
        <w:t>motu proprio</w:t>
      </w:r>
      <w:r w:rsidR="00AE5B9E" w:rsidRPr="00E22760">
        <w:rPr>
          <w:rFonts w:cs="Arial"/>
          <w:sz w:val="26"/>
          <w:szCs w:val="26"/>
          <w:lang w:val="es-ES"/>
        </w:rPr>
        <w:t xml:space="preserve">, a pesar de tener conocimiento de que los hechos referían a una persona moral distinta e incluso ajena a ella, no puede tener el alcance para condenarlas por haber ejercitado una acción improcedente en su contra. </w:t>
      </w:r>
    </w:p>
    <w:p w14:paraId="0A2EBDBE" w14:textId="77777777" w:rsidR="001F43BC" w:rsidRPr="00E22760" w:rsidRDefault="001F43BC" w:rsidP="002628AD">
      <w:pPr>
        <w:pStyle w:val="corte4fondo"/>
        <w:ind w:right="51" w:firstLine="0"/>
        <w:rPr>
          <w:rFonts w:cs="Arial"/>
          <w:sz w:val="26"/>
          <w:szCs w:val="26"/>
        </w:rPr>
      </w:pPr>
    </w:p>
    <w:p w14:paraId="1D28DBF0" w14:textId="24508EDB" w:rsidR="00723E62" w:rsidRPr="005229E1" w:rsidRDefault="000779E4" w:rsidP="001D52E4">
      <w:pPr>
        <w:pStyle w:val="corte4fondo"/>
        <w:numPr>
          <w:ilvl w:val="0"/>
          <w:numId w:val="2"/>
        </w:numPr>
        <w:ind w:left="0" w:right="51" w:hanging="425"/>
        <w:rPr>
          <w:rFonts w:cs="Arial"/>
          <w:sz w:val="26"/>
          <w:szCs w:val="26"/>
        </w:rPr>
      </w:pPr>
      <w:r w:rsidRPr="00E22760">
        <w:rPr>
          <w:rFonts w:cs="Arial"/>
          <w:sz w:val="26"/>
          <w:szCs w:val="26"/>
          <w:lang w:val="es-ES"/>
        </w:rPr>
        <w:t>Para esta Primera Sala,</w:t>
      </w:r>
      <w:r w:rsidR="002302B1" w:rsidRPr="00E22760">
        <w:rPr>
          <w:rFonts w:cs="Arial"/>
          <w:sz w:val="26"/>
          <w:szCs w:val="26"/>
          <w:lang w:val="es-ES"/>
        </w:rPr>
        <w:t xml:space="preserve"> es inoperante</w:t>
      </w:r>
      <w:r w:rsidRPr="00E22760">
        <w:rPr>
          <w:rFonts w:cs="Arial"/>
          <w:sz w:val="26"/>
          <w:szCs w:val="26"/>
          <w:lang w:val="es-ES"/>
        </w:rPr>
        <w:t xml:space="preserve"> el reclamo de la</w:t>
      </w:r>
      <w:r w:rsidR="007E17BA" w:rsidRPr="00E22760">
        <w:rPr>
          <w:rFonts w:cs="Arial"/>
          <w:sz w:val="26"/>
          <w:szCs w:val="26"/>
          <w:lang w:val="es-ES"/>
        </w:rPr>
        <w:t>s</w:t>
      </w:r>
      <w:r w:rsidR="003E0850" w:rsidRPr="00E22760">
        <w:rPr>
          <w:rFonts w:cs="Arial"/>
          <w:sz w:val="26"/>
          <w:szCs w:val="26"/>
          <w:lang w:val="es-ES"/>
        </w:rPr>
        <w:t xml:space="preserve"> quejosa</w:t>
      </w:r>
      <w:r w:rsidR="007E17BA" w:rsidRPr="00E22760">
        <w:rPr>
          <w:rFonts w:cs="Arial"/>
          <w:sz w:val="26"/>
          <w:szCs w:val="26"/>
          <w:lang w:val="es-ES"/>
        </w:rPr>
        <w:t>s</w:t>
      </w:r>
      <w:r w:rsidR="003E0850" w:rsidRPr="00E22760">
        <w:rPr>
          <w:rFonts w:cs="Arial"/>
          <w:sz w:val="26"/>
          <w:szCs w:val="26"/>
          <w:lang w:val="es-ES"/>
        </w:rPr>
        <w:t xml:space="preserve"> </w:t>
      </w:r>
      <w:r w:rsidR="00CF0754" w:rsidRPr="00E22760">
        <w:rPr>
          <w:rFonts w:cs="Arial"/>
          <w:color w:val="000000" w:themeColor="text1"/>
          <w:sz w:val="26"/>
          <w:szCs w:val="26"/>
          <w:lang w:val="es-ES"/>
        </w:rPr>
        <w:t>rel</w:t>
      </w:r>
      <w:r w:rsidR="00511293" w:rsidRPr="00E22760">
        <w:rPr>
          <w:rFonts w:cs="Arial"/>
          <w:color w:val="000000" w:themeColor="text1"/>
          <w:sz w:val="26"/>
          <w:szCs w:val="26"/>
          <w:lang w:val="es-ES"/>
        </w:rPr>
        <w:t>ativo a</w:t>
      </w:r>
      <w:r w:rsidR="00CF0754" w:rsidRPr="00E22760">
        <w:rPr>
          <w:rFonts w:cs="Arial"/>
          <w:color w:val="000000" w:themeColor="text1"/>
          <w:sz w:val="26"/>
          <w:szCs w:val="26"/>
          <w:lang w:val="es-ES"/>
        </w:rPr>
        <w:t xml:space="preserve"> </w:t>
      </w:r>
      <w:r w:rsidR="00D31F1F">
        <w:rPr>
          <w:rFonts w:cs="Arial"/>
          <w:color w:val="000000" w:themeColor="text1"/>
          <w:sz w:val="26"/>
          <w:szCs w:val="26"/>
          <w:lang w:val="es-ES"/>
        </w:rPr>
        <w:t xml:space="preserve">no </w:t>
      </w:r>
      <w:r w:rsidR="00CF0754" w:rsidRPr="00E22760">
        <w:rPr>
          <w:rFonts w:cs="Arial"/>
          <w:color w:val="000000" w:themeColor="text1"/>
          <w:sz w:val="26"/>
          <w:szCs w:val="26"/>
          <w:lang w:val="es-ES"/>
        </w:rPr>
        <w:t xml:space="preserve">tener a </w:t>
      </w:r>
      <w:r w:rsidR="00363AE1" w:rsidRPr="00E22760">
        <w:rPr>
          <w:rFonts w:cs="Arial"/>
          <w:color w:val="000000" w:themeColor="text1"/>
          <w:sz w:val="26"/>
          <w:szCs w:val="26"/>
          <w:lang w:val="es-ES"/>
        </w:rPr>
        <w:t>la</w:t>
      </w:r>
      <w:r w:rsidR="00CF0754" w:rsidRPr="00E22760">
        <w:rPr>
          <w:rFonts w:cs="Arial"/>
          <w:color w:val="000000" w:themeColor="text1"/>
          <w:sz w:val="26"/>
          <w:szCs w:val="26"/>
          <w:lang w:val="es-ES"/>
        </w:rPr>
        <w:t xml:space="preserve"> persona moral </w:t>
      </w:r>
      <w:r w:rsidR="00363AE1" w:rsidRPr="005229E1">
        <w:rPr>
          <w:rFonts w:cs="Arial"/>
          <w:sz w:val="26"/>
          <w:szCs w:val="26"/>
          <w:lang w:val="es-ES"/>
        </w:rPr>
        <w:t xml:space="preserve">Danhos </w:t>
      </w:r>
      <w:r w:rsidR="00CF0754" w:rsidRPr="005229E1">
        <w:rPr>
          <w:rFonts w:cs="Arial"/>
          <w:sz w:val="26"/>
          <w:szCs w:val="26"/>
          <w:lang w:val="es-ES"/>
        </w:rPr>
        <w:t xml:space="preserve">como demandada </w:t>
      </w:r>
      <w:r w:rsidR="004D55EB" w:rsidRPr="005229E1">
        <w:rPr>
          <w:rFonts w:cs="Arial"/>
          <w:sz w:val="26"/>
          <w:szCs w:val="26"/>
          <w:lang w:val="es-ES"/>
        </w:rPr>
        <w:t xml:space="preserve">en el juicio, </w:t>
      </w:r>
      <w:r w:rsidR="00CF0754" w:rsidRPr="005229E1">
        <w:rPr>
          <w:rFonts w:cs="Arial"/>
          <w:sz w:val="26"/>
          <w:szCs w:val="26"/>
          <w:lang w:val="es-ES"/>
        </w:rPr>
        <w:t xml:space="preserve">para efectos de la condena por </w:t>
      </w:r>
      <w:r w:rsidR="00B903AC" w:rsidRPr="005229E1">
        <w:rPr>
          <w:rFonts w:cs="Arial"/>
          <w:sz w:val="26"/>
          <w:szCs w:val="26"/>
          <w:lang w:val="es-ES"/>
        </w:rPr>
        <w:t>costas</w:t>
      </w:r>
      <w:r w:rsidR="008D4A07" w:rsidRPr="005229E1">
        <w:rPr>
          <w:rFonts w:cs="Arial"/>
          <w:sz w:val="26"/>
          <w:szCs w:val="26"/>
          <w:lang w:val="es-ES"/>
        </w:rPr>
        <w:t>. Lo anterior, pues</w:t>
      </w:r>
      <w:r w:rsidR="000868AC" w:rsidRPr="005229E1">
        <w:rPr>
          <w:rFonts w:cs="Arial"/>
          <w:sz w:val="26"/>
          <w:szCs w:val="26"/>
          <w:lang w:val="es-ES"/>
        </w:rPr>
        <w:t xml:space="preserve"> </w:t>
      </w:r>
      <w:r w:rsidR="007E17BA" w:rsidRPr="005229E1">
        <w:rPr>
          <w:rFonts w:cs="Arial"/>
          <w:sz w:val="26"/>
          <w:szCs w:val="26"/>
          <w:lang w:val="es-ES"/>
        </w:rPr>
        <w:t>las actoras</w:t>
      </w:r>
      <w:r w:rsidR="00BE1950" w:rsidRPr="005229E1">
        <w:rPr>
          <w:rFonts w:cs="Arial"/>
          <w:sz w:val="26"/>
          <w:szCs w:val="26"/>
          <w:lang w:val="es-ES"/>
        </w:rPr>
        <w:t xml:space="preserve"> no </w:t>
      </w:r>
      <w:r w:rsidR="003D1C58" w:rsidRPr="005229E1">
        <w:rPr>
          <w:rFonts w:cs="Arial"/>
          <w:sz w:val="26"/>
          <w:szCs w:val="26"/>
          <w:lang w:val="es-ES"/>
        </w:rPr>
        <w:t xml:space="preserve">reclamaron </w:t>
      </w:r>
      <w:r w:rsidR="00BF4D8B" w:rsidRPr="005229E1">
        <w:rPr>
          <w:rFonts w:cs="Arial"/>
          <w:sz w:val="26"/>
          <w:szCs w:val="26"/>
          <w:lang w:val="es-ES"/>
        </w:rPr>
        <w:t xml:space="preserve">sino </w:t>
      </w:r>
      <w:r w:rsidR="003D1C58" w:rsidRPr="005229E1">
        <w:rPr>
          <w:rFonts w:cs="Arial"/>
          <w:sz w:val="26"/>
          <w:szCs w:val="26"/>
          <w:lang w:val="es-ES"/>
        </w:rPr>
        <w:t xml:space="preserve">hasta este momento </w:t>
      </w:r>
      <w:r w:rsidR="000868AC" w:rsidRPr="005229E1">
        <w:rPr>
          <w:rFonts w:cs="Arial"/>
          <w:sz w:val="26"/>
          <w:szCs w:val="26"/>
          <w:lang w:val="es-ES"/>
        </w:rPr>
        <w:t xml:space="preserve">que </w:t>
      </w:r>
      <w:r w:rsidR="0099505E" w:rsidRPr="005229E1">
        <w:rPr>
          <w:rFonts w:cs="Arial"/>
          <w:sz w:val="26"/>
          <w:szCs w:val="26"/>
          <w:lang w:val="es-ES"/>
        </w:rPr>
        <w:t xml:space="preserve">la persona moral Danhos fue </w:t>
      </w:r>
      <w:r w:rsidR="00155B65" w:rsidRPr="005229E1">
        <w:rPr>
          <w:rFonts w:cs="Arial"/>
          <w:sz w:val="26"/>
          <w:szCs w:val="26"/>
          <w:lang w:val="es-ES"/>
        </w:rPr>
        <w:t xml:space="preserve">tratada en </w:t>
      </w:r>
      <w:r w:rsidR="0099505E" w:rsidRPr="005229E1">
        <w:rPr>
          <w:rFonts w:cs="Arial"/>
          <w:sz w:val="26"/>
          <w:szCs w:val="26"/>
          <w:lang w:val="es-ES"/>
        </w:rPr>
        <w:t>el juicio</w:t>
      </w:r>
      <w:r w:rsidR="007557B0" w:rsidRPr="005229E1">
        <w:rPr>
          <w:rFonts w:cs="Arial"/>
          <w:sz w:val="26"/>
          <w:szCs w:val="26"/>
          <w:lang w:val="es-ES"/>
        </w:rPr>
        <w:t xml:space="preserve"> de responsabilidad civil extracontractual</w:t>
      </w:r>
      <w:r w:rsidR="00155B65" w:rsidRPr="005229E1">
        <w:rPr>
          <w:rFonts w:cs="Arial"/>
          <w:sz w:val="26"/>
          <w:szCs w:val="26"/>
          <w:lang w:val="es-ES"/>
        </w:rPr>
        <w:t xml:space="preserve"> como</w:t>
      </w:r>
      <w:r w:rsidR="0028356D" w:rsidRPr="005229E1">
        <w:rPr>
          <w:rFonts w:cs="Arial"/>
          <w:sz w:val="26"/>
          <w:szCs w:val="26"/>
          <w:lang w:val="es-ES"/>
        </w:rPr>
        <w:t xml:space="preserve"> parte demandada,</w:t>
      </w:r>
      <w:r w:rsidR="004D6CFA" w:rsidRPr="005229E1">
        <w:rPr>
          <w:rFonts w:cs="Arial"/>
          <w:sz w:val="26"/>
          <w:szCs w:val="26"/>
          <w:lang w:val="es-ES"/>
        </w:rPr>
        <w:t xml:space="preserve"> en </w:t>
      </w:r>
      <w:r w:rsidR="0097519C" w:rsidRPr="005229E1">
        <w:rPr>
          <w:rFonts w:cs="Arial"/>
          <w:sz w:val="26"/>
          <w:szCs w:val="26"/>
          <w:lang w:val="es-ES"/>
        </w:rPr>
        <w:t>referencia a</w:t>
      </w:r>
      <w:r w:rsidR="00155B65" w:rsidRPr="005229E1">
        <w:rPr>
          <w:rFonts w:cs="Arial"/>
          <w:sz w:val="26"/>
          <w:szCs w:val="26"/>
          <w:lang w:val="es-ES"/>
        </w:rPr>
        <w:t xml:space="preserve"> </w:t>
      </w:r>
      <w:r w:rsidR="003B3B86" w:rsidRPr="005229E1">
        <w:rPr>
          <w:rFonts w:cs="Arial"/>
          <w:sz w:val="26"/>
          <w:szCs w:val="26"/>
          <w:lang w:val="es-ES"/>
        </w:rPr>
        <w:t>“Grupo Danhos”</w:t>
      </w:r>
      <w:r w:rsidR="00155B65" w:rsidRPr="005229E1">
        <w:rPr>
          <w:rFonts w:cs="Arial"/>
          <w:sz w:val="26"/>
          <w:szCs w:val="26"/>
          <w:lang w:val="es-ES"/>
        </w:rPr>
        <w:t>.</w:t>
      </w:r>
    </w:p>
    <w:p w14:paraId="238163C9" w14:textId="10AF1B3E" w:rsidR="002178B9" w:rsidRPr="003F6B95" w:rsidRDefault="002178B9" w:rsidP="001D52E4">
      <w:pPr>
        <w:pStyle w:val="corte4fondo"/>
        <w:ind w:right="51" w:firstLine="0"/>
        <w:rPr>
          <w:rFonts w:cs="Arial"/>
          <w:sz w:val="26"/>
          <w:szCs w:val="26"/>
        </w:rPr>
      </w:pPr>
    </w:p>
    <w:p w14:paraId="51B24D9F" w14:textId="7822AC5E" w:rsidR="00324B3A" w:rsidRPr="003F6B95" w:rsidRDefault="002178B9" w:rsidP="001D52E4">
      <w:pPr>
        <w:pStyle w:val="corte4fondo"/>
        <w:numPr>
          <w:ilvl w:val="0"/>
          <w:numId w:val="2"/>
        </w:numPr>
        <w:ind w:left="0" w:right="51" w:hanging="425"/>
        <w:rPr>
          <w:rFonts w:cs="Arial"/>
          <w:sz w:val="26"/>
          <w:szCs w:val="26"/>
        </w:rPr>
      </w:pPr>
      <w:r w:rsidRPr="003F6B95">
        <w:rPr>
          <w:rFonts w:cs="Arial"/>
          <w:bCs/>
          <w:color w:val="000000" w:themeColor="text1"/>
          <w:sz w:val="26"/>
          <w:szCs w:val="26"/>
        </w:rPr>
        <w:t xml:space="preserve">Al respecto, </w:t>
      </w:r>
      <w:r w:rsidR="00324B3A" w:rsidRPr="003F6B95">
        <w:rPr>
          <w:rFonts w:cs="Arial"/>
          <w:bCs/>
          <w:color w:val="000000" w:themeColor="text1"/>
          <w:sz w:val="26"/>
          <w:szCs w:val="26"/>
        </w:rPr>
        <w:t xml:space="preserve">se destaca que el artículo 171 de la Ley de Amparo dispone que, en el juicio de amparo directo, las partes </w:t>
      </w:r>
      <w:r w:rsidR="00324B3A" w:rsidRPr="003F6B95">
        <w:rPr>
          <w:rFonts w:cs="Arial"/>
          <w:sz w:val="26"/>
          <w:szCs w:val="26"/>
        </w:rPr>
        <w:t>podrán</w:t>
      </w:r>
      <w:r w:rsidR="00324B3A" w:rsidRPr="003F6B95">
        <w:rPr>
          <w:rFonts w:cs="Arial"/>
          <w:bCs/>
          <w:color w:val="000000" w:themeColor="text1"/>
          <w:sz w:val="26"/>
          <w:szCs w:val="26"/>
        </w:rPr>
        <w:t xml:space="preserve"> hacer valer las violaciones </w:t>
      </w:r>
      <w:r w:rsidR="003D1C58">
        <w:rPr>
          <w:rFonts w:cs="Arial"/>
          <w:bCs/>
          <w:color w:val="000000" w:themeColor="text1"/>
          <w:sz w:val="26"/>
          <w:szCs w:val="26"/>
        </w:rPr>
        <w:t>procesales</w:t>
      </w:r>
      <w:r w:rsidR="003D1C58" w:rsidRPr="003F6B95">
        <w:rPr>
          <w:rFonts w:cs="Arial"/>
          <w:bCs/>
          <w:color w:val="000000" w:themeColor="text1"/>
          <w:sz w:val="26"/>
          <w:szCs w:val="26"/>
        </w:rPr>
        <w:t xml:space="preserve"> </w:t>
      </w:r>
      <w:r w:rsidR="00324B3A" w:rsidRPr="003F6B95">
        <w:rPr>
          <w:rFonts w:cs="Arial"/>
          <w:bCs/>
          <w:color w:val="000000" w:themeColor="text1"/>
          <w:sz w:val="26"/>
          <w:szCs w:val="26"/>
        </w:rPr>
        <w:t>siempre que la violación a la ley del procedimiento haya sido impugnada mediante el recurso o medio de defensa ordinario y que la violación trascienda al resultado del fallo</w:t>
      </w:r>
      <w:r w:rsidR="00324B3A" w:rsidRPr="003F6B95">
        <w:rPr>
          <w:rStyle w:val="Refdenotaalpie"/>
          <w:rFonts w:cs="Arial"/>
          <w:bCs/>
          <w:color w:val="000000" w:themeColor="text1"/>
          <w:sz w:val="26"/>
          <w:szCs w:val="26"/>
        </w:rPr>
        <w:footnoteReference w:id="28"/>
      </w:r>
      <w:r w:rsidR="00324B3A" w:rsidRPr="003F6B95">
        <w:rPr>
          <w:rFonts w:cs="Arial"/>
          <w:bCs/>
          <w:color w:val="000000" w:themeColor="text1"/>
          <w:sz w:val="26"/>
          <w:szCs w:val="26"/>
        </w:rPr>
        <w:t xml:space="preserve">. </w:t>
      </w:r>
      <w:r w:rsidR="00324B3A" w:rsidRPr="003F6B95">
        <w:rPr>
          <w:rFonts w:cs="Arial"/>
          <w:color w:val="000000" w:themeColor="text1"/>
          <w:sz w:val="26"/>
          <w:szCs w:val="26"/>
          <w:lang w:val="es-MX"/>
        </w:rPr>
        <w:t>Para esta Suprema Corte, el requisito de preparar las violaciones procesales para poder analizarlas</w:t>
      </w:r>
      <w:r w:rsidR="00935B0B" w:rsidRPr="003F6B95">
        <w:rPr>
          <w:rFonts w:cs="Arial"/>
          <w:color w:val="000000" w:themeColor="text1"/>
          <w:sz w:val="26"/>
          <w:szCs w:val="26"/>
          <w:lang w:val="es-MX"/>
        </w:rPr>
        <w:t xml:space="preserve"> </w:t>
      </w:r>
      <w:r w:rsidR="00324B3A" w:rsidRPr="003F6B95">
        <w:rPr>
          <w:rFonts w:cs="Arial"/>
          <w:color w:val="000000" w:themeColor="text1"/>
          <w:sz w:val="26"/>
          <w:szCs w:val="26"/>
          <w:lang w:val="es-MX"/>
        </w:rPr>
        <w:t>obedece a</w:t>
      </w:r>
      <w:r w:rsidR="00BB4E77">
        <w:rPr>
          <w:rFonts w:cs="Arial"/>
          <w:color w:val="000000" w:themeColor="text1"/>
          <w:sz w:val="26"/>
          <w:szCs w:val="26"/>
          <w:lang w:val="es-MX"/>
        </w:rPr>
        <w:t xml:space="preserve"> las características </w:t>
      </w:r>
      <w:r w:rsidR="00324B3A" w:rsidRPr="003F6B95">
        <w:rPr>
          <w:rFonts w:cs="Arial"/>
          <w:color w:val="000000" w:themeColor="text1"/>
          <w:sz w:val="26"/>
          <w:szCs w:val="26"/>
          <w:lang w:val="es-MX"/>
        </w:rPr>
        <w:t xml:space="preserve">del juicio de amparo como medio extraordinario para el mantenimiento del orden constitucional. </w:t>
      </w:r>
    </w:p>
    <w:p w14:paraId="4058B882" w14:textId="77777777" w:rsidR="00324B3A" w:rsidRPr="003F6B95" w:rsidRDefault="00324B3A" w:rsidP="00324B3A">
      <w:pPr>
        <w:pStyle w:val="corte4fondo"/>
        <w:ind w:right="51" w:firstLine="0"/>
        <w:rPr>
          <w:rFonts w:cs="Arial"/>
          <w:sz w:val="26"/>
          <w:szCs w:val="26"/>
        </w:rPr>
      </w:pPr>
    </w:p>
    <w:p w14:paraId="26AB34B6" w14:textId="60BB71E0" w:rsidR="00324B3A" w:rsidRPr="003F6B95" w:rsidRDefault="00324B3A" w:rsidP="00324B3A">
      <w:pPr>
        <w:pStyle w:val="corte4fondo"/>
        <w:numPr>
          <w:ilvl w:val="0"/>
          <w:numId w:val="2"/>
        </w:numPr>
        <w:ind w:left="0" w:right="51" w:hanging="426"/>
        <w:rPr>
          <w:rFonts w:cs="Arial"/>
          <w:sz w:val="26"/>
          <w:szCs w:val="26"/>
        </w:rPr>
      </w:pPr>
      <w:r w:rsidRPr="003F6B95">
        <w:rPr>
          <w:rFonts w:cs="Arial"/>
          <w:color w:val="000000" w:themeColor="text1"/>
          <w:sz w:val="26"/>
          <w:szCs w:val="26"/>
          <w:lang w:val="es-MX"/>
        </w:rPr>
        <w:t>De</w:t>
      </w:r>
      <w:r w:rsidR="00077FBC">
        <w:rPr>
          <w:rFonts w:cs="Arial"/>
          <w:color w:val="000000" w:themeColor="text1"/>
          <w:sz w:val="26"/>
          <w:szCs w:val="26"/>
          <w:lang w:val="es-MX"/>
        </w:rPr>
        <w:t xml:space="preserve"> </w:t>
      </w:r>
      <w:r w:rsidRPr="003F6B95">
        <w:rPr>
          <w:rFonts w:cs="Arial"/>
          <w:color w:val="000000" w:themeColor="text1"/>
          <w:sz w:val="26"/>
          <w:szCs w:val="26"/>
          <w:lang w:val="es-MX"/>
        </w:rPr>
        <w:t>ahí que no se justifique acudir al juicio de amparo para la reparación de</w:t>
      </w:r>
      <w:r w:rsidR="00935B0B" w:rsidRPr="003F6B95">
        <w:rPr>
          <w:rFonts w:cs="Arial"/>
          <w:color w:val="000000" w:themeColor="text1"/>
          <w:sz w:val="26"/>
          <w:szCs w:val="26"/>
          <w:lang w:val="es-MX"/>
        </w:rPr>
        <w:t xml:space="preserve"> </w:t>
      </w:r>
      <w:r w:rsidRPr="003F6B95">
        <w:rPr>
          <w:rFonts w:cs="Arial"/>
          <w:color w:val="000000" w:themeColor="text1"/>
          <w:sz w:val="26"/>
          <w:szCs w:val="26"/>
          <w:lang w:val="es-MX"/>
        </w:rPr>
        <w:t>violaciones</w:t>
      </w:r>
      <w:r w:rsidR="00935B0B" w:rsidRPr="003F6B95">
        <w:rPr>
          <w:rFonts w:cs="Arial"/>
          <w:color w:val="000000" w:themeColor="text1"/>
          <w:sz w:val="26"/>
          <w:szCs w:val="26"/>
          <w:lang w:val="es-MX"/>
        </w:rPr>
        <w:t xml:space="preserve"> </w:t>
      </w:r>
      <w:r w:rsidRPr="003F6B95">
        <w:rPr>
          <w:rFonts w:cs="Arial"/>
          <w:color w:val="000000" w:themeColor="text1"/>
          <w:sz w:val="26"/>
          <w:szCs w:val="26"/>
          <w:lang w:val="es-MX"/>
        </w:rPr>
        <w:t>cometidas en el</w:t>
      </w:r>
      <w:r w:rsidR="00935B0B" w:rsidRPr="003F6B95">
        <w:rPr>
          <w:rFonts w:cs="Arial"/>
          <w:color w:val="000000" w:themeColor="text1"/>
          <w:sz w:val="26"/>
          <w:szCs w:val="26"/>
          <w:lang w:val="es-MX"/>
        </w:rPr>
        <w:t xml:space="preserve"> </w:t>
      </w:r>
      <w:r w:rsidRPr="003F6B95">
        <w:rPr>
          <w:rFonts w:cs="Arial"/>
          <w:color w:val="000000" w:themeColor="text1"/>
          <w:sz w:val="26"/>
          <w:szCs w:val="26"/>
          <w:lang w:val="es-MX"/>
        </w:rPr>
        <w:t>procedimiento,</w:t>
      </w:r>
      <w:r w:rsidR="00935B0B" w:rsidRPr="003F6B95">
        <w:rPr>
          <w:rFonts w:cs="Arial"/>
          <w:color w:val="000000" w:themeColor="text1"/>
          <w:sz w:val="26"/>
          <w:szCs w:val="26"/>
          <w:lang w:val="es-MX"/>
        </w:rPr>
        <w:t xml:space="preserve"> </w:t>
      </w:r>
      <w:r w:rsidRPr="003F6B95">
        <w:rPr>
          <w:rFonts w:cs="Arial"/>
          <w:color w:val="000000" w:themeColor="text1"/>
          <w:sz w:val="26"/>
          <w:szCs w:val="26"/>
          <w:lang w:val="es-MX"/>
        </w:rPr>
        <w:t xml:space="preserve">si en las leyes ordinarias se prevé algún remedio legal por el cual puedan repararse. En tal caso, la parte tiene la carga de agotar tales medios ordinarios o, de lo contrario, su derecho de </w:t>
      </w:r>
      <w:r w:rsidRPr="003F6B95">
        <w:rPr>
          <w:rFonts w:cs="Arial"/>
          <w:color w:val="000000" w:themeColor="text1"/>
          <w:sz w:val="26"/>
          <w:szCs w:val="26"/>
          <w:lang w:val="es-MX"/>
        </w:rPr>
        <w:lastRenderedPageBreak/>
        <w:t>impugnación precluye. Asimismo, cuando la falta de impugnación se traduce en el consentimiento de la</w:t>
      </w:r>
      <w:r w:rsidR="00C06DF1" w:rsidRPr="003F6B95">
        <w:rPr>
          <w:rFonts w:cs="Arial"/>
          <w:color w:val="000000" w:themeColor="text1"/>
          <w:sz w:val="26"/>
          <w:szCs w:val="26"/>
          <w:lang w:val="es-MX"/>
        </w:rPr>
        <w:t xml:space="preserve"> </w:t>
      </w:r>
      <w:r w:rsidRPr="003F6B95">
        <w:rPr>
          <w:rFonts w:cs="Arial"/>
          <w:color w:val="000000" w:themeColor="text1"/>
          <w:sz w:val="26"/>
          <w:szCs w:val="26"/>
          <w:lang w:val="es-MX"/>
        </w:rPr>
        <w:t>violación</w:t>
      </w:r>
      <w:r w:rsidR="00C06DF1" w:rsidRPr="003F6B95">
        <w:rPr>
          <w:rFonts w:cs="Arial"/>
          <w:color w:val="000000" w:themeColor="text1"/>
          <w:sz w:val="26"/>
          <w:szCs w:val="26"/>
          <w:lang w:val="es-MX"/>
        </w:rPr>
        <w:t xml:space="preserve"> </w:t>
      </w:r>
      <w:r w:rsidRPr="003F6B95">
        <w:rPr>
          <w:rFonts w:cs="Arial"/>
          <w:color w:val="000000" w:themeColor="text1"/>
          <w:sz w:val="26"/>
          <w:szCs w:val="26"/>
          <w:lang w:val="es-MX"/>
        </w:rPr>
        <w:t>cometida, el vicio quedaría depurado</w:t>
      </w:r>
      <w:r w:rsidRPr="003F6B95">
        <w:rPr>
          <w:rStyle w:val="Refdenotaalpie"/>
          <w:rFonts w:cs="Arial"/>
          <w:color w:val="000000" w:themeColor="text1"/>
          <w:sz w:val="26"/>
          <w:szCs w:val="26"/>
          <w:lang w:val="es-MX"/>
        </w:rPr>
        <w:footnoteReference w:id="29"/>
      </w:r>
      <w:r w:rsidRPr="003F6B95">
        <w:rPr>
          <w:rFonts w:cs="Arial"/>
          <w:color w:val="000000" w:themeColor="text1"/>
          <w:sz w:val="26"/>
          <w:szCs w:val="26"/>
          <w:lang w:val="es-MX"/>
        </w:rPr>
        <w:t>.</w:t>
      </w:r>
    </w:p>
    <w:p w14:paraId="3FA6592F" w14:textId="77777777" w:rsidR="00324B3A" w:rsidRPr="003F6B95" w:rsidRDefault="00324B3A" w:rsidP="000C1233">
      <w:pPr>
        <w:pStyle w:val="corte4fondo"/>
        <w:ind w:right="51" w:firstLine="0"/>
        <w:rPr>
          <w:rFonts w:cs="Arial"/>
          <w:color w:val="000000" w:themeColor="text1"/>
          <w:sz w:val="26"/>
          <w:szCs w:val="26"/>
          <w:lang w:val="es-MX"/>
        </w:rPr>
      </w:pPr>
    </w:p>
    <w:p w14:paraId="562836F6" w14:textId="6D40063F" w:rsidR="00FA2EA7" w:rsidRPr="005229E1" w:rsidRDefault="00324B3A" w:rsidP="00975ED8">
      <w:pPr>
        <w:pStyle w:val="corte4fondo"/>
        <w:numPr>
          <w:ilvl w:val="0"/>
          <w:numId w:val="2"/>
        </w:numPr>
        <w:ind w:left="0" w:right="51" w:hanging="426"/>
        <w:rPr>
          <w:rFonts w:cs="Arial"/>
          <w:sz w:val="26"/>
          <w:szCs w:val="26"/>
        </w:rPr>
      </w:pPr>
      <w:r w:rsidRPr="003F6B95">
        <w:rPr>
          <w:rFonts w:cs="Arial"/>
          <w:color w:val="000000" w:themeColor="text1"/>
          <w:sz w:val="26"/>
          <w:szCs w:val="26"/>
          <w:lang w:val="es-MX"/>
        </w:rPr>
        <w:t>Ahora</w:t>
      </w:r>
      <w:r w:rsidR="00695D30" w:rsidRPr="003F6B95">
        <w:rPr>
          <w:rFonts w:cs="Arial"/>
          <w:color w:val="000000" w:themeColor="text1"/>
          <w:sz w:val="26"/>
          <w:szCs w:val="26"/>
          <w:lang w:val="es-MX"/>
        </w:rPr>
        <w:t>, d</w:t>
      </w:r>
      <w:r w:rsidR="00D53203" w:rsidRPr="003F6B95">
        <w:rPr>
          <w:rFonts w:cs="Arial"/>
          <w:color w:val="000000" w:themeColor="text1"/>
          <w:sz w:val="26"/>
          <w:szCs w:val="26"/>
          <w:lang w:val="es-MX"/>
        </w:rPr>
        <w:t xml:space="preserve">el estudio de las constancias </w:t>
      </w:r>
      <w:r w:rsidR="00723E62" w:rsidRPr="003F6B95">
        <w:rPr>
          <w:rFonts w:cs="Arial"/>
          <w:color w:val="000000" w:themeColor="text1"/>
          <w:sz w:val="26"/>
          <w:szCs w:val="26"/>
          <w:lang w:val="es-MX"/>
        </w:rPr>
        <w:t xml:space="preserve">se advierte que, </w:t>
      </w:r>
      <w:r w:rsidR="00975ED8" w:rsidRPr="003F6B95">
        <w:rPr>
          <w:rFonts w:cs="Arial"/>
          <w:color w:val="000000" w:themeColor="text1"/>
          <w:sz w:val="26"/>
          <w:szCs w:val="26"/>
          <w:lang w:val="es-MX"/>
        </w:rPr>
        <w:t xml:space="preserve">el 2 de marzo de 2018, la persona </w:t>
      </w:r>
      <w:r w:rsidR="00975ED8" w:rsidRPr="005229E1">
        <w:rPr>
          <w:rFonts w:cs="Arial"/>
          <w:sz w:val="26"/>
          <w:szCs w:val="26"/>
          <w:lang w:val="es-MX"/>
        </w:rPr>
        <w:t xml:space="preserve">moral </w:t>
      </w:r>
      <w:r w:rsidR="00975ED8" w:rsidRPr="005229E1">
        <w:rPr>
          <w:rFonts w:cs="Arial"/>
          <w:sz w:val="26"/>
          <w:szCs w:val="26"/>
        </w:rPr>
        <w:t xml:space="preserve">Danhos presentó escrito de contestación de demanda </w:t>
      </w:r>
      <w:r w:rsidR="009459F7" w:rsidRPr="005229E1">
        <w:rPr>
          <w:rFonts w:cs="Arial"/>
          <w:sz w:val="26"/>
          <w:szCs w:val="26"/>
        </w:rPr>
        <w:t>“</w:t>
      </w:r>
      <w:r w:rsidR="00975ED8" w:rsidRPr="005229E1">
        <w:rPr>
          <w:rFonts w:cs="Arial"/>
          <w:i/>
          <w:iCs/>
          <w:sz w:val="26"/>
          <w:szCs w:val="26"/>
        </w:rPr>
        <w:t>ad cautelam</w:t>
      </w:r>
      <w:r w:rsidR="009459F7" w:rsidRPr="005229E1">
        <w:rPr>
          <w:rFonts w:cs="Arial"/>
          <w:i/>
          <w:iCs/>
          <w:sz w:val="26"/>
          <w:szCs w:val="26"/>
        </w:rPr>
        <w:t>”</w:t>
      </w:r>
      <w:r w:rsidR="00975ED8" w:rsidRPr="005229E1">
        <w:rPr>
          <w:rFonts w:cs="Arial"/>
          <w:sz w:val="26"/>
          <w:szCs w:val="26"/>
        </w:rPr>
        <w:t xml:space="preserve">. </w:t>
      </w:r>
      <w:r w:rsidR="00820774" w:rsidRPr="005229E1">
        <w:rPr>
          <w:rFonts w:cs="Arial"/>
          <w:sz w:val="26"/>
          <w:szCs w:val="26"/>
        </w:rPr>
        <w:t>Por</w:t>
      </w:r>
      <w:r w:rsidR="00820774" w:rsidRPr="005229E1">
        <w:rPr>
          <w:rFonts w:cs="Arial"/>
          <w:sz w:val="26"/>
          <w:szCs w:val="26"/>
          <w:lang w:val="es-MX"/>
        </w:rPr>
        <w:t xml:space="preserve"> </w:t>
      </w:r>
      <w:r w:rsidR="00C84B95" w:rsidRPr="005229E1">
        <w:rPr>
          <w:rFonts w:cs="Arial"/>
          <w:sz w:val="26"/>
          <w:szCs w:val="26"/>
          <w:lang w:val="es-MX"/>
        </w:rPr>
        <w:t>acuerdo</w:t>
      </w:r>
      <w:r w:rsidR="00723E62" w:rsidRPr="005229E1">
        <w:rPr>
          <w:rFonts w:cs="Arial"/>
          <w:sz w:val="26"/>
          <w:szCs w:val="26"/>
          <w:lang w:val="es-MX"/>
        </w:rPr>
        <w:t xml:space="preserve"> de </w:t>
      </w:r>
      <w:r w:rsidR="00C84B95" w:rsidRPr="005229E1">
        <w:rPr>
          <w:rFonts w:cs="Arial"/>
          <w:sz w:val="26"/>
          <w:szCs w:val="26"/>
          <w:lang w:val="es-MX"/>
        </w:rPr>
        <w:t xml:space="preserve">8 de marzo de 2018, el juzgado civil </w:t>
      </w:r>
      <w:r w:rsidR="00975ED8" w:rsidRPr="005229E1">
        <w:rPr>
          <w:rFonts w:cs="Arial"/>
          <w:sz w:val="26"/>
          <w:szCs w:val="26"/>
          <w:lang w:val="es-MX"/>
        </w:rPr>
        <w:t>ordenó agregar</w:t>
      </w:r>
      <w:r w:rsidR="00757B76" w:rsidRPr="005229E1">
        <w:rPr>
          <w:rFonts w:cs="Arial"/>
          <w:sz w:val="26"/>
          <w:szCs w:val="26"/>
        </w:rPr>
        <w:t xml:space="preserve"> al expediente </w:t>
      </w:r>
      <w:r w:rsidR="00975ED8" w:rsidRPr="005229E1">
        <w:rPr>
          <w:rFonts w:cs="Arial"/>
          <w:sz w:val="26"/>
          <w:szCs w:val="26"/>
        </w:rPr>
        <w:t>dicho</w:t>
      </w:r>
      <w:r w:rsidR="00757B76" w:rsidRPr="005229E1">
        <w:rPr>
          <w:rFonts w:cs="Arial"/>
          <w:sz w:val="26"/>
          <w:szCs w:val="26"/>
        </w:rPr>
        <w:t xml:space="preserve"> escrito</w:t>
      </w:r>
      <w:r w:rsidR="00CB7B77" w:rsidRPr="005229E1">
        <w:rPr>
          <w:rFonts w:cs="Arial"/>
          <w:sz w:val="26"/>
          <w:szCs w:val="26"/>
        </w:rPr>
        <w:t xml:space="preserve">. Posteriormente, por auto de </w:t>
      </w:r>
      <w:r w:rsidR="002234BC" w:rsidRPr="005229E1">
        <w:rPr>
          <w:rFonts w:cs="Arial"/>
          <w:sz w:val="26"/>
          <w:szCs w:val="26"/>
        </w:rPr>
        <w:t xml:space="preserve">25 de junio de 2018, </w:t>
      </w:r>
      <w:r w:rsidR="00F24FF4" w:rsidRPr="005229E1">
        <w:rPr>
          <w:rFonts w:cs="Arial"/>
          <w:sz w:val="26"/>
          <w:szCs w:val="26"/>
        </w:rPr>
        <w:t>la jueza tuvo por contestada la demanda</w:t>
      </w:r>
      <w:r w:rsidR="00820774" w:rsidRPr="005229E1">
        <w:rPr>
          <w:rFonts w:cs="Arial"/>
          <w:sz w:val="26"/>
          <w:szCs w:val="26"/>
        </w:rPr>
        <w:t>, pero</w:t>
      </w:r>
      <w:r w:rsidR="00F24FF4" w:rsidRPr="005229E1">
        <w:rPr>
          <w:rFonts w:cs="Arial"/>
          <w:sz w:val="26"/>
          <w:szCs w:val="26"/>
        </w:rPr>
        <w:t xml:space="preserve"> por parte de </w:t>
      </w:r>
      <w:r w:rsidR="003B3B86" w:rsidRPr="005229E1">
        <w:rPr>
          <w:rFonts w:cs="Arial"/>
          <w:sz w:val="26"/>
          <w:szCs w:val="26"/>
          <w:lang w:val="es-ES"/>
        </w:rPr>
        <w:t>“Grupo Danhos”</w:t>
      </w:r>
      <w:r w:rsidR="00F24FF4" w:rsidRPr="005229E1">
        <w:rPr>
          <w:rFonts w:cs="Arial"/>
          <w:sz w:val="26"/>
          <w:szCs w:val="26"/>
        </w:rPr>
        <w:t>, de conformidad con lo siguiente</w:t>
      </w:r>
      <w:r w:rsidR="00AB048C" w:rsidRPr="005229E1">
        <w:rPr>
          <w:rStyle w:val="Refdenotaalpie"/>
          <w:rFonts w:cs="Arial"/>
          <w:sz w:val="26"/>
          <w:szCs w:val="26"/>
        </w:rPr>
        <w:footnoteReference w:id="30"/>
      </w:r>
      <w:r w:rsidR="00F24FF4" w:rsidRPr="005229E1">
        <w:rPr>
          <w:rFonts w:cs="Arial"/>
          <w:sz w:val="26"/>
          <w:szCs w:val="26"/>
        </w:rPr>
        <w:t xml:space="preserve">: </w:t>
      </w:r>
    </w:p>
    <w:p w14:paraId="5FD16158" w14:textId="060E6B34" w:rsidR="00FA2EA7" w:rsidRPr="005229E1" w:rsidRDefault="00FA2EA7" w:rsidP="002234BC">
      <w:pPr>
        <w:rPr>
          <w:rFonts w:ascii="Arial" w:hAnsi="Arial" w:cs="Arial"/>
          <w:sz w:val="26"/>
          <w:szCs w:val="26"/>
          <w:lang w:val="es-ES_tradnl"/>
        </w:rPr>
      </w:pPr>
    </w:p>
    <w:p w14:paraId="55A46A54" w14:textId="15BB5498" w:rsidR="0026385F" w:rsidRPr="003F6B95" w:rsidRDefault="00AD7B27" w:rsidP="00C81141">
      <w:pPr>
        <w:pStyle w:val="corte4fondo"/>
        <w:spacing w:after="120" w:line="276" w:lineRule="auto"/>
        <w:ind w:left="567" w:right="618" w:firstLine="0"/>
        <w:rPr>
          <w:rFonts w:cs="Arial"/>
          <w:color w:val="000000" w:themeColor="text1"/>
          <w:sz w:val="24"/>
          <w:szCs w:val="24"/>
          <w:lang w:val="es-ES"/>
        </w:rPr>
      </w:pPr>
      <w:r w:rsidRPr="005229E1">
        <w:rPr>
          <w:rFonts w:cs="Arial"/>
          <w:sz w:val="24"/>
          <w:szCs w:val="24"/>
          <w:lang w:val="es-ES"/>
        </w:rPr>
        <w:t xml:space="preserve">Visto el estado procesal que guardan los presentes autos, se provee los </w:t>
      </w:r>
      <w:r w:rsidRPr="005229E1">
        <w:rPr>
          <w:rFonts w:cs="Arial"/>
          <w:sz w:val="24"/>
          <w:szCs w:val="24"/>
          <w:u w:val="single"/>
          <w:lang w:val="es-ES"/>
        </w:rPr>
        <w:t xml:space="preserve">escritos de contestación de demanda presentados por los codemandados </w:t>
      </w:r>
      <w:r w:rsidR="0026385F" w:rsidRPr="005229E1">
        <w:rPr>
          <w:rFonts w:cs="Arial"/>
          <w:sz w:val="24"/>
          <w:szCs w:val="24"/>
          <w:u w:val="single"/>
          <w:lang w:val="es-ES"/>
        </w:rPr>
        <w:t>Grupo Danhos</w:t>
      </w:r>
      <w:r w:rsidR="00A64452" w:rsidRPr="005229E1">
        <w:rPr>
          <w:rFonts w:cs="Arial"/>
          <w:sz w:val="24"/>
          <w:szCs w:val="24"/>
          <w:u w:val="single"/>
          <w:lang w:val="es-ES"/>
        </w:rPr>
        <w:t>,</w:t>
      </w:r>
      <w:r w:rsidR="0026385F" w:rsidRPr="005229E1">
        <w:rPr>
          <w:rFonts w:cs="Arial"/>
          <w:sz w:val="24"/>
          <w:szCs w:val="24"/>
          <w:u w:val="single"/>
          <w:lang w:val="es-ES"/>
        </w:rPr>
        <w:t xml:space="preserve"> S.A. de C.V.</w:t>
      </w:r>
      <w:r w:rsidRPr="005229E1">
        <w:rPr>
          <w:rFonts w:cs="Arial"/>
          <w:sz w:val="24"/>
          <w:szCs w:val="24"/>
          <w:u w:val="single"/>
          <w:lang w:val="es-ES"/>
        </w:rPr>
        <w:t xml:space="preserve"> y Reforma 222</w:t>
      </w:r>
      <w:r w:rsidR="00A64452" w:rsidRPr="005229E1">
        <w:rPr>
          <w:rFonts w:cs="Arial"/>
          <w:sz w:val="24"/>
          <w:szCs w:val="24"/>
          <w:u w:val="single"/>
          <w:lang w:val="es-ES"/>
        </w:rPr>
        <w:t>,</w:t>
      </w:r>
      <w:r w:rsidRPr="005229E1">
        <w:rPr>
          <w:rFonts w:cs="Arial"/>
          <w:sz w:val="24"/>
          <w:szCs w:val="24"/>
          <w:u w:val="single"/>
          <w:lang w:val="es-ES"/>
        </w:rPr>
        <w:t xml:space="preserve"> S.A. de C.V.</w:t>
      </w:r>
      <w:r w:rsidR="00B058AD" w:rsidRPr="005229E1">
        <w:rPr>
          <w:rFonts w:cs="Arial"/>
          <w:sz w:val="24"/>
          <w:szCs w:val="24"/>
          <w:u w:val="single"/>
          <w:lang w:val="es-ES"/>
        </w:rPr>
        <w:t xml:space="preserve"> </w:t>
      </w:r>
      <w:r w:rsidR="00B058AD" w:rsidRPr="003F6B95">
        <w:rPr>
          <w:rFonts w:cs="Arial"/>
          <w:color w:val="000000" w:themeColor="text1"/>
          <w:sz w:val="24"/>
          <w:szCs w:val="24"/>
          <w:u w:val="single"/>
          <w:lang w:val="es-ES"/>
        </w:rPr>
        <w:t>exhibidos el dos de marzo de dos mil dieciocho</w:t>
      </w:r>
      <w:r w:rsidR="00B058AD" w:rsidRPr="003F6B95">
        <w:rPr>
          <w:rFonts w:cs="Arial"/>
          <w:color w:val="000000" w:themeColor="text1"/>
          <w:sz w:val="24"/>
          <w:szCs w:val="24"/>
          <w:lang w:val="es-ES"/>
        </w:rPr>
        <w:t xml:space="preserve">, en los siguientes términos: </w:t>
      </w:r>
    </w:p>
    <w:p w14:paraId="72C9C247" w14:textId="4EA912C6" w:rsidR="0026385F" w:rsidRPr="005229E1" w:rsidRDefault="0026385F" w:rsidP="00C81141">
      <w:pPr>
        <w:pStyle w:val="corte4fondo"/>
        <w:spacing w:after="120" w:line="276" w:lineRule="auto"/>
        <w:ind w:left="567" w:right="618" w:firstLine="0"/>
        <w:rPr>
          <w:rFonts w:cs="Arial"/>
          <w:sz w:val="24"/>
          <w:szCs w:val="24"/>
          <w:lang w:val="es-ES"/>
        </w:rPr>
      </w:pPr>
      <w:r w:rsidRPr="003F6B95">
        <w:rPr>
          <w:rFonts w:cs="Arial"/>
          <w:color w:val="000000" w:themeColor="text1"/>
          <w:sz w:val="24"/>
          <w:szCs w:val="24"/>
          <w:u w:val="single"/>
          <w:lang w:val="es-ES"/>
        </w:rPr>
        <w:t xml:space="preserve">Se tiene a la codemandada </w:t>
      </w:r>
      <w:r w:rsidRPr="005229E1">
        <w:rPr>
          <w:rFonts w:cs="Arial"/>
          <w:sz w:val="24"/>
          <w:szCs w:val="24"/>
          <w:u w:val="single"/>
          <w:lang w:val="es-ES"/>
        </w:rPr>
        <w:t>Grupo Danhos</w:t>
      </w:r>
      <w:r w:rsidR="00A64452" w:rsidRPr="005229E1">
        <w:rPr>
          <w:rFonts w:cs="Arial"/>
          <w:sz w:val="24"/>
          <w:szCs w:val="24"/>
          <w:u w:val="single"/>
          <w:lang w:val="es-ES"/>
        </w:rPr>
        <w:t>,</w:t>
      </w:r>
      <w:r w:rsidRPr="005229E1">
        <w:rPr>
          <w:rFonts w:cs="Arial"/>
          <w:sz w:val="24"/>
          <w:szCs w:val="24"/>
          <w:u w:val="single"/>
          <w:lang w:val="es-ES"/>
        </w:rPr>
        <w:t xml:space="preserve"> S.A. de C.V. </w:t>
      </w:r>
      <w:r w:rsidR="003428CB" w:rsidRPr="005229E1">
        <w:rPr>
          <w:rFonts w:cs="Arial"/>
          <w:sz w:val="24"/>
          <w:szCs w:val="24"/>
          <w:u w:val="single"/>
          <w:lang w:val="es-ES"/>
        </w:rPr>
        <w:t>en tiempo y forma, dando contestación a la demanda instaurada en su contra,</w:t>
      </w:r>
      <w:r w:rsidR="003428CB" w:rsidRPr="005229E1">
        <w:rPr>
          <w:rFonts w:cs="Arial"/>
          <w:b/>
          <w:sz w:val="24"/>
          <w:szCs w:val="24"/>
          <w:lang w:val="es-ES"/>
        </w:rPr>
        <w:t xml:space="preserve"> </w:t>
      </w:r>
      <w:r w:rsidR="003428CB" w:rsidRPr="005229E1">
        <w:rPr>
          <w:rFonts w:cs="Arial"/>
          <w:sz w:val="24"/>
          <w:szCs w:val="24"/>
          <w:lang w:val="es-ES"/>
        </w:rPr>
        <w:t xml:space="preserve">con las excepciones y defensas que hace valer, dese vista a la contraria, para que en el término de tres días manifieste lo que a su derecho convenga. </w:t>
      </w:r>
    </w:p>
    <w:p w14:paraId="2DC4EF27" w14:textId="4A45D7DD" w:rsidR="000A6E03" w:rsidRPr="003F6B95" w:rsidRDefault="003428CB" w:rsidP="00C81141">
      <w:pPr>
        <w:pStyle w:val="corte4fondo"/>
        <w:spacing w:after="120" w:line="276" w:lineRule="auto"/>
        <w:ind w:left="567" w:right="618" w:firstLine="0"/>
        <w:rPr>
          <w:rFonts w:cs="Arial"/>
          <w:color w:val="000000" w:themeColor="text1"/>
          <w:sz w:val="24"/>
          <w:szCs w:val="24"/>
        </w:rPr>
      </w:pPr>
      <w:r w:rsidRPr="005229E1">
        <w:rPr>
          <w:rFonts w:cs="Arial"/>
          <w:sz w:val="24"/>
          <w:szCs w:val="24"/>
        </w:rPr>
        <w:t xml:space="preserve">Se tiene a la codemandada </w:t>
      </w:r>
      <w:r w:rsidR="000A6E03" w:rsidRPr="005229E1">
        <w:rPr>
          <w:rFonts w:cs="Arial"/>
          <w:sz w:val="24"/>
          <w:szCs w:val="24"/>
        </w:rPr>
        <w:t>Reforma 222</w:t>
      </w:r>
      <w:r w:rsidR="00A64452" w:rsidRPr="005229E1">
        <w:rPr>
          <w:rFonts w:cs="Arial"/>
          <w:sz w:val="24"/>
          <w:szCs w:val="24"/>
        </w:rPr>
        <w:t>,</w:t>
      </w:r>
      <w:r w:rsidR="000A6E03" w:rsidRPr="005229E1">
        <w:rPr>
          <w:rFonts w:cs="Arial"/>
          <w:sz w:val="24"/>
          <w:szCs w:val="24"/>
        </w:rPr>
        <w:t xml:space="preserve"> S.A. de C.V. en tiempo y forma, dando contestación a la demanda instaurada en su contra</w:t>
      </w:r>
      <w:r w:rsidR="000A6E03" w:rsidRPr="003F6B95">
        <w:rPr>
          <w:rFonts w:cs="Arial"/>
          <w:color w:val="000000" w:themeColor="text1"/>
          <w:sz w:val="24"/>
          <w:szCs w:val="24"/>
        </w:rPr>
        <w:t xml:space="preserve">, con las excepciones y defensas que hace valer, </w:t>
      </w:r>
      <w:r w:rsidR="00FD22FE" w:rsidRPr="003F6B95">
        <w:rPr>
          <w:rFonts w:cs="Arial"/>
          <w:color w:val="000000" w:themeColor="text1"/>
          <w:sz w:val="24"/>
          <w:szCs w:val="24"/>
        </w:rPr>
        <w:t xml:space="preserve">entre las que se encuentra la de improcedencia de la vía, </w:t>
      </w:r>
      <w:r w:rsidR="000A6E03" w:rsidRPr="003F6B95">
        <w:rPr>
          <w:rFonts w:cs="Arial"/>
          <w:color w:val="000000" w:themeColor="text1"/>
          <w:sz w:val="24"/>
          <w:szCs w:val="24"/>
        </w:rPr>
        <w:t>dese vista a la contraria, para que en el término de tres días manifieste lo que a su derecho convenga</w:t>
      </w:r>
      <w:r w:rsidR="00F01FCA" w:rsidRPr="003F6B95">
        <w:rPr>
          <w:rFonts w:cs="Arial"/>
          <w:color w:val="000000" w:themeColor="text1"/>
          <w:sz w:val="24"/>
          <w:szCs w:val="24"/>
        </w:rPr>
        <w:t>. (…)</w:t>
      </w:r>
      <w:r w:rsidR="00412E2A" w:rsidRPr="003F6B95">
        <w:rPr>
          <w:rFonts w:cs="Arial"/>
          <w:color w:val="000000" w:themeColor="text1"/>
          <w:sz w:val="24"/>
          <w:szCs w:val="24"/>
        </w:rPr>
        <w:t>.</w:t>
      </w:r>
      <w:r w:rsidR="000A6E03" w:rsidRPr="003F6B95">
        <w:rPr>
          <w:rFonts w:cs="Arial"/>
          <w:color w:val="000000" w:themeColor="text1"/>
          <w:sz w:val="24"/>
          <w:szCs w:val="24"/>
        </w:rPr>
        <w:t xml:space="preserve"> </w:t>
      </w:r>
    </w:p>
    <w:p w14:paraId="706BE9FA" w14:textId="590188AD" w:rsidR="00F01FCA" w:rsidRPr="003F6B95" w:rsidRDefault="00F01FCA" w:rsidP="00C81141">
      <w:pPr>
        <w:pStyle w:val="corte4fondo"/>
        <w:spacing w:line="276" w:lineRule="auto"/>
        <w:ind w:left="567" w:right="616" w:firstLine="0"/>
        <w:jc w:val="right"/>
        <w:rPr>
          <w:rFonts w:cs="Arial"/>
          <w:color w:val="000000" w:themeColor="text1"/>
          <w:sz w:val="24"/>
          <w:szCs w:val="24"/>
        </w:rPr>
      </w:pPr>
      <w:r w:rsidRPr="003F6B95">
        <w:rPr>
          <w:rFonts w:cs="Arial"/>
          <w:color w:val="000000" w:themeColor="text1"/>
          <w:sz w:val="24"/>
          <w:szCs w:val="24"/>
        </w:rPr>
        <w:t>(Énfasis añadido)</w:t>
      </w:r>
    </w:p>
    <w:p w14:paraId="4EF7C99C" w14:textId="77777777" w:rsidR="00114AC0" w:rsidRPr="003F6B95" w:rsidRDefault="00114AC0" w:rsidP="002628AD">
      <w:pPr>
        <w:pStyle w:val="corte4fondo"/>
        <w:ind w:right="51" w:firstLine="0"/>
        <w:rPr>
          <w:rFonts w:cs="Arial"/>
          <w:sz w:val="26"/>
          <w:szCs w:val="26"/>
        </w:rPr>
      </w:pPr>
    </w:p>
    <w:p w14:paraId="5148550D" w14:textId="0D749A8B" w:rsidR="00E54135" w:rsidRPr="003F6B95" w:rsidRDefault="00243F31" w:rsidP="0097519C">
      <w:pPr>
        <w:pStyle w:val="corte4fondo"/>
        <w:numPr>
          <w:ilvl w:val="0"/>
          <w:numId w:val="2"/>
        </w:numPr>
        <w:ind w:left="0" w:right="51" w:hanging="426"/>
        <w:rPr>
          <w:rFonts w:cs="Arial"/>
          <w:color w:val="000000" w:themeColor="text1"/>
          <w:sz w:val="26"/>
          <w:szCs w:val="26"/>
        </w:rPr>
      </w:pPr>
      <w:r w:rsidRPr="003F6B95">
        <w:rPr>
          <w:rFonts w:cs="Arial"/>
          <w:color w:val="000000" w:themeColor="text1"/>
          <w:sz w:val="26"/>
          <w:szCs w:val="26"/>
          <w:lang w:val="es-MX"/>
        </w:rPr>
        <w:t xml:space="preserve">Al respecto, </w:t>
      </w:r>
      <w:r w:rsidR="004A2594" w:rsidRPr="003F6B95">
        <w:rPr>
          <w:rFonts w:cs="Arial"/>
          <w:color w:val="000000" w:themeColor="text1"/>
          <w:sz w:val="26"/>
          <w:szCs w:val="26"/>
          <w:lang w:val="es-MX"/>
        </w:rPr>
        <w:t xml:space="preserve">esta </w:t>
      </w:r>
      <w:r w:rsidR="00A03494">
        <w:rPr>
          <w:rFonts w:cs="Arial"/>
          <w:color w:val="000000" w:themeColor="text1"/>
          <w:sz w:val="26"/>
          <w:szCs w:val="26"/>
          <w:lang w:val="es-MX"/>
        </w:rPr>
        <w:t>Primera Sala</w:t>
      </w:r>
      <w:r w:rsidR="004A2594" w:rsidRPr="003F6B95">
        <w:rPr>
          <w:rFonts w:cs="Arial"/>
          <w:color w:val="000000" w:themeColor="text1"/>
          <w:sz w:val="26"/>
          <w:szCs w:val="26"/>
          <w:lang w:val="es-MX"/>
        </w:rPr>
        <w:t xml:space="preserve"> </w:t>
      </w:r>
      <w:r w:rsidR="00EF5B9B" w:rsidRPr="003F6B95">
        <w:rPr>
          <w:rFonts w:cs="Arial"/>
          <w:color w:val="000000" w:themeColor="text1"/>
          <w:sz w:val="26"/>
          <w:szCs w:val="26"/>
          <w:lang w:val="es-MX"/>
        </w:rPr>
        <w:t xml:space="preserve">advierte que </w:t>
      </w:r>
      <w:r w:rsidR="00742AE5" w:rsidRPr="003F6B95">
        <w:rPr>
          <w:rFonts w:cs="Arial"/>
          <w:color w:val="000000" w:themeColor="text1"/>
          <w:sz w:val="26"/>
          <w:szCs w:val="26"/>
          <w:lang w:val="es-MX"/>
        </w:rPr>
        <w:t xml:space="preserve">las actoras </w:t>
      </w:r>
      <w:r w:rsidR="00EF5B9B" w:rsidRPr="003F6B95">
        <w:rPr>
          <w:rFonts w:cs="Arial"/>
          <w:color w:val="000000" w:themeColor="text1"/>
          <w:sz w:val="26"/>
          <w:szCs w:val="26"/>
          <w:lang w:val="es-MX"/>
        </w:rPr>
        <w:t xml:space="preserve">no combatieron </w:t>
      </w:r>
      <w:r w:rsidR="00742AE5" w:rsidRPr="003F6B95">
        <w:rPr>
          <w:rFonts w:cs="Arial"/>
          <w:color w:val="000000" w:themeColor="text1"/>
          <w:sz w:val="26"/>
          <w:szCs w:val="26"/>
          <w:lang w:val="es-MX"/>
        </w:rPr>
        <w:t xml:space="preserve">el auto </w:t>
      </w:r>
      <w:r w:rsidR="007D0D3F" w:rsidRPr="003F6B95">
        <w:rPr>
          <w:rFonts w:cs="Arial"/>
          <w:color w:val="000000" w:themeColor="text1"/>
          <w:sz w:val="26"/>
          <w:szCs w:val="26"/>
          <w:lang w:val="es-MX"/>
        </w:rPr>
        <w:t xml:space="preserve">de </w:t>
      </w:r>
      <w:r w:rsidR="00FB4C40" w:rsidRPr="003F6B95">
        <w:rPr>
          <w:rFonts w:cs="Arial"/>
          <w:color w:val="000000" w:themeColor="text1"/>
          <w:sz w:val="26"/>
          <w:szCs w:val="26"/>
          <w:lang w:val="es-MX"/>
        </w:rPr>
        <w:t>25 de junio</w:t>
      </w:r>
      <w:r w:rsidR="007D0D3F" w:rsidRPr="003F6B95">
        <w:rPr>
          <w:rFonts w:cs="Arial"/>
          <w:color w:val="000000" w:themeColor="text1"/>
          <w:sz w:val="26"/>
          <w:szCs w:val="26"/>
          <w:lang w:val="es-MX"/>
        </w:rPr>
        <w:t xml:space="preserve"> de 2018</w:t>
      </w:r>
      <w:r w:rsidR="007D0D3F" w:rsidRPr="005229E1">
        <w:rPr>
          <w:rFonts w:cs="Arial"/>
          <w:sz w:val="26"/>
          <w:szCs w:val="26"/>
          <w:lang w:val="es-MX"/>
        </w:rPr>
        <w:t xml:space="preserve">, </w:t>
      </w:r>
      <w:r w:rsidR="00742AE5" w:rsidRPr="005229E1">
        <w:rPr>
          <w:rFonts w:cs="Arial"/>
          <w:sz w:val="26"/>
          <w:szCs w:val="26"/>
          <w:lang w:val="es-MX"/>
        </w:rPr>
        <w:t>por el cual se tuvo “</w:t>
      </w:r>
      <w:r w:rsidR="00454940" w:rsidRPr="005229E1">
        <w:rPr>
          <w:rFonts w:cs="Arial"/>
          <w:sz w:val="26"/>
          <w:szCs w:val="26"/>
        </w:rPr>
        <w:t>a la codemandada Grupo Danhos</w:t>
      </w:r>
      <w:r w:rsidR="003A2FD0" w:rsidRPr="005229E1">
        <w:rPr>
          <w:rFonts w:cs="Arial"/>
          <w:sz w:val="26"/>
          <w:szCs w:val="26"/>
        </w:rPr>
        <w:t>,</w:t>
      </w:r>
      <w:r w:rsidR="00454940" w:rsidRPr="005229E1">
        <w:rPr>
          <w:rFonts w:cs="Arial"/>
          <w:sz w:val="26"/>
          <w:szCs w:val="26"/>
        </w:rPr>
        <w:t xml:space="preserve"> S.A. de C.V. en tiempo y forma, dando contestación a la demanda instaurada en su contra</w:t>
      </w:r>
      <w:r w:rsidR="005E6AEF" w:rsidRPr="005229E1">
        <w:rPr>
          <w:rFonts w:cs="Arial"/>
          <w:sz w:val="26"/>
          <w:szCs w:val="26"/>
        </w:rPr>
        <w:t>”</w:t>
      </w:r>
      <w:r w:rsidR="00F80283" w:rsidRPr="005229E1">
        <w:rPr>
          <w:rFonts w:cs="Arial"/>
          <w:sz w:val="26"/>
          <w:szCs w:val="26"/>
        </w:rPr>
        <w:t>, con base en el escrito presentado por Danhos</w:t>
      </w:r>
      <w:r w:rsidR="002E2F66" w:rsidRPr="005229E1">
        <w:rPr>
          <w:rFonts w:cs="Arial"/>
          <w:sz w:val="26"/>
          <w:szCs w:val="26"/>
        </w:rPr>
        <w:t xml:space="preserve"> el 2 </w:t>
      </w:r>
      <w:r w:rsidR="002E2F66" w:rsidRPr="003F6B95">
        <w:rPr>
          <w:rFonts w:cs="Arial"/>
          <w:color w:val="000000" w:themeColor="text1"/>
          <w:sz w:val="26"/>
          <w:szCs w:val="26"/>
        </w:rPr>
        <w:t>de marzo de 2018</w:t>
      </w:r>
      <w:r w:rsidR="00F80283" w:rsidRPr="003F6B95">
        <w:rPr>
          <w:rFonts w:cs="Arial"/>
          <w:color w:val="000000" w:themeColor="text1"/>
          <w:sz w:val="26"/>
          <w:szCs w:val="26"/>
        </w:rPr>
        <w:t xml:space="preserve">. </w:t>
      </w:r>
      <w:r w:rsidR="00EB348C" w:rsidRPr="003F6B95">
        <w:rPr>
          <w:rFonts w:cs="Arial"/>
          <w:color w:val="000000" w:themeColor="text1"/>
          <w:sz w:val="26"/>
          <w:szCs w:val="26"/>
        </w:rPr>
        <w:t>Ello</w:t>
      </w:r>
      <w:r w:rsidR="00F80283" w:rsidRPr="003F6B95">
        <w:rPr>
          <w:rFonts w:cs="Arial"/>
          <w:color w:val="000000" w:themeColor="text1"/>
          <w:sz w:val="26"/>
          <w:szCs w:val="26"/>
        </w:rPr>
        <w:t>, a pesar de que</w:t>
      </w:r>
      <w:r w:rsidR="004E7AEC" w:rsidRPr="003F6B95">
        <w:rPr>
          <w:rFonts w:cs="Arial"/>
          <w:color w:val="000000" w:themeColor="text1"/>
          <w:sz w:val="26"/>
          <w:szCs w:val="26"/>
        </w:rPr>
        <w:t xml:space="preserve"> sí era posible </w:t>
      </w:r>
      <w:r w:rsidR="007D0D3F" w:rsidRPr="003F6B95">
        <w:rPr>
          <w:rFonts w:cs="Arial"/>
          <w:color w:val="000000" w:themeColor="text1"/>
          <w:sz w:val="26"/>
          <w:szCs w:val="26"/>
        </w:rPr>
        <w:t>impugnar</w:t>
      </w:r>
      <w:r w:rsidR="00EB348C" w:rsidRPr="003F6B95">
        <w:rPr>
          <w:rFonts w:cs="Arial"/>
          <w:color w:val="000000" w:themeColor="text1"/>
          <w:sz w:val="26"/>
          <w:szCs w:val="26"/>
        </w:rPr>
        <w:t xml:space="preserve"> tal auto</w:t>
      </w:r>
      <w:r w:rsidR="00742AE5" w:rsidRPr="003F6B95">
        <w:rPr>
          <w:rFonts w:cs="Arial"/>
          <w:color w:val="000000" w:themeColor="text1"/>
          <w:sz w:val="26"/>
          <w:szCs w:val="26"/>
        </w:rPr>
        <w:t xml:space="preserve"> </w:t>
      </w:r>
      <w:r w:rsidR="00B11FDB" w:rsidRPr="003F6B95">
        <w:rPr>
          <w:rFonts w:cs="Arial"/>
          <w:color w:val="000000" w:themeColor="text1"/>
          <w:sz w:val="26"/>
          <w:szCs w:val="26"/>
        </w:rPr>
        <w:t>con base en</w:t>
      </w:r>
      <w:r w:rsidR="00742AE5" w:rsidRPr="003F6B95">
        <w:rPr>
          <w:rFonts w:cs="Arial"/>
          <w:color w:val="000000" w:themeColor="text1"/>
          <w:sz w:val="26"/>
          <w:szCs w:val="26"/>
        </w:rPr>
        <w:t xml:space="preserve"> </w:t>
      </w:r>
      <w:r w:rsidR="007D0D3F" w:rsidRPr="003F6B95">
        <w:rPr>
          <w:rFonts w:cs="Arial"/>
          <w:color w:val="000000" w:themeColor="text1"/>
          <w:sz w:val="26"/>
          <w:szCs w:val="26"/>
        </w:rPr>
        <w:t xml:space="preserve">los artículos </w:t>
      </w:r>
      <w:r w:rsidR="009B3E03" w:rsidRPr="003F6B95">
        <w:rPr>
          <w:rFonts w:cs="Arial"/>
          <w:color w:val="000000" w:themeColor="text1"/>
          <w:sz w:val="26"/>
          <w:szCs w:val="26"/>
        </w:rPr>
        <w:t>688</w:t>
      </w:r>
      <w:r w:rsidR="00886580" w:rsidRPr="003F6B95">
        <w:rPr>
          <w:rFonts w:cs="Arial"/>
          <w:color w:val="000000" w:themeColor="text1"/>
          <w:sz w:val="26"/>
          <w:szCs w:val="26"/>
        </w:rPr>
        <w:t>, 691</w:t>
      </w:r>
      <w:r w:rsidR="005E6AEF" w:rsidRPr="003F6B95">
        <w:rPr>
          <w:rFonts w:cs="Arial"/>
          <w:color w:val="000000" w:themeColor="text1"/>
          <w:sz w:val="26"/>
          <w:szCs w:val="26"/>
        </w:rPr>
        <w:t xml:space="preserve"> y 692 Bis, fracción III,</w:t>
      </w:r>
      <w:r w:rsidR="007D0D3F" w:rsidRPr="003F6B95">
        <w:rPr>
          <w:rFonts w:cs="Arial"/>
          <w:color w:val="000000" w:themeColor="text1"/>
          <w:sz w:val="26"/>
          <w:szCs w:val="26"/>
        </w:rPr>
        <w:t xml:space="preserve"> del Código de Procedimientos Civiles para el Distrito Federal</w:t>
      </w:r>
      <w:r w:rsidR="00B84009" w:rsidRPr="003F6B95">
        <w:rPr>
          <w:rFonts w:cs="Arial"/>
          <w:color w:val="000000" w:themeColor="text1"/>
          <w:sz w:val="26"/>
          <w:szCs w:val="26"/>
        </w:rPr>
        <w:t>,</w:t>
      </w:r>
      <w:r w:rsidR="006A6158" w:rsidRPr="003F6B95">
        <w:rPr>
          <w:rFonts w:cs="Arial"/>
          <w:color w:val="000000" w:themeColor="text1"/>
          <w:sz w:val="26"/>
          <w:szCs w:val="26"/>
        </w:rPr>
        <w:t xml:space="preserve"> conforme a los </w:t>
      </w:r>
      <w:r w:rsidR="008E2F03" w:rsidRPr="003F6B95">
        <w:rPr>
          <w:rFonts w:cs="Arial"/>
          <w:color w:val="000000" w:themeColor="text1"/>
          <w:sz w:val="26"/>
          <w:szCs w:val="26"/>
        </w:rPr>
        <w:t xml:space="preserve">cuales </w:t>
      </w:r>
      <w:r w:rsidR="008E2F03" w:rsidRPr="003F6B95">
        <w:rPr>
          <w:rFonts w:cs="Arial"/>
          <w:color w:val="000000" w:themeColor="text1"/>
          <w:sz w:val="26"/>
          <w:szCs w:val="26"/>
        </w:rPr>
        <w:lastRenderedPageBreak/>
        <w:t>procede</w:t>
      </w:r>
      <w:r w:rsidR="00B84009" w:rsidRPr="003F6B95">
        <w:rPr>
          <w:rFonts w:cs="Arial"/>
          <w:color w:val="000000" w:themeColor="text1"/>
          <w:sz w:val="26"/>
          <w:szCs w:val="26"/>
        </w:rPr>
        <w:t xml:space="preserve"> </w:t>
      </w:r>
      <w:r w:rsidR="007D0D3F" w:rsidRPr="003F6B95">
        <w:rPr>
          <w:rFonts w:cs="Arial"/>
          <w:color w:val="000000" w:themeColor="text1"/>
          <w:sz w:val="26"/>
          <w:szCs w:val="26"/>
        </w:rPr>
        <w:t>el recurso de apelación en contra del</w:t>
      </w:r>
      <w:r w:rsidR="008439F3" w:rsidRPr="003F6B95">
        <w:rPr>
          <w:rFonts w:cs="Arial"/>
          <w:sz w:val="26"/>
          <w:szCs w:val="26"/>
        </w:rPr>
        <w:t xml:space="preserve"> “</w:t>
      </w:r>
      <w:r w:rsidR="008E2F03" w:rsidRPr="003F6B95">
        <w:rPr>
          <w:rFonts w:cs="Arial"/>
          <w:color w:val="000000" w:themeColor="text1"/>
          <w:sz w:val="26"/>
          <w:szCs w:val="26"/>
        </w:rPr>
        <w:t>auto que tenga por contestada la demanda</w:t>
      </w:r>
      <w:r w:rsidR="008439F3" w:rsidRPr="003F6B95">
        <w:rPr>
          <w:rFonts w:cs="Arial"/>
          <w:color w:val="000000" w:themeColor="text1"/>
          <w:sz w:val="26"/>
          <w:szCs w:val="26"/>
        </w:rPr>
        <w:t>”</w:t>
      </w:r>
      <w:r w:rsidR="00B84009" w:rsidRPr="003F6B95">
        <w:rPr>
          <w:rStyle w:val="Refdenotaalpie"/>
          <w:rFonts w:cs="Arial"/>
          <w:color w:val="000000" w:themeColor="text1"/>
          <w:sz w:val="26"/>
          <w:szCs w:val="26"/>
        </w:rPr>
        <w:footnoteReference w:id="31"/>
      </w:r>
      <w:r w:rsidR="00B84009" w:rsidRPr="003F6B95">
        <w:rPr>
          <w:rFonts w:cs="Arial"/>
          <w:color w:val="000000" w:themeColor="text1"/>
          <w:sz w:val="26"/>
          <w:szCs w:val="26"/>
        </w:rPr>
        <w:t>.</w:t>
      </w:r>
    </w:p>
    <w:p w14:paraId="6C729C80" w14:textId="77777777" w:rsidR="00E54135" w:rsidRPr="003F6B95" w:rsidRDefault="00E54135" w:rsidP="002628AD">
      <w:pPr>
        <w:pStyle w:val="corte4fondo"/>
        <w:ind w:right="51" w:firstLine="0"/>
        <w:rPr>
          <w:rFonts w:cs="Arial"/>
          <w:color w:val="000000" w:themeColor="text1"/>
          <w:sz w:val="26"/>
          <w:szCs w:val="26"/>
        </w:rPr>
      </w:pPr>
    </w:p>
    <w:p w14:paraId="62077992" w14:textId="02C04AEB" w:rsidR="00E54135" w:rsidRPr="003F6B95" w:rsidRDefault="0058048E" w:rsidP="00226110">
      <w:pPr>
        <w:pStyle w:val="corte4fondo"/>
        <w:numPr>
          <w:ilvl w:val="0"/>
          <w:numId w:val="2"/>
        </w:numPr>
        <w:ind w:left="0" w:right="51" w:hanging="426"/>
        <w:rPr>
          <w:rFonts w:cs="Arial"/>
          <w:color w:val="000000" w:themeColor="text1"/>
          <w:sz w:val="26"/>
          <w:szCs w:val="26"/>
        </w:rPr>
      </w:pPr>
      <w:r w:rsidRPr="003F6B95">
        <w:rPr>
          <w:rFonts w:cs="Arial"/>
          <w:color w:val="000000" w:themeColor="text1"/>
          <w:sz w:val="26"/>
          <w:szCs w:val="26"/>
        </w:rPr>
        <w:t xml:space="preserve"> </w:t>
      </w:r>
      <w:r w:rsidR="00226110" w:rsidRPr="003F6B95">
        <w:rPr>
          <w:rFonts w:cs="Arial"/>
          <w:color w:val="000000" w:themeColor="text1"/>
          <w:sz w:val="26"/>
          <w:szCs w:val="26"/>
        </w:rPr>
        <w:t xml:space="preserve">Esta </w:t>
      </w:r>
      <w:r w:rsidR="004B71D0" w:rsidRPr="003F6B95">
        <w:rPr>
          <w:rFonts w:cs="Arial"/>
          <w:color w:val="000000" w:themeColor="text1"/>
          <w:sz w:val="26"/>
          <w:szCs w:val="26"/>
        </w:rPr>
        <w:t xml:space="preserve">Primera </w:t>
      </w:r>
      <w:r w:rsidR="00226110" w:rsidRPr="003F6B95">
        <w:rPr>
          <w:rFonts w:cs="Arial"/>
          <w:color w:val="000000" w:themeColor="text1"/>
          <w:sz w:val="26"/>
          <w:szCs w:val="26"/>
        </w:rPr>
        <w:t>Sala también advierte que, en</w:t>
      </w:r>
      <w:r w:rsidR="00AB048C" w:rsidRPr="003F6B95">
        <w:rPr>
          <w:rFonts w:cs="Arial"/>
          <w:color w:val="000000" w:themeColor="text1"/>
          <w:sz w:val="26"/>
          <w:szCs w:val="26"/>
        </w:rPr>
        <w:t xml:space="preserve"> diverso</w:t>
      </w:r>
      <w:r w:rsidR="009F363B" w:rsidRPr="003F6B95">
        <w:rPr>
          <w:rFonts w:cs="Arial"/>
          <w:color w:val="000000" w:themeColor="text1"/>
          <w:sz w:val="26"/>
          <w:szCs w:val="26"/>
        </w:rPr>
        <w:t>s</w:t>
      </w:r>
      <w:r w:rsidR="00AB048C" w:rsidRPr="003F6B95">
        <w:rPr>
          <w:rFonts w:cs="Arial"/>
          <w:color w:val="000000" w:themeColor="text1"/>
          <w:sz w:val="26"/>
          <w:szCs w:val="26"/>
        </w:rPr>
        <w:t xml:space="preserve"> momento</w:t>
      </w:r>
      <w:r w:rsidR="009F363B" w:rsidRPr="003F6B95">
        <w:rPr>
          <w:rFonts w:cs="Arial"/>
          <w:color w:val="000000" w:themeColor="text1"/>
          <w:sz w:val="26"/>
          <w:szCs w:val="26"/>
        </w:rPr>
        <w:t xml:space="preserve">s </w:t>
      </w:r>
      <w:r w:rsidR="00AB048C" w:rsidRPr="003F6B95">
        <w:rPr>
          <w:rFonts w:cs="Arial"/>
          <w:color w:val="000000" w:themeColor="text1"/>
          <w:sz w:val="26"/>
          <w:szCs w:val="26"/>
        </w:rPr>
        <w:t>procesal</w:t>
      </w:r>
      <w:r w:rsidR="009F363B" w:rsidRPr="003F6B95">
        <w:rPr>
          <w:rFonts w:cs="Arial"/>
          <w:color w:val="000000" w:themeColor="text1"/>
          <w:sz w:val="26"/>
          <w:szCs w:val="26"/>
        </w:rPr>
        <w:t>es</w:t>
      </w:r>
      <w:r w:rsidR="00AB048C" w:rsidRPr="003F6B95">
        <w:rPr>
          <w:rFonts w:cs="Arial"/>
          <w:color w:val="000000" w:themeColor="text1"/>
          <w:sz w:val="26"/>
          <w:szCs w:val="26"/>
        </w:rPr>
        <w:t xml:space="preserve">, </w:t>
      </w:r>
      <w:r w:rsidR="00AB048C" w:rsidRPr="003F6B95">
        <w:rPr>
          <w:rFonts w:cs="Arial"/>
          <w:color w:val="000000" w:themeColor="text1"/>
          <w:sz w:val="26"/>
          <w:szCs w:val="26"/>
          <w:lang w:val="es-MX"/>
        </w:rPr>
        <w:t>el juzgado civil ordenó agregar al expediente</w:t>
      </w:r>
      <w:r w:rsidR="00EE1F4C" w:rsidRPr="003F6B95">
        <w:rPr>
          <w:rFonts w:cs="Arial"/>
          <w:color w:val="000000" w:themeColor="text1"/>
          <w:sz w:val="26"/>
          <w:szCs w:val="26"/>
          <w:lang w:val="es-MX"/>
        </w:rPr>
        <w:t xml:space="preserve"> </w:t>
      </w:r>
      <w:r w:rsidR="009F363B" w:rsidRPr="003F6B95">
        <w:rPr>
          <w:rFonts w:cs="Arial"/>
          <w:color w:val="000000" w:themeColor="text1"/>
          <w:sz w:val="26"/>
          <w:szCs w:val="26"/>
          <w:lang w:val="es-MX"/>
        </w:rPr>
        <w:t xml:space="preserve">los </w:t>
      </w:r>
      <w:r w:rsidR="00AB048C" w:rsidRPr="003F6B95">
        <w:rPr>
          <w:rFonts w:cs="Arial"/>
          <w:color w:val="000000" w:themeColor="text1"/>
          <w:sz w:val="26"/>
          <w:szCs w:val="26"/>
          <w:lang w:val="es-MX"/>
        </w:rPr>
        <w:t>escrito</w:t>
      </w:r>
      <w:r w:rsidR="009F363B" w:rsidRPr="003F6B95">
        <w:rPr>
          <w:rFonts w:cs="Arial"/>
          <w:color w:val="000000" w:themeColor="text1"/>
          <w:sz w:val="26"/>
          <w:szCs w:val="26"/>
          <w:lang w:val="es-MX"/>
        </w:rPr>
        <w:t>s</w:t>
      </w:r>
      <w:r w:rsidR="00AB048C" w:rsidRPr="003F6B95">
        <w:rPr>
          <w:rFonts w:cs="Arial"/>
          <w:color w:val="000000" w:themeColor="text1"/>
          <w:sz w:val="26"/>
          <w:szCs w:val="26"/>
          <w:lang w:val="es-MX"/>
        </w:rPr>
        <w:t xml:space="preserve"> de cuenta de </w:t>
      </w:r>
      <w:r w:rsidR="00DF3766" w:rsidRPr="003F6B95">
        <w:rPr>
          <w:rFonts w:cs="Arial"/>
          <w:color w:val="000000" w:themeColor="text1"/>
          <w:sz w:val="26"/>
          <w:szCs w:val="26"/>
          <w:lang w:val="es-MX"/>
        </w:rPr>
        <w:t>“</w:t>
      </w:r>
      <w:r w:rsidR="00AB048C" w:rsidRPr="003F6B95">
        <w:rPr>
          <w:rFonts w:cs="Arial"/>
          <w:color w:val="000000" w:themeColor="text1"/>
          <w:sz w:val="26"/>
          <w:szCs w:val="26"/>
          <w:lang w:val="es-MX"/>
        </w:rPr>
        <w:t xml:space="preserve">la parte </w:t>
      </w:r>
      <w:r w:rsidR="00AB048C" w:rsidRPr="005229E1">
        <w:rPr>
          <w:rFonts w:cs="Arial"/>
          <w:sz w:val="26"/>
          <w:szCs w:val="26"/>
          <w:lang w:val="es-MX"/>
        </w:rPr>
        <w:t xml:space="preserve">demandada </w:t>
      </w:r>
      <w:r w:rsidR="00AB048C" w:rsidRPr="005229E1">
        <w:rPr>
          <w:rFonts w:cs="Arial"/>
          <w:sz w:val="26"/>
          <w:szCs w:val="26"/>
        </w:rPr>
        <w:t>Danhos S.A. de C.V.</w:t>
      </w:r>
      <w:r w:rsidR="00AB048C" w:rsidRPr="005229E1">
        <w:rPr>
          <w:rFonts w:cs="Arial"/>
          <w:sz w:val="26"/>
          <w:szCs w:val="26"/>
          <w:lang w:val="es-MX"/>
        </w:rPr>
        <w:t>”</w:t>
      </w:r>
      <w:r w:rsidR="009F363B" w:rsidRPr="005229E1">
        <w:rPr>
          <w:rFonts w:cs="Arial"/>
          <w:sz w:val="26"/>
          <w:szCs w:val="26"/>
          <w:lang w:val="es-MX"/>
        </w:rPr>
        <w:t xml:space="preserve"> (</w:t>
      </w:r>
      <w:r w:rsidR="00326B7C" w:rsidRPr="005229E1">
        <w:rPr>
          <w:rFonts w:cs="Arial"/>
          <w:sz w:val="26"/>
          <w:szCs w:val="26"/>
          <w:lang w:val="es-MX"/>
        </w:rPr>
        <w:t xml:space="preserve">por ejemplo, en los </w:t>
      </w:r>
      <w:r w:rsidR="009F363B" w:rsidRPr="005229E1">
        <w:rPr>
          <w:rFonts w:cs="Arial"/>
          <w:sz w:val="26"/>
          <w:szCs w:val="26"/>
          <w:lang w:val="es-MX"/>
        </w:rPr>
        <w:t>autos de</w:t>
      </w:r>
      <w:r w:rsidR="004B71D0" w:rsidRPr="005229E1">
        <w:rPr>
          <w:rFonts w:cs="Arial"/>
          <w:sz w:val="26"/>
          <w:szCs w:val="26"/>
          <w:lang w:val="es-MX"/>
        </w:rPr>
        <w:t xml:space="preserve"> 10 de junio</w:t>
      </w:r>
      <w:r w:rsidR="009F363B" w:rsidRPr="005229E1">
        <w:rPr>
          <w:rFonts w:cs="Arial"/>
          <w:sz w:val="26"/>
          <w:szCs w:val="26"/>
          <w:lang w:val="es-MX"/>
        </w:rPr>
        <w:t xml:space="preserve"> </w:t>
      </w:r>
      <w:r w:rsidR="004B71D0" w:rsidRPr="005229E1">
        <w:rPr>
          <w:rFonts w:cs="Arial"/>
          <w:sz w:val="26"/>
          <w:szCs w:val="26"/>
          <w:lang w:val="es-MX"/>
        </w:rPr>
        <w:t xml:space="preserve">y </w:t>
      </w:r>
      <w:r w:rsidR="009F363B" w:rsidRPr="005229E1">
        <w:rPr>
          <w:rFonts w:cs="Arial"/>
          <w:sz w:val="26"/>
          <w:szCs w:val="26"/>
          <w:lang w:val="es-MX"/>
        </w:rPr>
        <w:t>20 de agosto de 2018</w:t>
      </w:r>
      <w:r w:rsidR="004B71D0" w:rsidRPr="005229E1">
        <w:rPr>
          <w:rFonts w:cs="Arial"/>
          <w:sz w:val="26"/>
          <w:szCs w:val="26"/>
          <w:lang w:val="es-MX"/>
        </w:rPr>
        <w:t>, entre otros</w:t>
      </w:r>
      <w:r w:rsidR="009F363B" w:rsidRPr="005229E1">
        <w:rPr>
          <w:rFonts w:cs="Arial"/>
          <w:sz w:val="26"/>
          <w:szCs w:val="26"/>
          <w:lang w:val="es-MX"/>
        </w:rPr>
        <w:t>)</w:t>
      </w:r>
      <w:r w:rsidR="00AB048C" w:rsidRPr="005229E1">
        <w:rPr>
          <w:rStyle w:val="Refdenotaalpie"/>
          <w:rFonts w:cs="Arial"/>
          <w:sz w:val="26"/>
          <w:szCs w:val="26"/>
          <w:lang w:val="es-MX"/>
        </w:rPr>
        <w:footnoteReference w:id="32"/>
      </w:r>
      <w:r w:rsidR="00AB048C" w:rsidRPr="005229E1">
        <w:rPr>
          <w:rFonts w:cs="Arial"/>
          <w:sz w:val="26"/>
          <w:szCs w:val="26"/>
          <w:lang w:val="es-MX"/>
        </w:rPr>
        <w:t>.</w:t>
      </w:r>
      <w:r w:rsidR="00326B7C" w:rsidRPr="005229E1">
        <w:rPr>
          <w:rFonts w:cs="Arial"/>
          <w:sz w:val="26"/>
          <w:szCs w:val="26"/>
          <w:lang w:val="es-MX"/>
        </w:rPr>
        <w:t xml:space="preserve"> Sin embargo, las actoras </w:t>
      </w:r>
      <w:r w:rsidR="00D34927" w:rsidRPr="005229E1">
        <w:rPr>
          <w:rFonts w:cs="Arial"/>
          <w:sz w:val="26"/>
          <w:szCs w:val="26"/>
          <w:lang w:val="es-MX"/>
        </w:rPr>
        <w:t>tampoco</w:t>
      </w:r>
      <w:r w:rsidR="00EE1F4C" w:rsidRPr="005229E1">
        <w:rPr>
          <w:rFonts w:cs="Arial"/>
          <w:sz w:val="26"/>
          <w:szCs w:val="26"/>
          <w:lang w:val="es-MX"/>
        </w:rPr>
        <w:t xml:space="preserve"> combatieron</w:t>
      </w:r>
      <w:r w:rsidR="00326B7C" w:rsidRPr="005229E1">
        <w:rPr>
          <w:rFonts w:cs="Arial"/>
          <w:sz w:val="26"/>
          <w:szCs w:val="26"/>
          <w:lang w:val="es-MX"/>
        </w:rPr>
        <w:t xml:space="preserve"> </w:t>
      </w:r>
      <w:r w:rsidR="00D34927" w:rsidRPr="005229E1">
        <w:rPr>
          <w:rFonts w:cs="Arial"/>
          <w:sz w:val="26"/>
          <w:szCs w:val="26"/>
          <w:lang w:val="es-MX"/>
        </w:rPr>
        <w:t>esta</w:t>
      </w:r>
      <w:r w:rsidR="00326B7C" w:rsidRPr="005229E1">
        <w:rPr>
          <w:rFonts w:cs="Arial"/>
          <w:sz w:val="26"/>
          <w:szCs w:val="26"/>
          <w:lang w:val="es-MX"/>
        </w:rPr>
        <w:t xml:space="preserve"> referencia a </w:t>
      </w:r>
      <w:r w:rsidR="00326B7C" w:rsidRPr="005229E1">
        <w:rPr>
          <w:rFonts w:cs="Arial"/>
          <w:sz w:val="26"/>
          <w:szCs w:val="26"/>
        </w:rPr>
        <w:t>Danhos</w:t>
      </w:r>
      <w:r w:rsidR="002B331F" w:rsidRPr="005229E1">
        <w:rPr>
          <w:rFonts w:cs="Arial"/>
          <w:sz w:val="26"/>
          <w:szCs w:val="26"/>
        </w:rPr>
        <w:t xml:space="preserve"> </w:t>
      </w:r>
      <w:r w:rsidR="00326B7C" w:rsidRPr="005229E1">
        <w:rPr>
          <w:rFonts w:cs="Arial"/>
          <w:sz w:val="26"/>
          <w:szCs w:val="26"/>
        </w:rPr>
        <w:t xml:space="preserve">como </w:t>
      </w:r>
      <w:r w:rsidR="00EE1F4C" w:rsidRPr="003F6B95">
        <w:rPr>
          <w:rFonts w:cs="Arial"/>
          <w:color w:val="000000" w:themeColor="text1"/>
          <w:sz w:val="26"/>
          <w:szCs w:val="26"/>
        </w:rPr>
        <w:t>“</w:t>
      </w:r>
      <w:r w:rsidR="00326B7C" w:rsidRPr="003F6B95">
        <w:rPr>
          <w:rFonts w:cs="Arial"/>
          <w:color w:val="000000" w:themeColor="text1"/>
          <w:sz w:val="26"/>
          <w:szCs w:val="26"/>
        </w:rPr>
        <w:t>parte demandada</w:t>
      </w:r>
      <w:r w:rsidR="00EE1F4C" w:rsidRPr="003F6B95">
        <w:rPr>
          <w:rFonts w:cs="Arial"/>
          <w:color w:val="000000" w:themeColor="text1"/>
          <w:sz w:val="26"/>
          <w:szCs w:val="26"/>
        </w:rPr>
        <w:t>”</w:t>
      </w:r>
      <w:r w:rsidR="00326B7C" w:rsidRPr="003F6B95">
        <w:rPr>
          <w:rFonts w:cs="Arial"/>
          <w:color w:val="000000" w:themeColor="text1"/>
          <w:sz w:val="26"/>
          <w:szCs w:val="26"/>
        </w:rPr>
        <w:t xml:space="preserve"> en el juicio, mediante el recurso de revocación o la solicitud de regularización del procedimiento, previsto</w:t>
      </w:r>
      <w:r w:rsidR="00D34927" w:rsidRPr="003F6B95">
        <w:rPr>
          <w:rFonts w:cs="Arial"/>
          <w:color w:val="000000" w:themeColor="text1"/>
          <w:sz w:val="26"/>
          <w:szCs w:val="26"/>
        </w:rPr>
        <w:t>s</w:t>
      </w:r>
      <w:r w:rsidR="00326B7C" w:rsidRPr="003F6B95">
        <w:rPr>
          <w:rFonts w:cs="Arial"/>
          <w:color w:val="000000" w:themeColor="text1"/>
          <w:sz w:val="26"/>
          <w:szCs w:val="26"/>
        </w:rPr>
        <w:t xml:space="preserve"> en los artículos </w:t>
      </w:r>
      <w:r w:rsidR="002372B8" w:rsidRPr="003F6B95">
        <w:rPr>
          <w:rFonts w:cs="Arial"/>
          <w:color w:val="000000" w:themeColor="text1"/>
          <w:sz w:val="26"/>
          <w:szCs w:val="26"/>
        </w:rPr>
        <w:t xml:space="preserve">684 y 685 </w:t>
      </w:r>
      <w:r w:rsidR="00326B7C" w:rsidRPr="003F6B95">
        <w:rPr>
          <w:rFonts w:cs="Arial"/>
          <w:color w:val="000000" w:themeColor="text1"/>
          <w:sz w:val="26"/>
          <w:szCs w:val="26"/>
        </w:rPr>
        <w:t>del Código de Procedimientos Civiles para el Distrito Federal</w:t>
      </w:r>
      <w:r w:rsidR="00ED264B" w:rsidRPr="003F6B95">
        <w:rPr>
          <w:rStyle w:val="Refdenotaalpie"/>
          <w:rFonts w:cs="Arial"/>
          <w:color w:val="000000" w:themeColor="text1"/>
          <w:sz w:val="26"/>
          <w:szCs w:val="26"/>
        </w:rPr>
        <w:footnoteReference w:id="33"/>
      </w:r>
      <w:r w:rsidR="00326B7C" w:rsidRPr="003F6B95">
        <w:rPr>
          <w:rFonts w:cs="Arial"/>
          <w:color w:val="000000" w:themeColor="text1"/>
          <w:sz w:val="26"/>
          <w:szCs w:val="26"/>
        </w:rPr>
        <w:t>.</w:t>
      </w:r>
    </w:p>
    <w:p w14:paraId="1BBE2DB0" w14:textId="77777777" w:rsidR="004B71D0" w:rsidRPr="003F6B95" w:rsidRDefault="004B71D0" w:rsidP="002628AD">
      <w:pPr>
        <w:pStyle w:val="corte4fondo"/>
        <w:ind w:right="51" w:firstLine="0"/>
        <w:rPr>
          <w:rFonts w:cs="Arial"/>
          <w:color w:val="000000" w:themeColor="text1"/>
          <w:sz w:val="26"/>
          <w:szCs w:val="26"/>
        </w:rPr>
      </w:pPr>
    </w:p>
    <w:p w14:paraId="131E2CE6" w14:textId="369E98B8" w:rsidR="00804719" w:rsidRPr="003F6B95" w:rsidRDefault="0058048E" w:rsidP="002628AD">
      <w:pPr>
        <w:pStyle w:val="corte4fondo"/>
        <w:numPr>
          <w:ilvl w:val="0"/>
          <w:numId w:val="2"/>
        </w:numPr>
        <w:ind w:left="0" w:right="51" w:hanging="426"/>
        <w:rPr>
          <w:rFonts w:cs="Arial"/>
          <w:color w:val="000000" w:themeColor="text1"/>
          <w:sz w:val="26"/>
          <w:szCs w:val="26"/>
        </w:rPr>
      </w:pPr>
      <w:r w:rsidRPr="003F6B95">
        <w:rPr>
          <w:rFonts w:cs="Arial"/>
          <w:color w:val="000000" w:themeColor="text1"/>
          <w:sz w:val="26"/>
          <w:szCs w:val="26"/>
        </w:rPr>
        <w:t xml:space="preserve">En ese sentido, </w:t>
      </w:r>
      <w:r w:rsidR="00846788" w:rsidRPr="003F6B95">
        <w:rPr>
          <w:rFonts w:cs="Arial"/>
          <w:color w:val="000000" w:themeColor="text1"/>
          <w:sz w:val="26"/>
          <w:szCs w:val="26"/>
        </w:rPr>
        <w:t xml:space="preserve">las hoy quejosas no </w:t>
      </w:r>
      <w:r w:rsidR="00D42A99">
        <w:rPr>
          <w:rFonts w:cs="Arial"/>
          <w:color w:val="000000" w:themeColor="text1"/>
          <w:sz w:val="26"/>
          <w:szCs w:val="26"/>
        </w:rPr>
        <w:t>cumplieron con</w:t>
      </w:r>
      <w:r w:rsidR="00D42A99" w:rsidRPr="003F6B95">
        <w:rPr>
          <w:rFonts w:cs="Arial"/>
          <w:color w:val="000000" w:themeColor="text1"/>
          <w:sz w:val="26"/>
          <w:szCs w:val="26"/>
        </w:rPr>
        <w:t xml:space="preserve"> </w:t>
      </w:r>
      <w:r w:rsidR="006A1260" w:rsidRPr="003F6B95">
        <w:rPr>
          <w:rFonts w:cs="Arial"/>
          <w:color w:val="000000" w:themeColor="text1"/>
          <w:sz w:val="26"/>
          <w:szCs w:val="26"/>
        </w:rPr>
        <w:t>el</w:t>
      </w:r>
      <w:r w:rsidR="002C428E" w:rsidRPr="003F6B95">
        <w:rPr>
          <w:rFonts w:cs="Arial"/>
          <w:color w:val="000000" w:themeColor="text1"/>
          <w:sz w:val="26"/>
          <w:szCs w:val="26"/>
        </w:rPr>
        <w:t xml:space="preserve"> </w:t>
      </w:r>
      <w:r w:rsidR="00445914" w:rsidRPr="003F6B95">
        <w:rPr>
          <w:rFonts w:cs="Arial"/>
          <w:color w:val="000000" w:themeColor="text1"/>
          <w:sz w:val="26"/>
          <w:szCs w:val="26"/>
        </w:rPr>
        <w:t xml:space="preserve">primer </w:t>
      </w:r>
      <w:r w:rsidR="002C428E" w:rsidRPr="003F6B95">
        <w:rPr>
          <w:rFonts w:cs="Arial"/>
          <w:color w:val="000000" w:themeColor="text1"/>
          <w:sz w:val="26"/>
          <w:szCs w:val="26"/>
        </w:rPr>
        <w:t>requisito establecido en el artículo 171 de la Ley de Amparo</w:t>
      </w:r>
      <w:r w:rsidR="006A1260" w:rsidRPr="003F6B95">
        <w:rPr>
          <w:rFonts w:cs="Arial"/>
          <w:color w:val="000000" w:themeColor="text1"/>
          <w:sz w:val="26"/>
          <w:szCs w:val="26"/>
        </w:rPr>
        <w:t>,</w:t>
      </w:r>
      <w:r w:rsidR="002C428E" w:rsidRPr="003F6B95">
        <w:rPr>
          <w:rFonts w:cs="Arial"/>
          <w:color w:val="000000" w:themeColor="text1"/>
          <w:sz w:val="26"/>
          <w:szCs w:val="26"/>
        </w:rPr>
        <w:t xml:space="preserve"> </w:t>
      </w:r>
      <w:r w:rsidR="00846788" w:rsidRPr="003F6B95">
        <w:rPr>
          <w:rFonts w:cs="Arial"/>
          <w:color w:val="000000" w:themeColor="text1"/>
          <w:sz w:val="26"/>
          <w:szCs w:val="26"/>
        </w:rPr>
        <w:t>relativo a la preparación de las violaciones proce</w:t>
      </w:r>
      <w:r w:rsidR="00DE0C23" w:rsidRPr="003F6B95">
        <w:rPr>
          <w:rFonts w:cs="Arial"/>
          <w:color w:val="000000" w:themeColor="text1"/>
          <w:sz w:val="26"/>
          <w:szCs w:val="26"/>
        </w:rPr>
        <w:t>dimenta</w:t>
      </w:r>
      <w:r w:rsidR="00846788" w:rsidRPr="003F6B95">
        <w:rPr>
          <w:rFonts w:cs="Arial"/>
          <w:color w:val="000000" w:themeColor="text1"/>
          <w:sz w:val="26"/>
          <w:szCs w:val="26"/>
        </w:rPr>
        <w:t>les. Por ello,</w:t>
      </w:r>
      <w:r w:rsidR="002C428E" w:rsidRPr="003F6B95">
        <w:rPr>
          <w:rFonts w:cs="Arial"/>
          <w:color w:val="000000" w:themeColor="text1"/>
          <w:sz w:val="26"/>
          <w:szCs w:val="26"/>
        </w:rPr>
        <w:t xml:space="preserve"> </w:t>
      </w:r>
      <w:r w:rsidR="006A1260" w:rsidRPr="003F6B95">
        <w:rPr>
          <w:rFonts w:cs="Arial"/>
          <w:color w:val="000000" w:themeColor="text1"/>
          <w:sz w:val="26"/>
          <w:szCs w:val="26"/>
        </w:rPr>
        <w:t xml:space="preserve">en atención </w:t>
      </w:r>
      <w:r w:rsidR="002C428E" w:rsidRPr="003F6B95">
        <w:rPr>
          <w:rFonts w:cs="Arial"/>
          <w:color w:val="000000" w:themeColor="text1"/>
          <w:sz w:val="26"/>
          <w:szCs w:val="26"/>
        </w:rPr>
        <w:t>al</w:t>
      </w:r>
      <w:r w:rsidRPr="003F6B95">
        <w:rPr>
          <w:rFonts w:cs="Arial"/>
          <w:color w:val="000000" w:themeColor="text1"/>
          <w:sz w:val="26"/>
          <w:szCs w:val="26"/>
        </w:rPr>
        <w:t xml:space="preserve"> criterio de esta Primera Sala,</w:t>
      </w:r>
      <w:r w:rsidRPr="003F6B95">
        <w:rPr>
          <w:rFonts w:cs="Arial"/>
          <w:color w:val="000000" w:themeColor="text1"/>
          <w:sz w:val="26"/>
          <w:szCs w:val="26"/>
          <w:lang w:val="es-MX"/>
        </w:rPr>
        <w:t xml:space="preserve"> </w:t>
      </w:r>
      <w:r w:rsidR="00B20D55" w:rsidRPr="003F6B95">
        <w:rPr>
          <w:rFonts w:cs="Arial"/>
          <w:color w:val="000000" w:themeColor="text1"/>
          <w:sz w:val="26"/>
          <w:szCs w:val="26"/>
          <w:lang w:val="es-MX"/>
        </w:rPr>
        <w:t xml:space="preserve">se estima que </w:t>
      </w:r>
      <w:r w:rsidRPr="003F6B95">
        <w:rPr>
          <w:rFonts w:cs="Arial"/>
          <w:color w:val="000000" w:themeColor="text1"/>
          <w:sz w:val="26"/>
          <w:szCs w:val="26"/>
          <w:lang w:val="es-MX"/>
        </w:rPr>
        <w:t xml:space="preserve">la falta de impugnación </w:t>
      </w:r>
      <w:r w:rsidR="008439F3" w:rsidRPr="003F6B95">
        <w:rPr>
          <w:rFonts w:cs="Arial"/>
          <w:color w:val="000000" w:themeColor="text1"/>
          <w:sz w:val="26"/>
          <w:szCs w:val="26"/>
          <w:lang w:val="es-MX"/>
        </w:rPr>
        <w:t xml:space="preserve">del acuerdo de 25 de junio de 2018 </w:t>
      </w:r>
      <w:r w:rsidR="00F804D1" w:rsidRPr="003F6B95">
        <w:rPr>
          <w:rFonts w:cs="Arial"/>
          <w:color w:val="000000" w:themeColor="text1"/>
          <w:sz w:val="26"/>
          <w:szCs w:val="26"/>
          <w:lang w:val="es-MX"/>
        </w:rPr>
        <w:t xml:space="preserve">mediante el recurso de apelación </w:t>
      </w:r>
      <w:r w:rsidR="00326B7C" w:rsidRPr="003F6B95">
        <w:rPr>
          <w:rFonts w:cs="Arial"/>
          <w:color w:val="000000" w:themeColor="text1"/>
          <w:sz w:val="26"/>
          <w:szCs w:val="26"/>
          <w:lang w:val="es-MX"/>
        </w:rPr>
        <w:t>(</w:t>
      </w:r>
      <w:r w:rsidR="00445914" w:rsidRPr="003F6B95">
        <w:rPr>
          <w:rFonts w:cs="Arial"/>
          <w:color w:val="000000" w:themeColor="text1"/>
          <w:sz w:val="26"/>
          <w:szCs w:val="26"/>
          <w:lang w:val="es-MX"/>
        </w:rPr>
        <w:t>y</w:t>
      </w:r>
      <w:r w:rsidR="00326B7C" w:rsidRPr="003F6B95">
        <w:rPr>
          <w:rFonts w:cs="Arial"/>
          <w:color w:val="000000" w:themeColor="text1"/>
          <w:sz w:val="26"/>
          <w:szCs w:val="26"/>
          <w:lang w:val="es-MX"/>
        </w:rPr>
        <w:t xml:space="preserve">, en todo caso, </w:t>
      </w:r>
      <w:r w:rsidR="00746735" w:rsidRPr="003F6B95">
        <w:rPr>
          <w:rFonts w:cs="Arial"/>
          <w:color w:val="000000" w:themeColor="text1"/>
          <w:sz w:val="26"/>
          <w:szCs w:val="26"/>
          <w:lang w:val="es-MX"/>
        </w:rPr>
        <w:t xml:space="preserve">la </w:t>
      </w:r>
      <w:r w:rsidR="00445914" w:rsidRPr="003F6B95">
        <w:rPr>
          <w:rFonts w:cs="Arial"/>
          <w:color w:val="000000" w:themeColor="text1"/>
          <w:sz w:val="26"/>
          <w:szCs w:val="26"/>
          <w:lang w:val="es-MX"/>
        </w:rPr>
        <w:t>falt</w:t>
      </w:r>
      <w:r w:rsidR="00B20D55" w:rsidRPr="003F6B95">
        <w:rPr>
          <w:rFonts w:cs="Arial"/>
          <w:color w:val="000000" w:themeColor="text1"/>
          <w:sz w:val="26"/>
          <w:szCs w:val="26"/>
          <w:lang w:val="es-MX"/>
        </w:rPr>
        <w:t xml:space="preserve">a de </w:t>
      </w:r>
      <w:r w:rsidR="00746735" w:rsidRPr="003F6B95">
        <w:rPr>
          <w:rFonts w:cs="Arial"/>
          <w:color w:val="000000" w:themeColor="text1"/>
          <w:sz w:val="26"/>
          <w:szCs w:val="26"/>
          <w:lang w:val="es-MX"/>
        </w:rPr>
        <w:t>solicitud de regularización del procedimiento</w:t>
      </w:r>
      <w:r w:rsidR="0073229A" w:rsidRPr="003F6B95">
        <w:rPr>
          <w:rFonts w:cs="Arial"/>
          <w:color w:val="000000" w:themeColor="text1"/>
          <w:sz w:val="26"/>
          <w:szCs w:val="26"/>
          <w:lang w:val="es-MX"/>
        </w:rPr>
        <w:t xml:space="preserve"> a lo largo del juicio</w:t>
      </w:r>
      <w:r w:rsidR="00326B7C" w:rsidRPr="003F6B95">
        <w:rPr>
          <w:rFonts w:cs="Arial"/>
          <w:color w:val="000000" w:themeColor="text1"/>
          <w:sz w:val="26"/>
          <w:szCs w:val="26"/>
          <w:lang w:val="es-MX"/>
        </w:rPr>
        <w:t xml:space="preserve">) </w:t>
      </w:r>
      <w:r w:rsidR="00F804D1" w:rsidRPr="003F6B95">
        <w:rPr>
          <w:rFonts w:cs="Arial"/>
          <w:color w:val="000000" w:themeColor="text1"/>
          <w:sz w:val="26"/>
          <w:szCs w:val="26"/>
          <w:lang w:val="es-MX"/>
        </w:rPr>
        <w:t xml:space="preserve">se tradujo </w:t>
      </w:r>
      <w:r w:rsidRPr="003F6B95">
        <w:rPr>
          <w:rFonts w:cs="Arial"/>
          <w:color w:val="000000" w:themeColor="text1"/>
          <w:sz w:val="26"/>
          <w:szCs w:val="26"/>
          <w:lang w:val="es-MX"/>
        </w:rPr>
        <w:t>en el consentimiento de las actoras de la</w:t>
      </w:r>
      <w:r w:rsidR="00DF308A" w:rsidRPr="003F6B95">
        <w:rPr>
          <w:rFonts w:cs="Arial"/>
          <w:color w:val="000000" w:themeColor="text1"/>
          <w:sz w:val="26"/>
          <w:szCs w:val="26"/>
          <w:lang w:val="es-MX"/>
        </w:rPr>
        <w:t xml:space="preserve"> </w:t>
      </w:r>
      <w:r w:rsidRPr="003F6B95">
        <w:rPr>
          <w:rFonts w:cs="Arial"/>
          <w:color w:val="000000" w:themeColor="text1"/>
          <w:sz w:val="26"/>
          <w:szCs w:val="26"/>
          <w:lang w:val="es-MX"/>
        </w:rPr>
        <w:t>violación</w:t>
      </w:r>
      <w:r w:rsidR="00DF308A" w:rsidRPr="003F6B95">
        <w:rPr>
          <w:rFonts w:cs="Arial"/>
          <w:color w:val="000000" w:themeColor="text1"/>
          <w:sz w:val="26"/>
          <w:szCs w:val="26"/>
          <w:lang w:val="es-MX"/>
        </w:rPr>
        <w:t xml:space="preserve"> </w:t>
      </w:r>
      <w:r w:rsidR="008439F3" w:rsidRPr="003F6B95">
        <w:rPr>
          <w:rFonts w:cs="Arial"/>
          <w:color w:val="000000" w:themeColor="text1"/>
          <w:sz w:val="26"/>
          <w:szCs w:val="26"/>
          <w:lang w:val="es-MX"/>
        </w:rPr>
        <w:t xml:space="preserve">hoy </w:t>
      </w:r>
      <w:r w:rsidRPr="003F6B95">
        <w:rPr>
          <w:rFonts w:cs="Arial"/>
          <w:color w:val="000000" w:themeColor="text1"/>
          <w:sz w:val="26"/>
          <w:szCs w:val="26"/>
          <w:lang w:val="es-MX"/>
        </w:rPr>
        <w:t xml:space="preserve">alegada, por lo que </w:t>
      </w:r>
      <w:r w:rsidR="00C970DC" w:rsidRPr="003F6B95">
        <w:rPr>
          <w:rFonts w:cs="Arial"/>
          <w:color w:val="000000" w:themeColor="text1"/>
          <w:sz w:val="26"/>
          <w:szCs w:val="26"/>
          <w:lang w:val="es-MX"/>
        </w:rPr>
        <w:t>sus planteamientos son inoperantes</w:t>
      </w:r>
      <w:r w:rsidR="00F804D1" w:rsidRPr="003F6B95">
        <w:rPr>
          <w:rFonts w:cs="Arial"/>
          <w:color w:val="000000" w:themeColor="text1"/>
          <w:sz w:val="26"/>
          <w:szCs w:val="26"/>
          <w:lang w:val="es-MX"/>
        </w:rPr>
        <w:t xml:space="preserve">. </w:t>
      </w:r>
    </w:p>
    <w:p w14:paraId="5BFA3D2A" w14:textId="77777777" w:rsidR="008439F3" w:rsidRPr="003F6B95" w:rsidRDefault="008439F3" w:rsidP="002628AD">
      <w:pPr>
        <w:pStyle w:val="corte4fondo"/>
        <w:ind w:right="51" w:firstLine="0"/>
        <w:rPr>
          <w:rFonts w:cs="Arial"/>
          <w:color w:val="000000" w:themeColor="text1"/>
          <w:sz w:val="26"/>
          <w:szCs w:val="26"/>
        </w:rPr>
      </w:pPr>
    </w:p>
    <w:p w14:paraId="2F14D649" w14:textId="4E5FA342" w:rsidR="002211AD" w:rsidRPr="005229E1" w:rsidRDefault="00AA49C1" w:rsidP="1A9D0C58">
      <w:pPr>
        <w:pStyle w:val="corte4fondo"/>
        <w:numPr>
          <w:ilvl w:val="0"/>
          <w:numId w:val="2"/>
        </w:numPr>
        <w:ind w:left="0" w:right="51" w:hanging="426"/>
        <w:rPr>
          <w:rFonts w:cs="Arial"/>
          <w:sz w:val="26"/>
          <w:szCs w:val="26"/>
          <w:lang w:val="es-ES"/>
        </w:rPr>
      </w:pPr>
      <w:r w:rsidRPr="003F6B95">
        <w:rPr>
          <w:rFonts w:cs="Arial"/>
          <w:color w:val="000000" w:themeColor="text1"/>
          <w:sz w:val="26"/>
          <w:szCs w:val="26"/>
          <w:lang w:val="es-ES"/>
        </w:rPr>
        <w:t xml:space="preserve">Incluso, esta </w:t>
      </w:r>
      <w:r w:rsidR="004869CD">
        <w:rPr>
          <w:rFonts w:cs="Arial"/>
          <w:color w:val="000000" w:themeColor="text1"/>
          <w:sz w:val="26"/>
          <w:szCs w:val="26"/>
          <w:lang w:val="es-ES"/>
        </w:rPr>
        <w:t>Primera Sala</w:t>
      </w:r>
      <w:r w:rsidRPr="003F6B95">
        <w:rPr>
          <w:rFonts w:cs="Arial"/>
          <w:color w:val="000000" w:themeColor="text1"/>
          <w:sz w:val="26"/>
          <w:szCs w:val="26"/>
          <w:lang w:val="es-ES"/>
        </w:rPr>
        <w:t xml:space="preserve"> </w:t>
      </w:r>
      <w:r w:rsidR="00DC5A92" w:rsidRPr="003F6B95">
        <w:rPr>
          <w:rFonts w:cs="Arial"/>
          <w:color w:val="000000" w:themeColor="text1"/>
          <w:sz w:val="26"/>
          <w:szCs w:val="26"/>
          <w:lang w:val="es-ES"/>
        </w:rPr>
        <w:t xml:space="preserve">advierte </w:t>
      </w:r>
      <w:r w:rsidR="00DC5A92" w:rsidRPr="005229E1">
        <w:rPr>
          <w:rFonts w:cs="Arial"/>
          <w:sz w:val="26"/>
          <w:szCs w:val="26"/>
          <w:lang w:val="es-ES"/>
        </w:rPr>
        <w:t>que</w:t>
      </w:r>
      <w:r w:rsidR="00EA1802" w:rsidRPr="005229E1">
        <w:rPr>
          <w:rFonts w:cs="Arial"/>
          <w:sz w:val="26"/>
          <w:szCs w:val="26"/>
          <w:lang w:val="es-ES"/>
        </w:rPr>
        <w:t>,</w:t>
      </w:r>
      <w:r w:rsidR="00DC5A92" w:rsidRPr="005229E1">
        <w:rPr>
          <w:rFonts w:cs="Arial"/>
          <w:sz w:val="26"/>
          <w:szCs w:val="26"/>
          <w:lang w:val="es-ES"/>
        </w:rPr>
        <w:t xml:space="preserve"> durante el juicio</w:t>
      </w:r>
      <w:r w:rsidR="00C31D5B" w:rsidRPr="005229E1">
        <w:rPr>
          <w:rFonts w:cs="Arial"/>
          <w:sz w:val="26"/>
          <w:szCs w:val="26"/>
          <w:lang w:val="es-ES"/>
        </w:rPr>
        <w:t>,</w:t>
      </w:r>
      <w:r w:rsidR="00DC5A92" w:rsidRPr="005229E1">
        <w:rPr>
          <w:rFonts w:cs="Arial"/>
          <w:sz w:val="26"/>
          <w:szCs w:val="26"/>
          <w:lang w:val="es-ES"/>
        </w:rPr>
        <w:t xml:space="preserve"> </w:t>
      </w:r>
      <w:r w:rsidR="001D70FB" w:rsidRPr="005229E1">
        <w:rPr>
          <w:rFonts w:cs="Arial"/>
          <w:sz w:val="26"/>
          <w:szCs w:val="26"/>
          <w:lang w:val="es-ES"/>
        </w:rPr>
        <w:t xml:space="preserve">las </w:t>
      </w:r>
      <w:r w:rsidR="00A34926" w:rsidRPr="005229E1">
        <w:rPr>
          <w:rFonts w:cs="Arial"/>
          <w:sz w:val="26"/>
          <w:szCs w:val="26"/>
          <w:lang w:val="es-ES"/>
        </w:rPr>
        <w:t>propias quejosas</w:t>
      </w:r>
      <w:r w:rsidR="00AC5E14" w:rsidRPr="005229E1">
        <w:rPr>
          <w:rFonts w:cs="Arial"/>
          <w:sz w:val="26"/>
          <w:szCs w:val="26"/>
          <w:lang w:val="es-ES"/>
        </w:rPr>
        <w:t xml:space="preserve"> </w:t>
      </w:r>
      <w:r w:rsidR="00F620A8" w:rsidRPr="005229E1">
        <w:rPr>
          <w:rFonts w:cs="Arial"/>
          <w:sz w:val="26"/>
          <w:szCs w:val="26"/>
          <w:lang w:val="es-ES"/>
        </w:rPr>
        <w:t>se refirieron</w:t>
      </w:r>
      <w:r w:rsidR="00493517" w:rsidRPr="005229E1">
        <w:rPr>
          <w:rFonts w:cs="Arial"/>
          <w:sz w:val="26"/>
          <w:szCs w:val="26"/>
          <w:lang w:val="es-ES"/>
        </w:rPr>
        <w:t xml:space="preserve"> al actuar de </w:t>
      </w:r>
      <w:r w:rsidR="007F5773" w:rsidRPr="005229E1">
        <w:rPr>
          <w:rFonts w:cs="Arial"/>
          <w:sz w:val="26"/>
          <w:szCs w:val="26"/>
          <w:lang w:val="es-ES"/>
        </w:rPr>
        <w:t xml:space="preserve">la persona moral </w:t>
      </w:r>
      <w:r w:rsidR="002211AD" w:rsidRPr="005229E1">
        <w:rPr>
          <w:rFonts w:cs="Arial"/>
          <w:sz w:val="26"/>
          <w:szCs w:val="26"/>
          <w:lang w:val="es-ES"/>
        </w:rPr>
        <w:t>Danhos como</w:t>
      </w:r>
      <w:r w:rsidR="00493517" w:rsidRPr="005229E1">
        <w:rPr>
          <w:rFonts w:cs="Arial"/>
          <w:sz w:val="26"/>
          <w:szCs w:val="26"/>
          <w:lang w:val="es-ES"/>
        </w:rPr>
        <w:t xml:space="preserve"> </w:t>
      </w:r>
      <w:r w:rsidR="002211AD" w:rsidRPr="005229E1">
        <w:rPr>
          <w:rFonts w:cs="Arial"/>
          <w:sz w:val="26"/>
          <w:szCs w:val="26"/>
          <w:lang w:val="es-ES"/>
        </w:rPr>
        <w:t>Grupo Danhos</w:t>
      </w:r>
      <w:r w:rsidR="002B331F" w:rsidRPr="005229E1">
        <w:rPr>
          <w:rFonts w:cs="Arial"/>
          <w:sz w:val="26"/>
          <w:szCs w:val="26"/>
          <w:lang w:val="es-ES"/>
        </w:rPr>
        <w:t>.</w:t>
      </w:r>
      <w:r w:rsidR="007F5773" w:rsidRPr="005229E1">
        <w:rPr>
          <w:rFonts w:cs="Arial"/>
          <w:sz w:val="26"/>
          <w:szCs w:val="26"/>
          <w:lang w:val="es-ES"/>
        </w:rPr>
        <w:t xml:space="preserve"> En </w:t>
      </w:r>
      <w:r w:rsidR="00493517" w:rsidRPr="005229E1">
        <w:rPr>
          <w:rFonts w:cs="Arial"/>
          <w:sz w:val="26"/>
          <w:szCs w:val="26"/>
          <w:lang w:val="es-ES"/>
        </w:rPr>
        <w:t>el</w:t>
      </w:r>
      <w:r w:rsidR="00711E82" w:rsidRPr="005229E1">
        <w:rPr>
          <w:rFonts w:cs="Arial"/>
          <w:sz w:val="26"/>
          <w:szCs w:val="26"/>
          <w:lang w:val="es-ES"/>
        </w:rPr>
        <w:t xml:space="preserve"> punto doce del</w:t>
      </w:r>
      <w:r w:rsidR="00493517" w:rsidRPr="005229E1">
        <w:rPr>
          <w:rFonts w:cs="Arial"/>
          <w:sz w:val="26"/>
          <w:szCs w:val="26"/>
          <w:lang w:val="es-ES"/>
        </w:rPr>
        <w:t xml:space="preserve"> recurso de apelación, por ejemplo</w:t>
      </w:r>
      <w:r w:rsidR="007F5773" w:rsidRPr="005229E1">
        <w:rPr>
          <w:rFonts w:cs="Arial"/>
          <w:sz w:val="26"/>
          <w:szCs w:val="26"/>
          <w:lang w:val="es-ES"/>
        </w:rPr>
        <w:t xml:space="preserve">, las actoras </w:t>
      </w:r>
      <w:r w:rsidR="00DA423F" w:rsidRPr="005229E1">
        <w:rPr>
          <w:rFonts w:cs="Arial"/>
          <w:sz w:val="26"/>
          <w:szCs w:val="26"/>
          <w:lang w:val="es-ES"/>
        </w:rPr>
        <w:t>narraron</w:t>
      </w:r>
      <w:r w:rsidR="007F5773" w:rsidRPr="005229E1">
        <w:rPr>
          <w:rFonts w:cs="Arial"/>
          <w:sz w:val="26"/>
          <w:szCs w:val="26"/>
          <w:lang w:val="es-ES"/>
        </w:rPr>
        <w:t xml:space="preserve"> lo siguiente:</w:t>
      </w:r>
    </w:p>
    <w:p w14:paraId="6754BE93" w14:textId="5666F7A3" w:rsidR="007F5773" w:rsidRPr="005229E1" w:rsidRDefault="00FA6901" w:rsidP="00C81141">
      <w:pPr>
        <w:pStyle w:val="corte4fondo"/>
        <w:spacing w:before="240" w:line="276" w:lineRule="auto"/>
        <w:ind w:left="567" w:right="616" w:firstLine="0"/>
        <w:rPr>
          <w:rFonts w:cs="Arial"/>
          <w:sz w:val="24"/>
          <w:szCs w:val="24"/>
          <w:lang w:val="es-ES"/>
        </w:rPr>
      </w:pPr>
      <w:r w:rsidRPr="005229E1">
        <w:rPr>
          <w:rFonts w:cs="Arial"/>
          <w:sz w:val="24"/>
          <w:szCs w:val="24"/>
          <w:lang w:val="es-ES"/>
        </w:rPr>
        <w:lastRenderedPageBreak/>
        <w:t xml:space="preserve">12. </w:t>
      </w:r>
      <w:r w:rsidR="007F5773" w:rsidRPr="005229E1">
        <w:rPr>
          <w:rFonts w:cs="Arial"/>
          <w:sz w:val="24"/>
          <w:szCs w:val="24"/>
          <w:lang w:val="es-ES"/>
        </w:rPr>
        <w:t xml:space="preserve">Mediante escritos presentados el </w:t>
      </w:r>
      <w:r w:rsidR="007F5773" w:rsidRPr="005229E1">
        <w:rPr>
          <w:rFonts w:cs="Arial"/>
          <w:sz w:val="24"/>
          <w:szCs w:val="24"/>
          <w:u w:val="single"/>
          <w:lang w:val="es-ES"/>
        </w:rPr>
        <w:t>2 de marzo</w:t>
      </w:r>
      <w:r w:rsidR="007F5773" w:rsidRPr="005229E1">
        <w:rPr>
          <w:rFonts w:cs="Arial"/>
          <w:sz w:val="24"/>
          <w:szCs w:val="24"/>
          <w:lang w:val="es-ES"/>
        </w:rPr>
        <w:t xml:space="preserve"> y 18 de junio de 2018, </w:t>
      </w:r>
      <w:r w:rsidR="007F5773" w:rsidRPr="005229E1">
        <w:rPr>
          <w:rFonts w:cs="Arial"/>
          <w:sz w:val="24"/>
          <w:szCs w:val="24"/>
          <w:u w:val="single"/>
          <w:lang w:val="es-ES"/>
        </w:rPr>
        <w:t>Grupo Danhos</w:t>
      </w:r>
      <w:r w:rsidR="00DE79EA" w:rsidRPr="005229E1">
        <w:rPr>
          <w:rFonts w:cs="Arial"/>
          <w:sz w:val="24"/>
          <w:szCs w:val="24"/>
          <w:u w:val="single"/>
          <w:lang w:val="es-ES"/>
        </w:rPr>
        <w:t>,</w:t>
      </w:r>
      <w:r w:rsidR="007F5773" w:rsidRPr="005229E1">
        <w:rPr>
          <w:rFonts w:cs="Arial"/>
          <w:sz w:val="24"/>
          <w:szCs w:val="24"/>
          <w:u w:val="single"/>
          <w:lang w:val="es-ES"/>
        </w:rPr>
        <w:t xml:space="preserve"> S.A. de C.V.</w:t>
      </w:r>
      <w:r w:rsidR="007F5773" w:rsidRPr="005229E1">
        <w:rPr>
          <w:rFonts w:cs="Arial"/>
          <w:sz w:val="24"/>
          <w:szCs w:val="24"/>
          <w:lang w:val="es-ES"/>
        </w:rPr>
        <w:t>, Reforma 222</w:t>
      </w:r>
      <w:r w:rsidR="006F11E9" w:rsidRPr="005229E1">
        <w:rPr>
          <w:rFonts w:cs="Arial"/>
          <w:sz w:val="24"/>
          <w:szCs w:val="24"/>
          <w:lang w:val="es-ES"/>
        </w:rPr>
        <w:t>,</w:t>
      </w:r>
      <w:r w:rsidR="007F5773" w:rsidRPr="005229E1">
        <w:rPr>
          <w:rFonts w:cs="Arial"/>
          <w:sz w:val="24"/>
          <w:szCs w:val="24"/>
          <w:lang w:val="es-ES"/>
        </w:rPr>
        <w:t xml:space="preserve"> S.A. de C.V. y Protección </w:t>
      </w:r>
      <w:r w:rsidR="00593914" w:rsidRPr="005229E1">
        <w:rPr>
          <w:rFonts w:cs="Arial"/>
          <w:sz w:val="24"/>
          <w:szCs w:val="24"/>
          <w:lang w:val="es-ES"/>
        </w:rPr>
        <w:t xml:space="preserve">Privada 2010, S. de R.L. de C.V. </w:t>
      </w:r>
      <w:r w:rsidR="00593914" w:rsidRPr="005229E1">
        <w:rPr>
          <w:rFonts w:cs="Arial"/>
          <w:sz w:val="24"/>
          <w:szCs w:val="24"/>
          <w:u w:val="single"/>
          <w:lang w:val="es-ES"/>
        </w:rPr>
        <w:t>dieron contestación a la demanda</w:t>
      </w:r>
      <w:r w:rsidR="00593914" w:rsidRPr="005229E1">
        <w:rPr>
          <w:rFonts w:cs="Arial"/>
          <w:sz w:val="24"/>
          <w:szCs w:val="24"/>
          <w:lang w:val="es-ES"/>
        </w:rPr>
        <w:t xml:space="preserve">. </w:t>
      </w:r>
    </w:p>
    <w:p w14:paraId="26B8EF93" w14:textId="4ADCB668" w:rsidR="00593914" w:rsidRPr="005229E1" w:rsidRDefault="00593914" w:rsidP="00C81141">
      <w:pPr>
        <w:pStyle w:val="corte4fondo"/>
        <w:spacing w:line="276" w:lineRule="auto"/>
        <w:ind w:left="567" w:right="616" w:firstLine="0"/>
        <w:jc w:val="right"/>
        <w:rPr>
          <w:rFonts w:cs="Arial"/>
          <w:sz w:val="24"/>
          <w:szCs w:val="24"/>
        </w:rPr>
      </w:pPr>
      <w:r w:rsidRPr="005229E1">
        <w:rPr>
          <w:rFonts w:cs="Arial"/>
          <w:sz w:val="24"/>
          <w:szCs w:val="24"/>
        </w:rPr>
        <w:t>(Énfasis añadido)</w:t>
      </w:r>
    </w:p>
    <w:p w14:paraId="41BC5A9D" w14:textId="77777777" w:rsidR="00593914" w:rsidRPr="005229E1" w:rsidRDefault="00593914" w:rsidP="002628AD">
      <w:pPr>
        <w:pStyle w:val="corte4fondo"/>
        <w:ind w:right="51" w:firstLine="0"/>
        <w:rPr>
          <w:rFonts w:cs="Arial"/>
          <w:sz w:val="26"/>
          <w:szCs w:val="26"/>
        </w:rPr>
      </w:pPr>
    </w:p>
    <w:p w14:paraId="3F17B6B4" w14:textId="6749FA8F" w:rsidR="00802AB6" w:rsidRPr="005229E1" w:rsidRDefault="00314C06" w:rsidP="0066330A">
      <w:pPr>
        <w:pStyle w:val="corte4fondo"/>
        <w:numPr>
          <w:ilvl w:val="0"/>
          <w:numId w:val="2"/>
        </w:numPr>
        <w:ind w:left="0" w:right="51" w:hanging="426"/>
        <w:rPr>
          <w:rFonts w:cs="Arial"/>
          <w:sz w:val="26"/>
          <w:szCs w:val="26"/>
          <w:lang w:val="es-ES"/>
        </w:rPr>
      </w:pPr>
      <w:r w:rsidRPr="005229E1">
        <w:rPr>
          <w:rFonts w:cs="Arial"/>
          <w:sz w:val="26"/>
          <w:szCs w:val="26"/>
          <w:lang w:val="es-ES"/>
        </w:rPr>
        <w:t xml:space="preserve">Como se </w:t>
      </w:r>
      <w:r w:rsidR="00251329" w:rsidRPr="005229E1">
        <w:rPr>
          <w:rFonts w:cs="Arial"/>
          <w:sz w:val="26"/>
          <w:szCs w:val="26"/>
          <w:lang w:val="es-ES"/>
        </w:rPr>
        <w:t>recontó</w:t>
      </w:r>
      <w:r w:rsidRPr="005229E1">
        <w:rPr>
          <w:rFonts w:cs="Arial"/>
          <w:sz w:val="26"/>
          <w:szCs w:val="26"/>
          <w:lang w:val="es-ES"/>
        </w:rPr>
        <w:t xml:space="preserve"> en párrafos anteriores, </w:t>
      </w:r>
      <w:r w:rsidR="00DA423F" w:rsidRPr="005229E1">
        <w:rPr>
          <w:rFonts w:cs="Arial"/>
          <w:sz w:val="26"/>
          <w:szCs w:val="26"/>
          <w:lang w:val="es-ES"/>
        </w:rPr>
        <w:t xml:space="preserve">precisamente fue Danhos </w:t>
      </w:r>
      <w:r w:rsidR="008202F8" w:rsidRPr="003F6B95">
        <w:rPr>
          <w:rFonts w:cs="Arial"/>
          <w:color w:val="000000" w:themeColor="text1"/>
          <w:sz w:val="26"/>
          <w:szCs w:val="26"/>
          <w:lang w:val="es-ES"/>
        </w:rPr>
        <w:t xml:space="preserve">y no </w:t>
      </w:r>
      <w:r w:rsidR="003B3B86" w:rsidRPr="003B3B86">
        <w:rPr>
          <w:rFonts w:cs="Arial"/>
          <w:color w:val="000000" w:themeColor="text1"/>
          <w:sz w:val="26"/>
          <w:szCs w:val="26"/>
          <w:lang w:val="es-ES"/>
        </w:rPr>
        <w:t>“</w:t>
      </w:r>
      <w:r w:rsidR="003B3B86" w:rsidRPr="005229E1">
        <w:rPr>
          <w:rFonts w:cs="Arial"/>
          <w:sz w:val="26"/>
          <w:szCs w:val="26"/>
          <w:lang w:val="es-ES"/>
        </w:rPr>
        <w:t>Grupo Danhos”</w:t>
      </w:r>
      <w:r w:rsidR="008202F8" w:rsidRPr="005229E1">
        <w:rPr>
          <w:rFonts w:cs="Arial"/>
          <w:sz w:val="26"/>
          <w:szCs w:val="26"/>
          <w:lang w:val="es-ES"/>
        </w:rPr>
        <w:t xml:space="preserve"> </w:t>
      </w:r>
      <w:r w:rsidR="00DA423F" w:rsidRPr="005229E1">
        <w:rPr>
          <w:rFonts w:cs="Arial"/>
          <w:sz w:val="26"/>
          <w:szCs w:val="26"/>
          <w:lang w:val="es-ES"/>
        </w:rPr>
        <w:t xml:space="preserve">quien presentó </w:t>
      </w:r>
      <w:r w:rsidR="008202F8" w:rsidRPr="005229E1">
        <w:rPr>
          <w:rFonts w:cs="Arial"/>
          <w:sz w:val="26"/>
          <w:szCs w:val="26"/>
          <w:lang w:val="es-ES"/>
        </w:rPr>
        <w:t xml:space="preserve">el escrito de </w:t>
      </w:r>
      <w:r w:rsidR="00DA423F" w:rsidRPr="005229E1">
        <w:rPr>
          <w:rFonts w:cs="Arial"/>
          <w:sz w:val="26"/>
          <w:szCs w:val="26"/>
          <w:lang w:val="es-ES"/>
        </w:rPr>
        <w:t xml:space="preserve">contestación </w:t>
      </w:r>
      <w:r w:rsidR="008202F8" w:rsidRPr="005229E1">
        <w:rPr>
          <w:rFonts w:cs="Arial"/>
          <w:sz w:val="26"/>
          <w:szCs w:val="26"/>
          <w:lang w:val="es-ES"/>
        </w:rPr>
        <w:t xml:space="preserve">de demanda el 2 de marzo de 2018. </w:t>
      </w:r>
      <w:r w:rsidR="006F2FE8" w:rsidRPr="005229E1">
        <w:rPr>
          <w:rFonts w:cs="Arial"/>
          <w:sz w:val="26"/>
          <w:szCs w:val="26"/>
          <w:lang w:val="es-ES"/>
        </w:rPr>
        <w:t>Asimismo, n</w:t>
      </w:r>
      <w:r w:rsidR="00551DF4" w:rsidRPr="005229E1">
        <w:rPr>
          <w:rFonts w:cs="Arial"/>
          <w:sz w:val="26"/>
          <w:szCs w:val="26"/>
          <w:lang w:val="es-ES"/>
        </w:rPr>
        <w:t xml:space="preserve">o se advierte que la persona moral </w:t>
      </w:r>
      <w:r w:rsidR="003B3B86" w:rsidRPr="005229E1">
        <w:rPr>
          <w:rFonts w:cs="Arial"/>
          <w:sz w:val="26"/>
          <w:szCs w:val="26"/>
          <w:lang w:val="es-ES"/>
        </w:rPr>
        <w:t>“Grupo Danhos”</w:t>
      </w:r>
      <w:r w:rsidR="00551DF4" w:rsidRPr="005229E1">
        <w:rPr>
          <w:rFonts w:cs="Arial"/>
          <w:sz w:val="26"/>
          <w:szCs w:val="26"/>
          <w:lang w:val="es-ES"/>
        </w:rPr>
        <w:t xml:space="preserve"> </w:t>
      </w:r>
      <w:r w:rsidR="006F7F85" w:rsidRPr="005229E1">
        <w:rPr>
          <w:rFonts w:cs="Arial"/>
          <w:sz w:val="26"/>
          <w:szCs w:val="26"/>
          <w:lang w:val="es-ES"/>
        </w:rPr>
        <w:t xml:space="preserve">hubiese </w:t>
      </w:r>
      <w:r w:rsidR="00551DF4" w:rsidRPr="005229E1">
        <w:rPr>
          <w:rFonts w:cs="Arial"/>
          <w:sz w:val="26"/>
          <w:szCs w:val="26"/>
          <w:lang w:val="es-ES"/>
        </w:rPr>
        <w:t>contesta</w:t>
      </w:r>
      <w:r w:rsidR="006F7F85" w:rsidRPr="005229E1">
        <w:rPr>
          <w:rFonts w:cs="Arial"/>
          <w:sz w:val="26"/>
          <w:szCs w:val="26"/>
          <w:lang w:val="es-ES"/>
        </w:rPr>
        <w:t>do</w:t>
      </w:r>
      <w:r w:rsidR="00551DF4" w:rsidRPr="005229E1">
        <w:rPr>
          <w:rFonts w:cs="Arial"/>
          <w:sz w:val="26"/>
          <w:szCs w:val="26"/>
          <w:lang w:val="es-ES"/>
        </w:rPr>
        <w:t xml:space="preserve"> </w:t>
      </w:r>
      <w:r w:rsidR="006F7F85" w:rsidRPr="005229E1">
        <w:rPr>
          <w:rFonts w:cs="Arial"/>
          <w:sz w:val="26"/>
          <w:szCs w:val="26"/>
          <w:lang w:val="es-ES"/>
        </w:rPr>
        <w:t>la</w:t>
      </w:r>
      <w:r w:rsidR="00551DF4" w:rsidRPr="005229E1">
        <w:rPr>
          <w:rFonts w:cs="Arial"/>
          <w:sz w:val="26"/>
          <w:szCs w:val="26"/>
          <w:lang w:val="es-ES"/>
        </w:rPr>
        <w:t xml:space="preserve"> demanda </w:t>
      </w:r>
      <w:r w:rsidR="00286C69" w:rsidRPr="005229E1">
        <w:rPr>
          <w:rFonts w:cs="Arial"/>
          <w:sz w:val="26"/>
          <w:szCs w:val="26"/>
          <w:lang w:val="es-ES"/>
        </w:rPr>
        <w:t xml:space="preserve">en tal fecha </w:t>
      </w:r>
      <w:r w:rsidR="00551DF4" w:rsidRPr="005229E1">
        <w:rPr>
          <w:rFonts w:cs="Arial"/>
          <w:sz w:val="26"/>
          <w:szCs w:val="26"/>
          <w:lang w:val="es-ES"/>
        </w:rPr>
        <w:t>o comparecido a juicio duran</w:t>
      </w:r>
      <w:r w:rsidR="006F7F85" w:rsidRPr="005229E1">
        <w:rPr>
          <w:rFonts w:cs="Arial"/>
          <w:sz w:val="26"/>
          <w:szCs w:val="26"/>
          <w:lang w:val="es-ES"/>
        </w:rPr>
        <w:t>te el desarrollo del procedimiento</w:t>
      </w:r>
      <w:r w:rsidR="00551DF4" w:rsidRPr="005229E1">
        <w:rPr>
          <w:rFonts w:cs="Arial"/>
          <w:sz w:val="26"/>
          <w:szCs w:val="26"/>
          <w:lang w:val="es-ES"/>
        </w:rPr>
        <w:t xml:space="preserve">. En ese sentido, </w:t>
      </w:r>
      <w:r w:rsidR="00834721" w:rsidRPr="005229E1">
        <w:rPr>
          <w:rFonts w:cs="Arial"/>
          <w:sz w:val="26"/>
          <w:szCs w:val="26"/>
          <w:lang w:val="es-ES"/>
        </w:rPr>
        <w:t xml:space="preserve">el propio actuar de las hoy quejosas revela su consentimiento en que Danhos </w:t>
      </w:r>
      <w:r w:rsidR="001B41D0" w:rsidRPr="005229E1">
        <w:rPr>
          <w:rFonts w:cs="Arial"/>
          <w:sz w:val="26"/>
          <w:szCs w:val="26"/>
          <w:lang w:val="es-ES"/>
        </w:rPr>
        <w:t xml:space="preserve">participara en el juicio </w:t>
      </w:r>
      <w:r w:rsidR="00834721" w:rsidRPr="005229E1">
        <w:rPr>
          <w:rFonts w:cs="Arial"/>
          <w:sz w:val="26"/>
          <w:szCs w:val="26"/>
          <w:lang w:val="es-ES"/>
        </w:rPr>
        <w:t>como parte demandada</w:t>
      </w:r>
      <w:r w:rsidR="00524562" w:rsidRPr="005229E1">
        <w:rPr>
          <w:rFonts w:cs="Arial"/>
          <w:sz w:val="26"/>
          <w:szCs w:val="26"/>
          <w:lang w:val="es-ES"/>
        </w:rPr>
        <w:t xml:space="preserve"> (</w:t>
      </w:r>
      <w:r w:rsidR="0029732C" w:rsidRPr="005229E1">
        <w:rPr>
          <w:rFonts w:cs="Arial"/>
          <w:sz w:val="26"/>
          <w:szCs w:val="26"/>
          <w:lang w:val="es-ES"/>
        </w:rPr>
        <w:t>c</w:t>
      </w:r>
      <w:r w:rsidR="00951AD5" w:rsidRPr="005229E1">
        <w:rPr>
          <w:rFonts w:cs="Arial"/>
          <w:sz w:val="26"/>
          <w:szCs w:val="26"/>
          <w:lang w:val="es-ES"/>
        </w:rPr>
        <w:t xml:space="preserve">uyo reclamo </w:t>
      </w:r>
      <w:r w:rsidR="00524562" w:rsidRPr="005229E1">
        <w:rPr>
          <w:rFonts w:cs="Arial"/>
          <w:sz w:val="26"/>
          <w:szCs w:val="26"/>
          <w:lang w:val="es-ES"/>
        </w:rPr>
        <w:t>correspondió</w:t>
      </w:r>
      <w:r w:rsidR="00951AD5" w:rsidRPr="005229E1">
        <w:rPr>
          <w:rFonts w:cs="Arial"/>
          <w:sz w:val="26"/>
          <w:szCs w:val="26"/>
          <w:lang w:val="es-ES"/>
        </w:rPr>
        <w:t xml:space="preserve"> al dirigido a</w:t>
      </w:r>
      <w:r w:rsidR="0029732C" w:rsidRPr="005229E1">
        <w:rPr>
          <w:rFonts w:cs="Arial"/>
          <w:sz w:val="26"/>
          <w:szCs w:val="26"/>
          <w:lang w:val="es-ES"/>
        </w:rPr>
        <w:t xml:space="preserve"> </w:t>
      </w:r>
      <w:r w:rsidR="003B3B86" w:rsidRPr="005229E1">
        <w:rPr>
          <w:rFonts w:cs="Arial"/>
          <w:sz w:val="26"/>
          <w:szCs w:val="26"/>
          <w:lang w:val="es-ES"/>
        </w:rPr>
        <w:t xml:space="preserve">“Grupo Danhos” </w:t>
      </w:r>
      <w:r w:rsidR="00C52609" w:rsidRPr="005229E1">
        <w:rPr>
          <w:rFonts w:cs="Arial"/>
          <w:sz w:val="26"/>
          <w:szCs w:val="26"/>
          <w:lang w:val="es-ES"/>
        </w:rPr>
        <w:t>en la demanda inicial</w:t>
      </w:r>
      <w:r w:rsidR="00524562" w:rsidRPr="005229E1">
        <w:rPr>
          <w:rFonts w:cs="Arial"/>
          <w:sz w:val="26"/>
          <w:szCs w:val="26"/>
          <w:lang w:val="es-ES"/>
        </w:rPr>
        <w:t>)</w:t>
      </w:r>
      <w:r w:rsidR="00834721" w:rsidRPr="005229E1">
        <w:rPr>
          <w:rFonts w:cs="Arial"/>
          <w:sz w:val="26"/>
          <w:szCs w:val="26"/>
          <w:lang w:val="es-ES"/>
        </w:rPr>
        <w:t>.</w:t>
      </w:r>
      <w:r w:rsidR="00F02FF2" w:rsidRPr="005229E1">
        <w:rPr>
          <w:rFonts w:cs="Arial"/>
          <w:sz w:val="26"/>
          <w:szCs w:val="26"/>
          <w:lang w:val="es-ES"/>
        </w:rPr>
        <w:t xml:space="preserve"> Por </w:t>
      </w:r>
      <w:r w:rsidR="00B86863" w:rsidRPr="005229E1">
        <w:rPr>
          <w:rFonts w:cs="Arial"/>
          <w:sz w:val="26"/>
          <w:szCs w:val="26"/>
          <w:lang w:val="es-ES"/>
        </w:rPr>
        <w:t>ello,</w:t>
      </w:r>
      <w:r w:rsidR="00F02FF2" w:rsidRPr="005229E1">
        <w:rPr>
          <w:rFonts w:cs="Arial"/>
          <w:sz w:val="26"/>
          <w:szCs w:val="26"/>
          <w:lang w:val="es-ES"/>
        </w:rPr>
        <w:t xml:space="preserve"> se reitera que </w:t>
      </w:r>
      <w:r w:rsidR="0012256A" w:rsidRPr="005229E1">
        <w:rPr>
          <w:rFonts w:cs="Arial"/>
          <w:sz w:val="26"/>
          <w:szCs w:val="26"/>
          <w:lang w:val="es-ES"/>
        </w:rPr>
        <w:t xml:space="preserve">el reclamo sobre </w:t>
      </w:r>
      <w:r w:rsidR="00F02FF2" w:rsidRPr="005229E1">
        <w:rPr>
          <w:rFonts w:cs="Arial"/>
          <w:sz w:val="26"/>
          <w:szCs w:val="26"/>
          <w:lang w:val="es-ES"/>
        </w:rPr>
        <w:t xml:space="preserve">la violación </w:t>
      </w:r>
      <w:r w:rsidR="00136C01" w:rsidRPr="005229E1">
        <w:rPr>
          <w:rFonts w:cs="Arial"/>
          <w:sz w:val="26"/>
          <w:szCs w:val="26"/>
          <w:lang w:val="es-ES"/>
        </w:rPr>
        <w:t xml:space="preserve">procesal </w:t>
      </w:r>
      <w:r w:rsidR="00A06D5C" w:rsidRPr="005229E1">
        <w:rPr>
          <w:rFonts w:cs="Arial"/>
          <w:sz w:val="26"/>
          <w:szCs w:val="26"/>
          <w:lang w:val="es-ES"/>
        </w:rPr>
        <w:t>relaciona</w:t>
      </w:r>
      <w:r w:rsidR="0071116D" w:rsidRPr="005229E1">
        <w:rPr>
          <w:rFonts w:cs="Arial"/>
          <w:sz w:val="26"/>
          <w:szCs w:val="26"/>
          <w:lang w:val="es-ES"/>
        </w:rPr>
        <w:t>da</w:t>
      </w:r>
      <w:r w:rsidR="00A06D5C" w:rsidRPr="005229E1">
        <w:rPr>
          <w:rFonts w:cs="Arial"/>
          <w:sz w:val="26"/>
          <w:szCs w:val="26"/>
          <w:lang w:val="es-ES"/>
        </w:rPr>
        <w:t xml:space="preserve"> con tener a esta persona moral como demandada</w:t>
      </w:r>
      <w:r w:rsidR="007E1541" w:rsidRPr="005229E1">
        <w:rPr>
          <w:rFonts w:cs="Arial"/>
          <w:sz w:val="26"/>
          <w:szCs w:val="26"/>
          <w:lang w:val="es-ES"/>
        </w:rPr>
        <w:t xml:space="preserve"> para efectos de la condena por costas</w:t>
      </w:r>
      <w:r w:rsidR="00F02FF2" w:rsidRPr="005229E1">
        <w:rPr>
          <w:rFonts w:cs="Arial"/>
          <w:sz w:val="26"/>
          <w:szCs w:val="26"/>
          <w:lang w:val="es-ES"/>
        </w:rPr>
        <w:t xml:space="preserve"> </w:t>
      </w:r>
      <w:r w:rsidR="00136C01" w:rsidRPr="005229E1">
        <w:rPr>
          <w:rFonts w:cs="Arial"/>
          <w:sz w:val="26"/>
          <w:szCs w:val="26"/>
          <w:lang w:val="es-ES"/>
        </w:rPr>
        <w:t xml:space="preserve">es </w:t>
      </w:r>
      <w:r w:rsidR="0012256A" w:rsidRPr="005229E1">
        <w:rPr>
          <w:rFonts w:cs="Arial"/>
          <w:sz w:val="26"/>
          <w:szCs w:val="26"/>
          <w:lang w:val="es-ES"/>
        </w:rPr>
        <w:t>inoperante</w:t>
      </w:r>
      <w:r w:rsidR="00136C01" w:rsidRPr="005229E1">
        <w:rPr>
          <w:rStyle w:val="Refdenotaalpie"/>
          <w:rFonts w:cs="Arial"/>
          <w:sz w:val="26"/>
          <w:szCs w:val="26"/>
          <w:lang w:val="es-ES"/>
        </w:rPr>
        <w:footnoteReference w:id="34"/>
      </w:r>
      <w:r w:rsidR="00136C01" w:rsidRPr="005229E1">
        <w:rPr>
          <w:rFonts w:cs="Arial"/>
          <w:sz w:val="26"/>
          <w:szCs w:val="26"/>
          <w:lang w:val="es-ES"/>
        </w:rPr>
        <w:t xml:space="preserve">. </w:t>
      </w:r>
    </w:p>
    <w:p w14:paraId="5C448D36" w14:textId="77777777" w:rsidR="00766C3B" w:rsidRPr="005229E1" w:rsidRDefault="00766C3B" w:rsidP="00766C3B">
      <w:pPr>
        <w:pStyle w:val="corte4fondo"/>
        <w:tabs>
          <w:tab w:val="left" w:pos="0"/>
        </w:tabs>
        <w:ind w:right="51" w:firstLine="0"/>
        <w:rPr>
          <w:rFonts w:cs="Arial"/>
          <w:sz w:val="26"/>
          <w:szCs w:val="26"/>
          <w:u w:val="single"/>
          <w:lang w:val="es-MX"/>
        </w:rPr>
      </w:pPr>
    </w:p>
    <w:p w14:paraId="3027DE2E" w14:textId="1058AE46" w:rsidR="00FB4C40" w:rsidRPr="005229E1" w:rsidRDefault="00FB4C40" w:rsidP="00766C3B">
      <w:pPr>
        <w:pStyle w:val="corte4fondo"/>
        <w:tabs>
          <w:tab w:val="left" w:pos="0"/>
        </w:tabs>
        <w:ind w:right="51" w:firstLine="0"/>
        <w:rPr>
          <w:rFonts w:cs="Arial"/>
          <w:b/>
          <w:bCs/>
          <w:sz w:val="26"/>
          <w:szCs w:val="26"/>
          <w:lang w:val="es-MX"/>
        </w:rPr>
      </w:pPr>
      <w:r w:rsidRPr="005229E1">
        <w:rPr>
          <w:rFonts w:cs="Arial"/>
          <w:b/>
          <w:bCs/>
          <w:sz w:val="26"/>
          <w:szCs w:val="26"/>
          <w:lang w:val="es-MX"/>
        </w:rPr>
        <w:t>ii</w:t>
      </w:r>
      <w:r w:rsidR="00417C1A" w:rsidRPr="005229E1">
        <w:rPr>
          <w:rFonts w:cs="Arial"/>
          <w:b/>
          <w:bCs/>
          <w:sz w:val="26"/>
          <w:szCs w:val="26"/>
          <w:lang w:val="es-MX"/>
        </w:rPr>
        <w:t>)</w:t>
      </w:r>
      <w:r w:rsidRPr="005229E1">
        <w:rPr>
          <w:rFonts w:cs="Arial"/>
          <w:b/>
          <w:bCs/>
          <w:sz w:val="26"/>
          <w:szCs w:val="26"/>
          <w:lang w:val="es-MX"/>
        </w:rPr>
        <w:t xml:space="preserve"> </w:t>
      </w:r>
      <w:r w:rsidR="00C24868" w:rsidRPr="005229E1">
        <w:rPr>
          <w:rFonts w:cs="Arial"/>
          <w:b/>
          <w:bCs/>
          <w:sz w:val="26"/>
          <w:szCs w:val="26"/>
          <w:lang w:val="es-MX"/>
        </w:rPr>
        <w:t>V</w:t>
      </w:r>
      <w:r w:rsidRPr="005229E1">
        <w:rPr>
          <w:rFonts w:cs="Arial"/>
          <w:b/>
          <w:bCs/>
          <w:sz w:val="26"/>
          <w:szCs w:val="26"/>
          <w:lang w:val="es-MX"/>
        </w:rPr>
        <w:t xml:space="preserve">iolación </w:t>
      </w:r>
      <w:r w:rsidR="00C563BF" w:rsidRPr="005229E1">
        <w:rPr>
          <w:rFonts w:cs="Arial"/>
          <w:b/>
          <w:bCs/>
          <w:sz w:val="26"/>
          <w:szCs w:val="26"/>
          <w:lang w:val="es-MX"/>
        </w:rPr>
        <w:t>procesal</w:t>
      </w:r>
      <w:r w:rsidR="00C24868" w:rsidRPr="005229E1">
        <w:rPr>
          <w:rFonts w:cs="Arial"/>
          <w:b/>
          <w:bCs/>
          <w:sz w:val="26"/>
          <w:szCs w:val="26"/>
          <w:lang w:val="es-MX"/>
        </w:rPr>
        <w:t xml:space="preserve"> relacionada con la posible existencia de un litisconsor</w:t>
      </w:r>
      <w:r w:rsidR="00A745D4" w:rsidRPr="005229E1">
        <w:rPr>
          <w:rFonts w:cs="Arial"/>
          <w:b/>
          <w:bCs/>
          <w:sz w:val="26"/>
          <w:szCs w:val="26"/>
          <w:lang w:val="es-MX"/>
        </w:rPr>
        <w:t>cio pasivo necesario</w:t>
      </w:r>
    </w:p>
    <w:p w14:paraId="76BB987A" w14:textId="090BD71C" w:rsidR="00ED738D" w:rsidRPr="003F6B95" w:rsidRDefault="00940788" w:rsidP="1A9D0C58">
      <w:pPr>
        <w:pStyle w:val="corte4fondo"/>
        <w:numPr>
          <w:ilvl w:val="0"/>
          <w:numId w:val="2"/>
        </w:numPr>
        <w:spacing w:before="240"/>
        <w:ind w:left="0" w:right="51" w:hanging="426"/>
        <w:rPr>
          <w:rFonts w:cs="Arial"/>
          <w:color w:val="000000" w:themeColor="text1"/>
          <w:sz w:val="26"/>
          <w:szCs w:val="26"/>
          <w:lang w:val="es-ES"/>
        </w:rPr>
      </w:pPr>
      <w:r w:rsidRPr="005229E1">
        <w:rPr>
          <w:rFonts w:cs="Arial"/>
          <w:sz w:val="26"/>
          <w:szCs w:val="26"/>
          <w:lang w:val="es-ES"/>
        </w:rPr>
        <w:t xml:space="preserve">En el quinto concepto de violación, </w:t>
      </w:r>
      <w:r w:rsidR="000F1BE3" w:rsidRPr="005229E1">
        <w:rPr>
          <w:rFonts w:cs="Arial"/>
          <w:sz w:val="26"/>
          <w:szCs w:val="26"/>
          <w:lang w:val="es-ES"/>
        </w:rPr>
        <w:t>las quejosas</w:t>
      </w:r>
      <w:r w:rsidRPr="005229E1">
        <w:rPr>
          <w:rFonts w:cs="Arial"/>
          <w:sz w:val="26"/>
          <w:szCs w:val="26"/>
          <w:lang w:val="es-ES"/>
        </w:rPr>
        <w:t xml:space="preserve"> también</w:t>
      </w:r>
      <w:r w:rsidR="000F1BE3" w:rsidRPr="005229E1">
        <w:rPr>
          <w:rFonts w:cs="Arial"/>
          <w:sz w:val="26"/>
          <w:szCs w:val="26"/>
          <w:lang w:val="es-ES"/>
        </w:rPr>
        <w:t xml:space="preserve"> alegan que</w:t>
      </w:r>
      <w:r w:rsidR="00C563BF" w:rsidRPr="005229E1">
        <w:rPr>
          <w:rFonts w:cs="Arial"/>
          <w:sz w:val="26"/>
          <w:szCs w:val="26"/>
          <w:lang w:val="es-ES"/>
        </w:rPr>
        <w:t>, en todo caso,</w:t>
      </w:r>
      <w:r w:rsidR="000F1BE3" w:rsidRPr="005229E1">
        <w:rPr>
          <w:rFonts w:cs="Arial"/>
          <w:sz w:val="26"/>
          <w:szCs w:val="26"/>
          <w:lang w:val="es-ES"/>
        </w:rPr>
        <w:t xml:space="preserve"> </w:t>
      </w:r>
      <w:r w:rsidR="00AE5B9E" w:rsidRPr="005229E1">
        <w:rPr>
          <w:rFonts w:cs="Arial"/>
          <w:sz w:val="26"/>
          <w:szCs w:val="26"/>
          <w:lang w:val="es-ES"/>
        </w:rPr>
        <w:t>la sala</w:t>
      </w:r>
      <w:r w:rsidR="000F1BE3" w:rsidRPr="005229E1">
        <w:rPr>
          <w:rFonts w:cs="Arial"/>
          <w:sz w:val="26"/>
          <w:szCs w:val="26"/>
          <w:lang w:val="es-ES"/>
        </w:rPr>
        <w:t xml:space="preserve"> responsable</w:t>
      </w:r>
      <w:r w:rsidR="0009392F" w:rsidRPr="005229E1">
        <w:rPr>
          <w:rFonts w:cs="Arial"/>
          <w:sz w:val="26"/>
          <w:szCs w:val="26"/>
          <w:lang w:val="es-ES"/>
        </w:rPr>
        <w:t xml:space="preserve"> </w:t>
      </w:r>
      <w:r w:rsidRPr="005229E1">
        <w:rPr>
          <w:rFonts w:cs="Arial"/>
          <w:sz w:val="26"/>
          <w:szCs w:val="26"/>
          <w:lang w:val="es-ES"/>
        </w:rPr>
        <w:t>omitió atender</w:t>
      </w:r>
      <w:r w:rsidR="0009392F" w:rsidRPr="005229E1">
        <w:rPr>
          <w:rFonts w:cs="Arial"/>
          <w:sz w:val="26"/>
          <w:szCs w:val="26"/>
          <w:lang w:val="es-ES"/>
        </w:rPr>
        <w:t xml:space="preserve"> la relación </w:t>
      </w:r>
      <w:r w:rsidR="00ED738D" w:rsidRPr="005229E1">
        <w:rPr>
          <w:rFonts w:cs="Arial"/>
          <w:sz w:val="26"/>
          <w:szCs w:val="26"/>
          <w:lang w:val="es-ES"/>
        </w:rPr>
        <w:t>entre el fideicomiso “Fibra Da</w:t>
      </w:r>
      <w:r w:rsidR="009476E1" w:rsidRPr="005229E1">
        <w:rPr>
          <w:rFonts w:cs="Arial"/>
          <w:sz w:val="26"/>
          <w:szCs w:val="26"/>
          <w:lang w:val="es-ES"/>
        </w:rPr>
        <w:t>n</w:t>
      </w:r>
      <w:r w:rsidR="00ED738D" w:rsidRPr="005229E1">
        <w:rPr>
          <w:rFonts w:cs="Arial"/>
          <w:sz w:val="26"/>
          <w:szCs w:val="26"/>
          <w:lang w:val="es-ES"/>
        </w:rPr>
        <w:t>hos” y el centro comercial “Reforma 222”</w:t>
      </w:r>
      <w:r w:rsidR="008D4827" w:rsidRPr="005229E1">
        <w:rPr>
          <w:rFonts w:cs="Arial"/>
          <w:sz w:val="26"/>
          <w:szCs w:val="26"/>
          <w:lang w:val="es-ES"/>
        </w:rPr>
        <w:t xml:space="preserve">. </w:t>
      </w:r>
      <w:r w:rsidR="00ED738D" w:rsidRPr="005229E1">
        <w:rPr>
          <w:rFonts w:cs="Arial"/>
          <w:sz w:val="26"/>
          <w:szCs w:val="26"/>
          <w:lang w:val="es-ES"/>
        </w:rPr>
        <w:t xml:space="preserve">Para las quejosas, era </w:t>
      </w:r>
      <w:r w:rsidR="00ED738D" w:rsidRPr="003F6B95">
        <w:rPr>
          <w:rFonts w:cs="Arial"/>
          <w:sz w:val="26"/>
          <w:szCs w:val="26"/>
          <w:lang w:val="es-ES"/>
        </w:rPr>
        <w:t>un hecho notorio que el centro comercial co</w:t>
      </w:r>
      <w:r w:rsidR="009057FE" w:rsidRPr="003F6B95">
        <w:rPr>
          <w:rFonts w:cs="Arial"/>
          <w:sz w:val="26"/>
          <w:szCs w:val="26"/>
          <w:lang w:val="es-ES"/>
        </w:rPr>
        <w:t>n</w:t>
      </w:r>
      <w:r w:rsidR="00ED738D" w:rsidRPr="003F6B95">
        <w:rPr>
          <w:rFonts w:cs="Arial"/>
          <w:sz w:val="26"/>
          <w:szCs w:val="26"/>
          <w:lang w:val="es-ES"/>
        </w:rPr>
        <w:t xml:space="preserve">stituía un activo </w:t>
      </w:r>
      <w:r w:rsidR="009057FE" w:rsidRPr="003F6B95">
        <w:rPr>
          <w:rFonts w:cs="Arial"/>
          <w:sz w:val="26"/>
          <w:szCs w:val="26"/>
          <w:lang w:val="es-ES"/>
        </w:rPr>
        <w:t>administrado</w:t>
      </w:r>
      <w:r w:rsidR="00ED738D" w:rsidRPr="003F6B95">
        <w:rPr>
          <w:rFonts w:cs="Arial"/>
          <w:sz w:val="26"/>
          <w:szCs w:val="26"/>
          <w:lang w:val="es-ES"/>
        </w:rPr>
        <w:t xml:space="preserve"> y operado por </w:t>
      </w:r>
      <w:r w:rsidR="009057FE" w:rsidRPr="003F6B95">
        <w:rPr>
          <w:rFonts w:cs="Arial"/>
          <w:sz w:val="26"/>
          <w:szCs w:val="26"/>
          <w:lang w:val="es-ES"/>
        </w:rPr>
        <w:t>tal</w:t>
      </w:r>
      <w:r w:rsidR="00ED738D" w:rsidRPr="003F6B95">
        <w:rPr>
          <w:rFonts w:cs="Arial"/>
          <w:sz w:val="26"/>
          <w:szCs w:val="26"/>
          <w:lang w:val="es-ES"/>
        </w:rPr>
        <w:t xml:space="preserve"> fideicomiso inmobiliario, por lo que la autoridad responsable debió “haber llamado a juicio a </w:t>
      </w:r>
      <w:r w:rsidR="00ED738D" w:rsidRPr="005229E1">
        <w:rPr>
          <w:rFonts w:cs="Arial"/>
          <w:sz w:val="26"/>
          <w:szCs w:val="26"/>
          <w:lang w:val="es-ES"/>
        </w:rPr>
        <w:t>Concentradora Fibra Danhos, S.A. de C.V.</w:t>
      </w:r>
      <w:r w:rsidR="002B0D26" w:rsidRPr="005229E1">
        <w:rPr>
          <w:rStyle w:val="Refdenotaalpie"/>
          <w:rFonts w:cs="Arial"/>
          <w:sz w:val="26"/>
          <w:szCs w:val="26"/>
          <w:lang w:val="es-ES"/>
        </w:rPr>
        <w:footnoteReference w:id="35"/>
      </w:r>
      <w:r w:rsidR="00ED738D" w:rsidRPr="005229E1">
        <w:rPr>
          <w:rFonts w:cs="Arial"/>
          <w:sz w:val="26"/>
          <w:szCs w:val="26"/>
          <w:lang w:val="es-ES"/>
        </w:rPr>
        <w:t xml:space="preserve">, </w:t>
      </w:r>
      <w:r w:rsidR="00ED738D" w:rsidRPr="003F6B95">
        <w:rPr>
          <w:rFonts w:cs="Arial"/>
          <w:color w:val="000000" w:themeColor="text1"/>
          <w:sz w:val="26"/>
          <w:szCs w:val="26"/>
          <w:lang w:val="es-ES"/>
        </w:rPr>
        <w:t>al</w:t>
      </w:r>
      <w:r w:rsidR="00ED738D" w:rsidRPr="003F6B95">
        <w:rPr>
          <w:rFonts w:cs="Arial"/>
          <w:sz w:val="26"/>
          <w:szCs w:val="26"/>
          <w:lang w:val="es-ES"/>
        </w:rPr>
        <w:t xml:space="preserve"> actualizarse la figura de litisconsorcio pasivo necesario”</w:t>
      </w:r>
      <w:r w:rsidR="00EB3B93" w:rsidRPr="003F6B95">
        <w:rPr>
          <w:rStyle w:val="Refdenotaalpie"/>
          <w:rFonts w:cs="Arial"/>
          <w:sz w:val="26"/>
          <w:szCs w:val="26"/>
          <w:lang w:val="es-ES"/>
        </w:rPr>
        <w:footnoteReference w:id="36"/>
      </w:r>
      <w:r w:rsidR="00ED738D" w:rsidRPr="003F6B95">
        <w:rPr>
          <w:rFonts w:cs="Arial"/>
          <w:sz w:val="26"/>
          <w:szCs w:val="26"/>
          <w:lang w:val="es-ES"/>
        </w:rPr>
        <w:t>.</w:t>
      </w:r>
    </w:p>
    <w:p w14:paraId="63BDC127" w14:textId="77777777" w:rsidR="00ED738D" w:rsidRPr="003F6B95" w:rsidRDefault="00ED738D" w:rsidP="00ED738D">
      <w:pPr>
        <w:pStyle w:val="corte4fondo"/>
        <w:tabs>
          <w:tab w:val="left" w:pos="0"/>
        </w:tabs>
        <w:ind w:right="51" w:firstLine="0"/>
        <w:rPr>
          <w:rFonts w:cs="Arial"/>
          <w:sz w:val="26"/>
          <w:szCs w:val="26"/>
        </w:rPr>
      </w:pPr>
    </w:p>
    <w:p w14:paraId="70F85EDF" w14:textId="775160A9" w:rsidR="00D32AB9" w:rsidRPr="003F6B95" w:rsidRDefault="007F4D62" w:rsidP="00D32AB9">
      <w:pPr>
        <w:pStyle w:val="corte4fondo"/>
        <w:numPr>
          <w:ilvl w:val="0"/>
          <w:numId w:val="2"/>
        </w:numPr>
        <w:tabs>
          <w:tab w:val="left" w:pos="0"/>
        </w:tabs>
        <w:ind w:left="0" w:right="51" w:hanging="426"/>
        <w:rPr>
          <w:rFonts w:cs="Arial"/>
          <w:color w:val="000000" w:themeColor="text1"/>
          <w:sz w:val="26"/>
          <w:szCs w:val="26"/>
        </w:rPr>
      </w:pPr>
      <w:r w:rsidRPr="003F6B95">
        <w:rPr>
          <w:rFonts w:cs="Arial"/>
          <w:sz w:val="26"/>
          <w:szCs w:val="26"/>
        </w:rPr>
        <w:t>Para</w:t>
      </w:r>
      <w:r w:rsidR="00C84696" w:rsidRPr="003F6B95">
        <w:rPr>
          <w:rFonts w:cs="Arial"/>
          <w:sz w:val="26"/>
          <w:szCs w:val="26"/>
        </w:rPr>
        <w:t xml:space="preserve"> esta Primera Sala,</w:t>
      </w:r>
      <w:r w:rsidR="008D4827" w:rsidRPr="003F6B95">
        <w:rPr>
          <w:rFonts w:cs="Arial"/>
          <w:sz w:val="26"/>
          <w:szCs w:val="26"/>
        </w:rPr>
        <w:t xml:space="preserve"> el estudio de </w:t>
      </w:r>
      <w:r w:rsidR="00C84696" w:rsidRPr="003F6B95">
        <w:rPr>
          <w:rFonts w:cs="Arial"/>
          <w:sz w:val="26"/>
          <w:szCs w:val="26"/>
        </w:rPr>
        <w:t xml:space="preserve">la posible existencia de un litisconsorcio pasivo necesario es de orden público e, incluso, debe realizarse de oficio. </w:t>
      </w:r>
      <w:r w:rsidR="00C84696" w:rsidRPr="003F6B95">
        <w:rPr>
          <w:rFonts w:cs="Arial"/>
          <w:sz w:val="26"/>
          <w:szCs w:val="26"/>
        </w:rPr>
        <w:lastRenderedPageBreak/>
        <w:t xml:space="preserve">Por ello, en atención al reclamo de las quejosas, este </w:t>
      </w:r>
      <w:r w:rsidR="00D277FD" w:rsidRPr="003F6B95">
        <w:rPr>
          <w:rFonts w:cs="Arial"/>
          <w:sz w:val="26"/>
          <w:szCs w:val="26"/>
        </w:rPr>
        <w:t>t</w:t>
      </w:r>
      <w:r w:rsidR="00C84696" w:rsidRPr="003F6B95">
        <w:rPr>
          <w:rFonts w:cs="Arial"/>
          <w:sz w:val="26"/>
          <w:szCs w:val="26"/>
        </w:rPr>
        <w:t>ribunal analizará si en el</w:t>
      </w:r>
      <w:r w:rsidR="00F507B7" w:rsidRPr="003F6B95">
        <w:rPr>
          <w:rFonts w:cs="Arial"/>
          <w:sz w:val="26"/>
          <w:szCs w:val="26"/>
        </w:rPr>
        <w:t xml:space="preserve"> presente</w:t>
      </w:r>
      <w:r w:rsidR="00C84696" w:rsidRPr="003F6B95">
        <w:rPr>
          <w:rFonts w:cs="Arial"/>
          <w:sz w:val="26"/>
          <w:szCs w:val="26"/>
        </w:rPr>
        <w:t xml:space="preserve"> caso</w:t>
      </w:r>
      <w:r w:rsidR="00262730" w:rsidRPr="003F6B95">
        <w:rPr>
          <w:rFonts w:cs="Arial"/>
          <w:sz w:val="26"/>
          <w:szCs w:val="26"/>
        </w:rPr>
        <w:t xml:space="preserve"> de responsabilidad civil extracontractual</w:t>
      </w:r>
      <w:r w:rsidR="00C84696" w:rsidRPr="003F6B95">
        <w:rPr>
          <w:rFonts w:cs="Arial"/>
          <w:sz w:val="26"/>
          <w:szCs w:val="26"/>
        </w:rPr>
        <w:t xml:space="preserve"> se actualiza </w:t>
      </w:r>
      <w:r w:rsidR="00E1739B" w:rsidRPr="003F6B95">
        <w:rPr>
          <w:rFonts w:cs="Arial"/>
          <w:sz w:val="26"/>
          <w:szCs w:val="26"/>
        </w:rPr>
        <w:t>el</w:t>
      </w:r>
      <w:r w:rsidR="00C84696" w:rsidRPr="003F6B95">
        <w:rPr>
          <w:rFonts w:cs="Arial"/>
          <w:sz w:val="26"/>
          <w:szCs w:val="26"/>
        </w:rPr>
        <w:t xml:space="preserve"> litisconsorcio</w:t>
      </w:r>
      <w:r w:rsidR="00E1739B" w:rsidRPr="003F6B95">
        <w:rPr>
          <w:rFonts w:cs="Arial"/>
          <w:sz w:val="26"/>
          <w:szCs w:val="26"/>
        </w:rPr>
        <w:t xml:space="preserve"> alegado</w:t>
      </w:r>
      <w:r w:rsidR="009D6937" w:rsidRPr="003F6B95">
        <w:rPr>
          <w:rStyle w:val="Refdenotaalpie"/>
          <w:rFonts w:cs="Arial"/>
          <w:sz w:val="26"/>
          <w:szCs w:val="26"/>
        </w:rPr>
        <w:footnoteReference w:id="37"/>
      </w:r>
      <w:r w:rsidR="00C84696" w:rsidRPr="003F6B95">
        <w:rPr>
          <w:rFonts w:cs="Arial"/>
          <w:sz w:val="26"/>
          <w:szCs w:val="26"/>
        </w:rPr>
        <w:t xml:space="preserve">. </w:t>
      </w:r>
    </w:p>
    <w:p w14:paraId="2DEB7D84" w14:textId="77777777" w:rsidR="00D32AB9" w:rsidRPr="003F6B95" w:rsidRDefault="00D32AB9" w:rsidP="002628AD">
      <w:pPr>
        <w:pStyle w:val="corte4fondo"/>
        <w:tabs>
          <w:tab w:val="left" w:pos="0"/>
        </w:tabs>
        <w:ind w:right="51" w:firstLine="0"/>
        <w:rPr>
          <w:rFonts w:cs="Arial"/>
          <w:color w:val="000000" w:themeColor="text1"/>
          <w:sz w:val="26"/>
          <w:szCs w:val="26"/>
        </w:rPr>
      </w:pPr>
    </w:p>
    <w:p w14:paraId="56871638" w14:textId="79C049F1" w:rsidR="00E33BA5" w:rsidRPr="003F6B95" w:rsidRDefault="000335FD" w:rsidP="00A40C61">
      <w:pPr>
        <w:pStyle w:val="corte4fondo"/>
        <w:numPr>
          <w:ilvl w:val="0"/>
          <w:numId w:val="2"/>
        </w:numPr>
        <w:tabs>
          <w:tab w:val="left" w:pos="0"/>
        </w:tabs>
        <w:ind w:left="0" w:right="51" w:hanging="426"/>
        <w:rPr>
          <w:rFonts w:cs="Arial"/>
          <w:color w:val="000000" w:themeColor="text1"/>
          <w:sz w:val="26"/>
          <w:szCs w:val="26"/>
        </w:rPr>
      </w:pPr>
      <w:r w:rsidRPr="003F6B95">
        <w:rPr>
          <w:rFonts w:cs="Arial"/>
          <w:color w:val="000000" w:themeColor="text1"/>
          <w:sz w:val="26"/>
          <w:szCs w:val="26"/>
        </w:rPr>
        <w:t>Conforme al criterio de</w:t>
      </w:r>
      <w:r w:rsidR="00D32AB9" w:rsidRPr="003F6B95">
        <w:rPr>
          <w:rFonts w:cs="Arial"/>
          <w:color w:val="000000" w:themeColor="text1"/>
          <w:sz w:val="26"/>
          <w:szCs w:val="26"/>
        </w:rPr>
        <w:t xml:space="preserve"> esta Suprema Corte</w:t>
      </w:r>
      <w:r w:rsidRPr="003F6B95">
        <w:rPr>
          <w:rFonts w:cs="Arial"/>
          <w:color w:val="000000" w:themeColor="text1"/>
          <w:sz w:val="26"/>
          <w:szCs w:val="26"/>
        </w:rPr>
        <w:t xml:space="preserve">, </w:t>
      </w:r>
      <w:r w:rsidR="00D32AB9" w:rsidRPr="003F6B95">
        <w:rPr>
          <w:rFonts w:cs="Arial"/>
          <w:color w:val="000000" w:themeColor="text1"/>
          <w:sz w:val="26"/>
          <w:szCs w:val="26"/>
        </w:rPr>
        <w:t xml:space="preserve">el litisconsorcio pasivo necesario </w:t>
      </w:r>
      <w:r w:rsidRPr="003F6B95">
        <w:rPr>
          <w:rFonts w:cs="Arial"/>
          <w:color w:val="000000" w:themeColor="text1"/>
          <w:sz w:val="26"/>
          <w:szCs w:val="26"/>
        </w:rPr>
        <w:t>se refiere</w:t>
      </w:r>
      <w:r w:rsidR="00B359CE" w:rsidRPr="003F6B95">
        <w:rPr>
          <w:rFonts w:cs="Arial"/>
          <w:color w:val="000000" w:themeColor="text1"/>
          <w:sz w:val="26"/>
          <w:szCs w:val="26"/>
        </w:rPr>
        <w:t>, en términos</w:t>
      </w:r>
      <w:r w:rsidR="00D32AB9" w:rsidRPr="003F6B95">
        <w:rPr>
          <w:rFonts w:cs="Arial"/>
          <w:color w:val="000000" w:themeColor="text1"/>
          <w:sz w:val="26"/>
          <w:szCs w:val="26"/>
        </w:rPr>
        <w:t xml:space="preserve"> </w:t>
      </w:r>
      <w:r w:rsidR="00B359CE" w:rsidRPr="003F6B95">
        <w:rPr>
          <w:rFonts w:cs="Arial"/>
          <w:color w:val="000000" w:themeColor="text1"/>
          <w:sz w:val="26"/>
          <w:szCs w:val="26"/>
        </w:rPr>
        <w:t xml:space="preserve">generales, a la </w:t>
      </w:r>
      <w:r w:rsidR="00D32AB9" w:rsidRPr="003F6B95">
        <w:rPr>
          <w:rFonts w:cs="Arial"/>
          <w:color w:val="000000" w:themeColor="text1"/>
          <w:sz w:val="26"/>
          <w:szCs w:val="26"/>
        </w:rPr>
        <w:t>pluralidad de demandados y unidad de acción</w:t>
      </w:r>
      <w:r w:rsidR="00B359CE" w:rsidRPr="003F6B95">
        <w:rPr>
          <w:rFonts w:cs="Arial"/>
          <w:color w:val="000000" w:themeColor="text1"/>
          <w:sz w:val="26"/>
          <w:szCs w:val="26"/>
        </w:rPr>
        <w:t xml:space="preserve">. </w:t>
      </w:r>
      <w:r w:rsidR="008F5F3B" w:rsidRPr="003F6B95">
        <w:rPr>
          <w:rFonts w:cs="Arial"/>
          <w:color w:val="000000" w:themeColor="text1"/>
          <w:sz w:val="26"/>
          <w:szCs w:val="26"/>
        </w:rPr>
        <w:t>E</w:t>
      </w:r>
      <w:r w:rsidR="00C430A8" w:rsidRPr="003F6B95">
        <w:rPr>
          <w:rFonts w:cs="Arial"/>
          <w:color w:val="000000" w:themeColor="text1"/>
          <w:sz w:val="26"/>
          <w:szCs w:val="26"/>
        </w:rPr>
        <w:t xml:space="preserve">n </w:t>
      </w:r>
      <w:r w:rsidR="00813B23" w:rsidRPr="003F6B95">
        <w:rPr>
          <w:rFonts w:cs="Arial"/>
          <w:color w:val="000000" w:themeColor="text1"/>
          <w:sz w:val="26"/>
          <w:szCs w:val="26"/>
        </w:rPr>
        <w:t>ese supuesto</w:t>
      </w:r>
      <w:r w:rsidR="00D32AB9" w:rsidRPr="003F6B95">
        <w:rPr>
          <w:rFonts w:cs="Arial"/>
          <w:color w:val="000000" w:themeColor="text1"/>
          <w:sz w:val="26"/>
          <w:szCs w:val="26"/>
        </w:rPr>
        <w:t xml:space="preserve"> </w:t>
      </w:r>
      <w:r w:rsidR="008F5F3B" w:rsidRPr="003F6B95">
        <w:rPr>
          <w:rFonts w:cs="Arial"/>
          <w:color w:val="000000" w:themeColor="text1"/>
          <w:sz w:val="26"/>
          <w:szCs w:val="26"/>
        </w:rPr>
        <w:t>debe</w:t>
      </w:r>
      <w:r w:rsidR="00C430A8" w:rsidRPr="003F6B95">
        <w:rPr>
          <w:rFonts w:cs="Arial"/>
          <w:color w:val="000000" w:themeColor="text1"/>
          <w:sz w:val="26"/>
          <w:szCs w:val="26"/>
        </w:rPr>
        <w:t xml:space="preserve"> llamarse </w:t>
      </w:r>
      <w:r w:rsidR="00D32AB9" w:rsidRPr="003F6B95">
        <w:rPr>
          <w:rFonts w:cs="Arial"/>
          <w:color w:val="000000" w:themeColor="text1"/>
          <w:sz w:val="26"/>
          <w:szCs w:val="26"/>
        </w:rPr>
        <w:t xml:space="preserve">a juicio </w:t>
      </w:r>
      <w:r w:rsidR="00C430A8" w:rsidRPr="003F6B95">
        <w:rPr>
          <w:rFonts w:cs="Arial"/>
          <w:color w:val="000000" w:themeColor="text1"/>
          <w:sz w:val="26"/>
          <w:szCs w:val="26"/>
        </w:rPr>
        <w:t xml:space="preserve">a </w:t>
      </w:r>
      <w:r w:rsidR="00D32AB9" w:rsidRPr="003F6B95">
        <w:rPr>
          <w:rFonts w:cs="Arial"/>
          <w:color w:val="000000" w:themeColor="text1"/>
          <w:sz w:val="26"/>
          <w:szCs w:val="26"/>
        </w:rPr>
        <w:t xml:space="preserve">todos los litisconsortes, </w:t>
      </w:r>
      <w:r w:rsidR="00945406" w:rsidRPr="003F6B95">
        <w:rPr>
          <w:rFonts w:cs="Arial"/>
          <w:color w:val="000000" w:themeColor="text1"/>
          <w:sz w:val="26"/>
          <w:szCs w:val="26"/>
        </w:rPr>
        <w:t>pues</w:t>
      </w:r>
      <w:r w:rsidR="008F5F3B" w:rsidRPr="003F6B95">
        <w:rPr>
          <w:rFonts w:cs="Arial"/>
          <w:color w:val="000000" w:themeColor="text1"/>
          <w:sz w:val="26"/>
          <w:szCs w:val="26"/>
        </w:rPr>
        <w:t>, al estar vinculados entre sí por un derecho litigioso,</w:t>
      </w:r>
      <w:r w:rsidR="00813B23" w:rsidRPr="003F6B95">
        <w:rPr>
          <w:rFonts w:cs="Arial"/>
          <w:color w:val="000000" w:themeColor="text1"/>
          <w:sz w:val="26"/>
          <w:szCs w:val="26"/>
        </w:rPr>
        <w:t xml:space="preserve"> deben ser afectados por una sola sentencia</w:t>
      </w:r>
      <w:r w:rsidR="00D32AB9" w:rsidRPr="003F6B95">
        <w:rPr>
          <w:rFonts w:cs="Arial"/>
          <w:color w:val="000000" w:themeColor="text1"/>
          <w:sz w:val="26"/>
          <w:szCs w:val="26"/>
        </w:rPr>
        <w:t xml:space="preserve">. </w:t>
      </w:r>
      <w:r w:rsidR="00A21BF3" w:rsidRPr="003F6B95">
        <w:rPr>
          <w:rFonts w:cs="Arial"/>
          <w:color w:val="000000" w:themeColor="text1"/>
          <w:sz w:val="26"/>
          <w:szCs w:val="26"/>
        </w:rPr>
        <w:t>Así</w:t>
      </w:r>
      <w:r w:rsidR="00945406" w:rsidRPr="003F6B95">
        <w:rPr>
          <w:rFonts w:cs="Arial"/>
          <w:color w:val="000000" w:themeColor="text1"/>
          <w:sz w:val="26"/>
          <w:szCs w:val="26"/>
        </w:rPr>
        <w:t>, para este tribunal, el</w:t>
      </w:r>
      <w:r w:rsidR="00D32AB9" w:rsidRPr="003F6B95">
        <w:rPr>
          <w:rFonts w:cs="Arial"/>
          <w:color w:val="000000" w:themeColor="text1"/>
          <w:sz w:val="26"/>
          <w:szCs w:val="26"/>
        </w:rPr>
        <w:t xml:space="preserve"> litisconsorcio constituye un presupuesto procesal sin el cual no puede dictarse una sentencia válida, ya que involucra la protección de</w:t>
      </w:r>
      <w:r w:rsidR="00A40C61" w:rsidRPr="003F6B95">
        <w:rPr>
          <w:rFonts w:cs="Arial"/>
          <w:color w:val="000000" w:themeColor="text1"/>
          <w:sz w:val="26"/>
          <w:szCs w:val="26"/>
        </w:rPr>
        <w:t xml:space="preserve">l </w:t>
      </w:r>
      <w:r w:rsidR="00D32AB9" w:rsidRPr="003F6B95">
        <w:rPr>
          <w:rFonts w:cs="Arial"/>
          <w:color w:val="000000" w:themeColor="text1"/>
          <w:sz w:val="26"/>
          <w:szCs w:val="26"/>
        </w:rPr>
        <w:t xml:space="preserve">derecho </w:t>
      </w:r>
      <w:r w:rsidR="00A40C61" w:rsidRPr="003F6B95">
        <w:rPr>
          <w:rFonts w:cs="Arial"/>
          <w:color w:val="000000" w:themeColor="text1"/>
          <w:sz w:val="26"/>
          <w:szCs w:val="26"/>
        </w:rPr>
        <w:t>de acceso efectivo a la justicia</w:t>
      </w:r>
      <w:r w:rsidR="00CD3C99" w:rsidRPr="003F6B95">
        <w:rPr>
          <w:rFonts w:cs="Arial"/>
          <w:color w:val="000000" w:themeColor="text1"/>
          <w:sz w:val="26"/>
          <w:szCs w:val="26"/>
        </w:rPr>
        <w:t xml:space="preserve"> de las partes</w:t>
      </w:r>
      <w:r w:rsidR="00D32AB9" w:rsidRPr="003F6B95">
        <w:rPr>
          <w:rFonts w:cs="Arial"/>
          <w:color w:val="000000" w:themeColor="text1"/>
          <w:sz w:val="26"/>
          <w:szCs w:val="26"/>
        </w:rPr>
        <w:t xml:space="preserve"> y la correlativa obligación de los </w:t>
      </w:r>
      <w:r w:rsidR="00A40C61" w:rsidRPr="003F6B95">
        <w:rPr>
          <w:rFonts w:cs="Arial"/>
          <w:color w:val="000000" w:themeColor="text1"/>
          <w:sz w:val="26"/>
          <w:szCs w:val="26"/>
        </w:rPr>
        <w:t>juzgadores</w:t>
      </w:r>
      <w:r w:rsidR="00D32AB9" w:rsidRPr="003F6B95">
        <w:rPr>
          <w:rFonts w:cs="Arial"/>
          <w:color w:val="000000" w:themeColor="text1"/>
          <w:sz w:val="26"/>
          <w:szCs w:val="26"/>
        </w:rPr>
        <w:t xml:space="preserve"> </w:t>
      </w:r>
      <w:r w:rsidR="00A40C61" w:rsidRPr="003F6B95">
        <w:rPr>
          <w:rFonts w:cs="Arial"/>
          <w:color w:val="000000" w:themeColor="text1"/>
          <w:sz w:val="26"/>
          <w:szCs w:val="26"/>
        </w:rPr>
        <w:t>de</w:t>
      </w:r>
      <w:r w:rsidR="00D32AB9" w:rsidRPr="003F6B95">
        <w:rPr>
          <w:rFonts w:cs="Arial"/>
          <w:color w:val="000000" w:themeColor="text1"/>
          <w:sz w:val="26"/>
          <w:szCs w:val="26"/>
        </w:rPr>
        <w:t xml:space="preserve"> protegerlo, por lo que la carga procesal de citar a todas las partes corresponde al órgano jurisdiccional</w:t>
      </w:r>
      <w:r w:rsidR="00E33BA5" w:rsidRPr="003F6B95">
        <w:rPr>
          <w:rStyle w:val="Refdenotaalpie"/>
          <w:rFonts w:cs="Arial"/>
          <w:color w:val="000000" w:themeColor="text1"/>
          <w:sz w:val="26"/>
          <w:szCs w:val="26"/>
        </w:rPr>
        <w:footnoteReference w:id="38"/>
      </w:r>
      <w:r w:rsidR="00E33BA5" w:rsidRPr="003F6B95">
        <w:rPr>
          <w:rFonts w:cs="Arial"/>
          <w:color w:val="000000" w:themeColor="text1"/>
          <w:sz w:val="26"/>
          <w:szCs w:val="26"/>
        </w:rPr>
        <w:t>.</w:t>
      </w:r>
    </w:p>
    <w:p w14:paraId="6BD79436" w14:textId="77777777" w:rsidR="00A40C61" w:rsidRPr="003F6B95" w:rsidRDefault="00A40C61" w:rsidP="002628AD">
      <w:pPr>
        <w:pStyle w:val="corte4fondo"/>
        <w:tabs>
          <w:tab w:val="left" w:pos="0"/>
        </w:tabs>
        <w:ind w:right="51" w:firstLine="0"/>
        <w:rPr>
          <w:rFonts w:cs="Arial"/>
          <w:color w:val="000000" w:themeColor="text1"/>
          <w:sz w:val="26"/>
          <w:szCs w:val="26"/>
        </w:rPr>
      </w:pPr>
    </w:p>
    <w:p w14:paraId="1D18040A" w14:textId="3A4025C7" w:rsidR="00712222" w:rsidRPr="003F6B95" w:rsidRDefault="003A3CC0" w:rsidP="00C81141">
      <w:pPr>
        <w:pStyle w:val="corte4fondo"/>
        <w:numPr>
          <w:ilvl w:val="0"/>
          <w:numId w:val="2"/>
        </w:numPr>
        <w:tabs>
          <w:tab w:val="left" w:pos="0"/>
        </w:tabs>
        <w:ind w:left="0" w:right="51" w:hanging="426"/>
        <w:rPr>
          <w:rFonts w:cs="Arial"/>
          <w:bCs/>
          <w:color w:val="000000" w:themeColor="text1"/>
          <w:sz w:val="26"/>
          <w:szCs w:val="26"/>
        </w:rPr>
      </w:pPr>
      <w:r w:rsidRPr="003F6B95">
        <w:rPr>
          <w:rFonts w:cs="Arial"/>
          <w:color w:val="000000" w:themeColor="text1"/>
          <w:sz w:val="26"/>
          <w:szCs w:val="26"/>
        </w:rPr>
        <w:t>Por otra parte,</w:t>
      </w:r>
      <w:r w:rsidR="00AD0E04" w:rsidRPr="003F6B95">
        <w:rPr>
          <w:rFonts w:cs="Arial"/>
          <w:bCs/>
          <w:color w:val="000000" w:themeColor="text1"/>
          <w:sz w:val="26"/>
          <w:szCs w:val="26"/>
        </w:rPr>
        <w:t xml:space="preserve"> </w:t>
      </w:r>
      <w:r w:rsidR="00262730" w:rsidRPr="003F6B95">
        <w:rPr>
          <w:rFonts w:cs="Arial"/>
          <w:bCs/>
          <w:color w:val="000000" w:themeColor="text1"/>
          <w:sz w:val="26"/>
          <w:szCs w:val="26"/>
        </w:rPr>
        <w:t>l</w:t>
      </w:r>
      <w:r w:rsidR="00712222" w:rsidRPr="003F6B95">
        <w:rPr>
          <w:rFonts w:cs="Arial"/>
          <w:bCs/>
          <w:color w:val="000000" w:themeColor="text1"/>
          <w:sz w:val="26"/>
          <w:szCs w:val="26"/>
        </w:rPr>
        <w:t xml:space="preserve">a responsabilidad civil extracontractual </w:t>
      </w:r>
      <w:r w:rsidR="002637F5" w:rsidRPr="003F6B95">
        <w:rPr>
          <w:rFonts w:cs="Arial"/>
          <w:bCs/>
          <w:color w:val="000000" w:themeColor="text1"/>
          <w:sz w:val="26"/>
          <w:szCs w:val="26"/>
        </w:rPr>
        <w:t>se refiere a las</w:t>
      </w:r>
      <w:r w:rsidR="00AD0E04" w:rsidRPr="003F6B95">
        <w:rPr>
          <w:rFonts w:cs="Arial"/>
          <w:bCs/>
          <w:color w:val="000000" w:themeColor="text1"/>
          <w:sz w:val="26"/>
          <w:szCs w:val="26"/>
        </w:rPr>
        <w:t xml:space="preserve"> consecuencias </w:t>
      </w:r>
      <w:r w:rsidR="002637F5" w:rsidRPr="003F6B95">
        <w:rPr>
          <w:rFonts w:cs="Arial"/>
          <w:bCs/>
          <w:color w:val="000000" w:themeColor="text1"/>
          <w:sz w:val="26"/>
          <w:szCs w:val="26"/>
        </w:rPr>
        <w:t xml:space="preserve">de transgredir el </w:t>
      </w:r>
      <w:r w:rsidR="00AD0E04" w:rsidRPr="003F6B95">
        <w:rPr>
          <w:rFonts w:cs="Arial"/>
          <w:bCs/>
          <w:color w:val="000000" w:themeColor="text1"/>
          <w:sz w:val="26"/>
          <w:szCs w:val="26"/>
        </w:rPr>
        <w:t>deber genérico de toda persona de no dañar a otra</w:t>
      </w:r>
      <w:r w:rsidR="00AD0E04" w:rsidRPr="003F6B95">
        <w:rPr>
          <w:rStyle w:val="Refdenotaalpie"/>
          <w:rFonts w:cs="Arial"/>
          <w:bCs/>
          <w:color w:val="000000" w:themeColor="text1"/>
          <w:sz w:val="26"/>
          <w:szCs w:val="26"/>
        </w:rPr>
        <w:footnoteReference w:id="39"/>
      </w:r>
      <w:r w:rsidR="00AD0E04" w:rsidRPr="003F6B95">
        <w:rPr>
          <w:rFonts w:cs="Arial"/>
          <w:bCs/>
          <w:color w:val="000000" w:themeColor="text1"/>
          <w:sz w:val="26"/>
          <w:szCs w:val="26"/>
        </w:rPr>
        <w:t>.</w:t>
      </w:r>
      <w:r w:rsidR="002637F5" w:rsidRPr="003F6B95">
        <w:rPr>
          <w:rFonts w:cs="Arial"/>
          <w:bCs/>
          <w:color w:val="000000" w:themeColor="text1"/>
          <w:sz w:val="26"/>
          <w:szCs w:val="26"/>
        </w:rPr>
        <w:t xml:space="preserve"> Esta responsabilidad</w:t>
      </w:r>
      <w:r w:rsidR="00712222" w:rsidRPr="003F6B95">
        <w:rPr>
          <w:rFonts w:cs="Arial"/>
          <w:bCs/>
          <w:color w:val="000000" w:themeColor="text1"/>
          <w:sz w:val="26"/>
          <w:szCs w:val="26"/>
        </w:rPr>
        <w:t xml:space="preserve"> tiene dos propósitos esenciales. En primer lugar, prescribe diversos tipos de conductas o circunstancias dañosas, subjetivas y objetivas, que resultan jurídicamente relevantes. En segundo lugar, establece diversos remedios o respuestas jurídicamente exigibles cuando se actualiza un daño como consecuencia de una de esas conductas</w:t>
      </w:r>
      <w:r w:rsidR="00712222" w:rsidRPr="003F6B95">
        <w:rPr>
          <w:rStyle w:val="Refdenotaalpie"/>
          <w:rFonts w:cs="Arial"/>
          <w:bCs/>
          <w:color w:val="000000" w:themeColor="text1"/>
          <w:sz w:val="26"/>
          <w:szCs w:val="26"/>
        </w:rPr>
        <w:footnoteReference w:id="40"/>
      </w:r>
      <w:r w:rsidR="00712222" w:rsidRPr="003F6B95">
        <w:rPr>
          <w:rFonts w:cs="Arial"/>
          <w:bCs/>
          <w:color w:val="000000" w:themeColor="text1"/>
          <w:sz w:val="26"/>
          <w:szCs w:val="26"/>
        </w:rPr>
        <w:t>.</w:t>
      </w:r>
      <w:r w:rsidR="00BC402B" w:rsidRPr="003F6B95">
        <w:rPr>
          <w:rFonts w:cs="Arial"/>
          <w:bCs/>
          <w:color w:val="000000" w:themeColor="text1"/>
          <w:sz w:val="26"/>
          <w:szCs w:val="26"/>
        </w:rPr>
        <w:t xml:space="preserve"> </w:t>
      </w:r>
      <w:r w:rsidR="00FC115D" w:rsidRPr="003F6B95">
        <w:rPr>
          <w:rFonts w:cs="Arial"/>
          <w:bCs/>
          <w:color w:val="000000" w:themeColor="text1"/>
          <w:sz w:val="26"/>
          <w:szCs w:val="26"/>
        </w:rPr>
        <w:t xml:space="preserve">Así, </w:t>
      </w:r>
      <w:r w:rsidR="00092BBF" w:rsidRPr="003F6B95">
        <w:rPr>
          <w:rFonts w:cs="Arial"/>
          <w:bCs/>
          <w:color w:val="000000" w:themeColor="text1"/>
          <w:sz w:val="26"/>
          <w:szCs w:val="26"/>
        </w:rPr>
        <w:t>las</w:t>
      </w:r>
      <w:r w:rsidR="00372B50" w:rsidRPr="003F6B95">
        <w:rPr>
          <w:rFonts w:cs="Arial"/>
          <w:bCs/>
          <w:color w:val="000000" w:themeColor="text1"/>
          <w:sz w:val="26"/>
          <w:szCs w:val="26"/>
        </w:rPr>
        <w:t xml:space="preserve"> normas</w:t>
      </w:r>
      <w:r w:rsidR="00092BBF" w:rsidRPr="003F6B95">
        <w:rPr>
          <w:rFonts w:cs="Arial"/>
          <w:bCs/>
          <w:color w:val="000000" w:themeColor="text1"/>
          <w:sz w:val="26"/>
          <w:szCs w:val="26"/>
        </w:rPr>
        <w:t xml:space="preserve"> en la materia</w:t>
      </w:r>
      <w:r w:rsidR="00372B50" w:rsidRPr="003F6B95">
        <w:rPr>
          <w:rFonts w:cs="Arial"/>
          <w:bCs/>
          <w:color w:val="000000" w:themeColor="text1"/>
          <w:sz w:val="26"/>
          <w:szCs w:val="26"/>
        </w:rPr>
        <w:t xml:space="preserve"> </w:t>
      </w:r>
      <w:r w:rsidR="00284729" w:rsidRPr="003F6B95">
        <w:rPr>
          <w:rFonts w:cs="Arial"/>
          <w:bCs/>
          <w:color w:val="000000" w:themeColor="text1"/>
          <w:sz w:val="26"/>
          <w:szCs w:val="26"/>
        </w:rPr>
        <w:t xml:space="preserve">imponen la obligación de reparar </w:t>
      </w:r>
      <w:r w:rsidR="00284729" w:rsidRPr="003F6B95">
        <w:rPr>
          <w:rFonts w:cs="Arial"/>
          <w:bCs/>
          <w:color w:val="000000" w:themeColor="text1"/>
          <w:sz w:val="26"/>
          <w:szCs w:val="26"/>
        </w:rPr>
        <w:lastRenderedPageBreak/>
        <w:t>el daño injustamente ocasionado, cuando la persona que lo sufrió así lo solicita</w:t>
      </w:r>
      <w:r w:rsidR="006973E2" w:rsidRPr="003F6B95">
        <w:rPr>
          <w:rStyle w:val="Refdenotaalpie"/>
          <w:rFonts w:cs="Arial"/>
          <w:bCs/>
          <w:color w:val="000000" w:themeColor="text1"/>
          <w:sz w:val="26"/>
          <w:szCs w:val="26"/>
        </w:rPr>
        <w:footnoteReference w:id="41"/>
      </w:r>
      <w:r w:rsidR="00712222" w:rsidRPr="003F6B95">
        <w:rPr>
          <w:rFonts w:cs="Arial"/>
          <w:bCs/>
          <w:color w:val="000000" w:themeColor="text1"/>
          <w:sz w:val="26"/>
          <w:szCs w:val="26"/>
        </w:rPr>
        <w:t xml:space="preserve">. </w:t>
      </w:r>
    </w:p>
    <w:p w14:paraId="237339A1" w14:textId="77777777" w:rsidR="004E302D" w:rsidRPr="003F6B95" w:rsidRDefault="004E302D" w:rsidP="00C81141">
      <w:pPr>
        <w:pStyle w:val="corte4fondo"/>
        <w:tabs>
          <w:tab w:val="left" w:pos="0"/>
        </w:tabs>
        <w:ind w:right="51" w:firstLine="0"/>
        <w:rPr>
          <w:rFonts w:cs="Arial"/>
          <w:bCs/>
          <w:color w:val="000000" w:themeColor="text1"/>
          <w:sz w:val="26"/>
          <w:szCs w:val="26"/>
        </w:rPr>
      </w:pPr>
    </w:p>
    <w:p w14:paraId="440C5618" w14:textId="0CF3E80B" w:rsidR="002C1194" w:rsidRPr="003F6B95" w:rsidRDefault="002E521C" w:rsidP="1A9D0C58">
      <w:pPr>
        <w:pStyle w:val="corte4fondo"/>
        <w:numPr>
          <w:ilvl w:val="0"/>
          <w:numId w:val="2"/>
        </w:numPr>
        <w:ind w:left="0" w:right="51" w:hanging="426"/>
        <w:rPr>
          <w:rFonts w:cs="Arial"/>
          <w:color w:val="000000" w:themeColor="text1"/>
          <w:sz w:val="26"/>
          <w:szCs w:val="26"/>
          <w:lang w:val="es-ES"/>
        </w:rPr>
      </w:pPr>
      <w:r w:rsidRPr="003F6B95">
        <w:rPr>
          <w:rFonts w:cs="Arial"/>
          <w:color w:val="000000" w:themeColor="text1"/>
          <w:sz w:val="26"/>
          <w:szCs w:val="26"/>
          <w:lang w:val="es-ES"/>
        </w:rPr>
        <w:t>Al respecto, d</w:t>
      </w:r>
      <w:r w:rsidR="00092BBF" w:rsidRPr="003F6B95">
        <w:rPr>
          <w:rFonts w:cs="Arial"/>
          <w:color w:val="000000" w:themeColor="text1"/>
          <w:sz w:val="26"/>
          <w:szCs w:val="26"/>
          <w:lang w:val="es-ES"/>
        </w:rPr>
        <w:t>iversas</w:t>
      </w:r>
      <w:r w:rsidR="002C1194" w:rsidRPr="003F6B95">
        <w:rPr>
          <w:rFonts w:cs="Arial"/>
          <w:color w:val="000000" w:themeColor="text1"/>
          <w:sz w:val="26"/>
          <w:szCs w:val="26"/>
          <w:lang w:val="es-ES"/>
        </w:rPr>
        <w:t xml:space="preserve"> legislaciones civiles, </w:t>
      </w:r>
      <w:r w:rsidR="00092BBF" w:rsidRPr="003F6B95">
        <w:rPr>
          <w:rFonts w:cs="Arial"/>
          <w:color w:val="000000" w:themeColor="text1"/>
          <w:sz w:val="26"/>
          <w:szCs w:val="26"/>
          <w:lang w:val="es-ES"/>
        </w:rPr>
        <w:t>como</w:t>
      </w:r>
      <w:r w:rsidR="002C1194" w:rsidRPr="003F6B95">
        <w:rPr>
          <w:rFonts w:cs="Arial"/>
          <w:color w:val="000000" w:themeColor="text1"/>
          <w:sz w:val="26"/>
          <w:szCs w:val="26"/>
          <w:lang w:val="es-ES"/>
        </w:rPr>
        <w:t xml:space="preserve"> la de</w:t>
      </w:r>
      <w:r w:rsidR="0072713C" w:rsidRPr="003F6B95">
        <w:rPr>
          <w:rFonts w:cs="Arial"/>
          <w:color w:val="000000" w:themeColor="text1"/>
          <w:sz w:val="26"/>
          <w:szCs w:val="26"/>
          <w:lang w:val="es-ES"/>
        </w:rPr>
        <w:t xml:space="preserve"> la Ciudad de México</w:t>
      </w:r>
      <w:r w:rsidR="002C1194" w:rsidRPr="003F6B95">
        <w:rPr>
          <w:rFonts w:cs="Arial"/>
          <w:color w:val="000000" w:themeColor="text1"/>
          <w:sz w:val="26"/>
          <w:szCs w:val="26"/>
          <w:lang w:val="es-ES"/>
        </w:rPr>
        <w:t>, regulan una modalidad de la responsabilidad extracontractual diversa de la responsabilidad directa o por hecho propio</w:t>
      </w:r>
      <w:r w:rsidR="0072713C" w:rsidRPr="003F6B95">
        <w:rPr>
          <w:rFonts w:cs="Arial"/>
          <w:color w:val="000000" w:themeColor="text1"/>
          <w:sz w:val="26"/>
          <w:szCs w:val="26"/>
          <w:lang w:val="es-ES"/>
        </w:rPr>
        <w:t xml:space="preserve"> (que puede ser tanto subjetiva, como objetiva)</w:t>
      </w:r>
      <w:r w:rsidR="002C1194" w:rsidRPr="003F6B95">
        <w:rPr>
          <w:rFonts w:cs="Arial"/>
          <w:color w:val="000000" w:themeColor="text1"/>
          <w:sz w:val="26"/>
          <w:szCs w:val="26"/>
          <w:lang w:val="es-ES"/>
        </w:rPr>
        <w:t>, la cual se denomina responsabilidad por actos de terceros</w:t>
      </w:r>
      <w:r w:rsidR="002C1194" w:rsidRPr="003F6B95">
        <w:rPr>
          <w:rStyle w:val="Refdenotaalpie"/>
          <w:rFonts w:cs="Arial"/>
          <w:color w:val="000000" w:themeColor="text1"/>
          <w:sz w:val="26"/>
          <w:szCs w:val="26"/>
          <w:lang w:val="es-ES"/>
        </w:rPr>
        <w:footnoteReference w:id="42"/>
      </w:r>
      <w:r w:rsidR="002C1194" w:rsidRPr="003F6B95">
        <w:rPr>
          <w:rFonts w:cs="Arial"/>
          <w:color w:val="000000" w:themeColor="text1"/>
          <w:sz w:val="26"/>
          <w:szCs w:val="26"/>
          <w:lang w:val="es-ES"/>
        </w:rPr>
        <w:t>. En este tipo de responsabilidad, la obligación de resarcir el daño recae sobre una persona distinta a la que materialmente ocasionó el daño, porque esta persona “responsable indirecta” mantiene un vínculo de potestad, guarda, cuidado, vigilancia, control, dependencia o subordinación con la responsable material</w:t>
      </w:r>
      <w:r w:rsidR="002C1194" w:rsidRPr="003F6B95">
        <w:rPr>
          <w:rStyle w:val="Refdenotaalpie"/>
          <w:rFonts w:cs="Arial"/>
          <w:color w:val="000000" w:themeColor="text1"/>
          <w:sz w:val="26"/>
          <w:szCs w:val="26"/>
          <w:lang w:val="es-ES"/>
        </w:rPr>
        <w:footnoteReference w:id="43"/>
      </w:r>
      <w:r w:rsidR="002C1194" w:rsidRPr="003F6B95">
        <w:rPr>
          <w:rFonts w:cs="Arial"/>
          <w:color w:val="000000" w:themeColor="text1"/>
          <w:sz w:val="26"/>
          <w:szCs w:val="26"/>
          <w:lang w:val="es-ES"/>
        </w:rPr>
        <w:t>.</w:t>
      </w:r>
    </w:p>
    <w:p w14:paraId="284FA5EB" w14:textId="77777777" w:rsidR="002C1194" w:rsidRPr="003F6B95" w:rsidRDefault="002C1194" w:rsidP="002C1194">
      <w:pPr>
        <w:pStyle w:val="Prrafodelista"/>
        <w:spacing w:line="360" w:lineRule="auto"/>
        <w:jc w:val="both"/>
        <w:rPr>
          <w:rFonts w:ascii="Arial" w:hAnsi="Arial" w:cs="Arial"/>
          <w:bCs/>
          <w:color w:val="000000" w:themeColor="text1"/>
          <w:sz w:val="26"/>
          <w:szCs w:val="26"/>
        </w:rPr>
      </w:pPr>
    </w:p>
    <w:p w14:paraId="129D01FD" w14:textId="6DE67E68" w:rsidR="002C1194" w:rsidRPr="003F6B95" w:rsidRDefault="002C1194" w:rsidP="00CD4FD9">
      <w:pPr>
        <w:pStyle w:val="corte4fondo"/>
        <w:numPr>
          <w:ilvl w:val="0"/>
          <w:numId w:val="2"/>
        </w:numPr>
        <w:tabs>
          <w:tab w:val="left" w:pos="0"/>
        </w:tabs>
        <w:ind w:left="0" w:right="51" w:hanging="426"/>
        <w:rPr>
          <w:rFonts w:cs="Arial"/>
          <w:bCs/>
          <w:color w:val="000000" w:themeColor="text1"/>
          <w:sz w:val="26"/>
          <w:szCs w:val="26"/>
        </w:rPr>
      </w:pPr>
      <w:r w:rsidRPr="003F6B95">
        <w:rPr>
          <w:rFonts w:cs="Arial"/>
          <w:bCs/>
          <w:color w:val="000000" w:themeColor="text1"/>
          <w:sz w:val="26"/>
          <w:szCs w:val="26"/>
        </w:rPr>
        <w:t xml:space="preserve">De este modo, los casos en los que una persona puede resultar responsable por actos que no </w:t>
      </w:r>
      <w:r w:rsidR="002C03F1" w:rsidRPr="003F6B95">
        <w:rPr>
          <w:rFonts w:cs="Arial"/>
          <w:bCs/>
          <w:color w:val="000000" w:themeColor="text1"/>
          <w:sz w:val="26"/>
          <w:szCs w:val="26"/>
        </w:rPr>
        <w:t xml:space="preserve">se cometieron </w:t>
      </w:r>
      <w:r w:rsidRPr="003F6B95">
        <w:rPr>
          <w:rFonts w:cs="Arial"/>
          <w:bCs/>
          <w:color w:val="000000" w:themeColor="text1"/>
          <w:sz w:val="26"/>
          <w:szCs w:val="26"/>
        </w:rPr>
        <w:t xml:space="preserve">directamente por ella corresponden con situaciones en las que el responsable indirecto ejerce autoridad en relación con el causante del daño o responsable directo. Esta autoridad se traduce en la posibilidad de vigilar, controlar y corregir el desempeño de sus funciones. </w:t>
      </w:r>
    </w:p>
    <w:p w14:paraId="5CA40614" w14:textId="77777777" w:rsidR="00862401" w:rsidRPr="003F6B95" w:rsidRDefault="00862401" w:rsidP="00C81141">
      <w:pPr>
        <w:pStyle w:val="corte4fondo"/>
        <w:tabs>
          <w:tab w:val="left" w:pos="0"/>
        </w:tabs>
        <w:ind w:right="51" w:firstLine="0"/>
        <w:rPr>
          <w:rFonts w:cs="Arial"/>
          <w:bCs/>
          <w:color w:val="000000" w:themeColor="text1"/>
          <w:sz w:val="26"/>
          <w:szCs w:val="26"/>
        </w:rPr>
      </w:pPr>
    </w:p>
    <w:p w14:paraId="3A8C6000" w14:textId="67C86D8A" w:rsidR="00EF03B5" w:rsidRPr="003F6B95" w:rsidRDefault="00862401" w:rsidP="007C4204">
      <w:pPr>
        <w:pStyle w:val="corte4fondo"/>
        <w:numPr>
          <w:ilvl w:val="0"/>
          <w:numId w:val="2"/>
        </w:numPr>
        <w:tabs>
          <w:tab w:val="left" w:pos="0"/>
        </w:tabs>
        <w:ind w:left="0" w:right="51" w:hanging="426"/>
        <w:rPr>
          <w:rFonts w:cs="Arial"/>
          <w:sz w:val="26"/>
          <w:szCs w:val="26"/>
        </w:rPr>
      </w:pPr>
      <w:r w:rsidRPr="003F6B95">
        <w:rPr>
          <w:rFonts w:cs="Arial"/>
          <w:bCs/>
          <w:color w:val="000000" w:themeColor="text1"/>
          <w:sz w:val="26"/>
          <w:szCs w:val="26"/>
        </w:rPr>
        <w:t xml:space="preserve">Ahora, </w:t>
      </w:r>
      <w:r w:rsidR="005A1923" w:rsidRPr="003F6B95">
        <w:rPr>
          <w:rFonts w:cs="Arial"/>
          <w:bCs/>
          <w:color w:val="000000" w:themeColor="text1"/>
          <w:sz w:val="26"/>
          <w:szCs w:val="26"/>
        </w:rPr>
        <w:t>l</w:t>
      </w:r>
      <w:r w:rsidR="004151CE" w:rsidRPr="003F6B95">
        <w:rPr>
          <w:rFonts w:cs="Arial"/>
          <w:bCs/>
          <w:color w:val="000000" w:themeColor="text1"/>
          <w:sz w:val="26"/>
          <w:szCs w:val="26"/>
        </w:rPr>
        <w:t xml:space="preserve">a responsabilidad </w:t>
      </w:r>
      <w:r w:rsidR="00D04F08" w:rsidRPr="003F6B95">
        <w:rPr>
          <w:rFonts w:cs="Arial"/>
          <w:bCs/>
          <w:color w:val="000000" w:themeColor="text1"/>
          <w:sz w:val="26"/>
          <w:szCs w:val="26"/>
        </w:rPr>
        <w:t xml:space="preserve">civil </w:t>
      </w:r>
      <w:r w:rsidR="004151CE" w:rsidRPr="003F6B95">
        <w:rPr>
          <w:rFonts w:cs="Arial"/>
          <w:bCs/>
          <w:color w:val="000000" w:themeColor="text1"/>
          <w:sz w:val="26"/>
          <w:szCs w:val="26"/>
        </w:rPr>
        <w:t xml:space="preserve">por actos de terceros </w:t>
      </w:r>
      <w:r w:rsidR="004958C6" w:rsidRPr="003F6B95">
        <w:rPr>
          <w:rFonts w:cs="Arial"/>
          <w:bCs/>
          <w:color w:val="000000" w:themeColor="text1"/>
          <w:sz w:val="26"/>
          <w:szCs w:val="26"/>
        </w:rPr>
        <w:t xml:space="preserve">en la Ciudad de México </w:t>
      </w:r>
      <w:r w:rsidR="005A1923" w:rsidRPr="003F6B95">
        <w:rPr>
          <w:rFonts w:cs="Arial"/>
          <w:bCs/>
          <w:color w:val="000000" w:themeColor="text1"/>
          <w:sz w:val="26"/>
          <w:szCs w:val="26"/>
        </w:rPr>
        <w:t>se prevé principalmente</w:t>
      </w:r>
      <w:r w:rsidR="004151CE" w:rsidRPr="003F6B95">
        <w:rPr>
          <w:rFonts w:cs="Arial"/>
          <w:bCs/>
          <w:color w:val="000000" w:themeColor="text1"/>
          <w:sz w:val="26"/>
          <w:szCs w:val="26"/>
        </w:rPr>
        <w:t xml:space="preserve"> en los artículos </w:t>
      </w:r>
      <w:r w:rsidR="00493538" w:rsidRPr="003F6B95">
        <w:rPr>
          <w:rFonts w:cs="Arial"/>
          <w:bCs/>
          <w:color w:val="000000" w:themeColor="text1"/>
          <w:sz w:val="26"/>
          <w:szCs w:val="26"/>
        </w:rPr>
        <w:t xml:space="preserve">1918 a </w:t>
      </w:r>
      <w:r w:rsidR="00095101" w:rsidRPr="003F6B95">
        <w:rPr>
          <w:rFonts w:cs="Arial"/>
          <w:bCs/>
          <w:color w:val="000000" w:themeColor="text1"/>
          <w:sz w:val="26"/>
          <w:szCs w:val="26"/>
        </w:rPr>
        <w:t>1928</w:t>
      </w:r>
      <w:r w:rsidR="004151CE" w:rsidRPr="003F6B95">
        <w:rPr>
          <w:rFonts w:cs="Arial"/>
          <w:bCs/>
          <w:color w:val="000000" w:themeColor="text1"/>
          <w:sz w:val="26"/>
          <w:szCs w:val="26"/>
        </w:rPr>
        <w:t xml:space="preserve"> del </w:t>
      </w:r>
      <w:r w:rsidR="004151CE" w:rsidRPr="003F6B95">
        <w:rPr>
          <w:rFonts w:cs="Arial"/>
          <w:color w:val="000000" w:themeColor="text1"/>
          <w:sz w:val="26"/>
          <w:szCs w:val="26"/>
        </w:rPr>
        <w:t xml:space="preserve">Código Civil para el </w:t>
      </w:r>
      <w:r w:rsidR="004151CE" w:rsidRPr="003F6B95">
        <w:rPr>
          <w:rFonts w:cs="Arial"/>
          <w:color w:val="000000" w:themeColor="text1"/>
          <w:sz w:val="26"/>
          <w:szCs w:val="26"/>
        </w:rPr>
        <w:lastRenderedPageBreak/>
        <w:t>Distrito Federal</w:t>
      </w:r>
      <w:r w:rsidR="004958C6" w:rsidRPr="003F6B95">
        <w:rPr>
          <w:rFonts w:cs="Arial"/>
          <w:color w:val="000000" w:themeColor="text1"/>
          <w:sz w:val="26"/>
          <w:szCs w:val="26"/>
        </w:rPr>
        <w:t>. En relación con el caso bajo estudio, el artículo 1924 dispone que los patrones y dueños de establecimientos mercantiles están obligados a responder de los daños y perjuicios causados por sus dependientes en el ejercicio de sus funciones, salvo que demuestren que en la comisión del daño no se les puede imputar ninguna culpa o negligencia</w:t>
      </w:r>
      <w:r w:rsidR="004958C6" w:rsidRPr="003F6B95">
        <w:rPr>
          <w:rStyle w:val="Refdenotaalpie"/>
          <w:rFonts w:cs="Arial"/>
          <w:color w:val="000000" w:themeColor="text1"/>
          <w:sz w:val="26"/>
          <w:szCs w:val="26"/>
        </w:rPr>
        <w:footnoteReference w:id="44"/>
      </w:r>
      <w:r w:rsidR="004958C6" w:rsidRPr="003F6B95">
        <w:rPr>
          <w:rFonts w:cs="Arial"/>
          <w:color w:val="000000" w:themeColor="text1"/>
          <w:sz w:val="26"/>
          <w:szCs w:val="26"/>
        </w:rPr>
        <w:t>.</w:t>
      </w:r>
      <w:r w:rsidR="003E73A9" w:rsidRPr="003F6B95">
        <w:rPr>
          <w:rFonts w:cs="Arial"/>
          <w:sz w:val="26"/>
          <w:szCs w:val="26"/>
        </w:rPr>
        <w:t xml:space="preserve"> </w:t>
      </w:r>
    </w:p>
    <w:p w14:paraId="6E8E5F2B" w14:textId="77777777" w:rsidR="00EF03B5" w:rsidRPr="003F6B95" w:rsidRDefault="00EF03B5" w:rsidP="00C81141">
      <w:pPr>
        <w:pStyle w:val="corte4fondo"/>
        <w:tabs>
          <w:tab w:val="left" w:pos="0"/>
        </w:tabs>
        <w:ind w:right="51" w:firstLine="0"/>
        <w:rPr>
          <w:rFonts w:cs="Arial"/>
          <w:sz w:val="26"/>
          <w:szCs w:val="26"/>
        </w:rPr>
      </w:pPr>
    </w:p>
    <w:p w14:paraId="026442FE" w14:textId="66C21C5A" w:rsidR="007C4204" w:rsidRPr="003F6B95" w:rsidRDefault="007C4204" w:rsidP="1A9D0C58">
      <w:pPr>
        <w:pStyle w:val="corte4fondo"/>
        <w:numPr>
          <w:ilvl w:val="0"/>
          <w:numId w:val="2"/>
        </w:numPr>
        <w:ind w:left="0" w:right="51" w:hanging="426"/>
        <w:rPr>
          <w:rFonts w:cs="Arial"/>
          <w:sz w:val="26"/>
          <w:szCs w:val="26"/>
          <w:lang w:val="es-ES"/>
        </w:rPr>
      </w:pPr>
      <w:r w:rsidRPr="003F6B95">
        <w:rPr>
          <w:rFonts w:cs="Arial"/>
          <w:sz w:val="26"/>
          <w:szCs w:val="26"/>
        </w:rPr>
        <w:t>Así, l</w:t>
      </w:r>
      <w:r w:rsidR="003E73A9" w:rsidRPr="003F6B95">
        <w:rPr>
          <w:rFonts w:cs="Arial"/>
          <w:sz w:val="26"/>
          <w:szCs w:val="26"/>
        </w:rPr>
        <w:t xml:space="preserve">a responsabilidad de los dueños de establecimientos mercantiles por los daños causados por sus trabajadores o dependientes se funda en </w:t>
      </w:r>
      <w:r w:rsidR="00A36F22" w:rsidRPr="003F6B95">
        <w:rPr>
          <w:rFonts w:cs="Arial"/>
          <w:sz w:val="26"/>
          <w:szCs w:val="26"/>
        </w:rPr>
        <w:t xml:space="preserve">i) </w:t>
      </w:r>
      <w:r w:rsidR="003E73A9" w:rsidRPr="003F6B95">
        <w:rPr>
          <w:rFonts w:cs="Arial"/>
          <w:sz w:val="26"/>
          <w:szCs w:val="26"/>
        </w:rPr>
        <w:t xml:space="preserve">la culpa </w:t>
      </w:r>
      <w:r w:rsidR="003E73A9" w:rsidRPr="003F6B95">
        <w:rPr>
          <w:rFonts w:cs="Arial"/>
          <w:i/>
          <w:iCs/>
          <w:sz w:val="26"/>
          <w:szCs w:val="26"/>
        </w:rPr>
        <w:t>in eligiendo</w:t>
      </w:r>
      <w:r w:rsidR="003E73A9" w:rsidRPr="003F6B95">
        <w:rPr>
          <w:rFonts w:cs="Arial"/>
          <w:iCs/>
          <w:sz w:val="26"/>
          <w:szCs w:val="26"/>
        </w:rPr>
        <w:t>;</w:t>
      </w:r>
      <w:r w:rsidR="003E73A9" w:rsidRPr="003F6B95">
        <w:rPr>
          <w:rFonts w:cs="Arial"/>
          <w:i/>
          <w:iCs/>
          <w:sz w:val="26"/>
          <w:szCs w:val="26"/>
        </w:rPr>
        <w:t xml:space="preserve"> </w:t>
      </w:r>
      <w:r w:rsidR="003E73A9" w:rsidRPr="003F6B95">
        <w:rPr>
          <w:rFonts w:cs="Arial"/>
          <w:sz w:val="26"/>
          <w:szCs w:val="26"/>
        </w:rPr>
        <w:t xml:space="preserve">es decir, en la capacidad que tienen </w:t>
      </w:r>
      <w:r w:rsidR="00A36F22" w:rsidRPr="003F6B95">
        <w:rPr>
          <w:rFonts w:cs="Arial"/>
          <w:sz w:val="26"/>
          <w:szCs w:val="26"/>
        </w:rPr>
        <w:t xml:space="preserve">los dueños </w:t>
      </w:r>
      <w:r w:rsidR="003E73A9" w:rsidRPr="003F6B95">
        <w:rPr>
          <w:rFonts w:cs="Arial"/>
          <w:sz w:val="26"/>
          <w:szCs w:val="26"/>
        </w:rPr>
        <w:t xml:space="preserve">para elegir e integrar a las personas físicas </w:t>
      </w:r>
      <w:r w:rsidR="00A36F22" w:rsidRPr="003F6B95">
        <w:rPr>
          <w:rFonts w:cs="Arial"/>
          <w:sz w:val="26"/>
          <w:szCs w:val="26"/>
        </w:rPr>
        <w:t>o</w:t>
      </w:r>
      <w:r w:rsidR="003E73A9" w:rsidRPr="003F6B95">
        <w:rPr>
          <w:rFonts w:cs="Arial"/>
          <w:sz w:val="26"/>
          <w:szCs w:val="26"/>
        </w:rPr>
        <w:t xml:space="preserve"> morales que prestarán servicios en tales establecimientos, así como en </w:t>
      </w:r>
      <w:r w:rsidR="00A36F22" w:rsidRPr="003F6B95">
        <w:rPr>
          <w:rFonts w:cs="Arial"/>
          <w:sz w:val="26"/>
          <w:szCs w:val="26"/>
        </w:rPr>
        <w:t xml:space="preserve">ii) </w:t>
      </w:r>
      <w:r w:rsidR="003E73A9" w:rsidRPr="003F6B95">
        <w:rPr>
          <w:rFonts w:cs="Arial"/>
          <w:sz w:val="26"/>
          <w:szCs w:val="26"/>
        </w:rPr>
        <w:t xml:space="preserve">la culpa </w:t>
      </w:r>
      <w:r w:rsidR="003E73A9" w:rsidRPr="003F6B95">
        <w:rPr>
          <w:rFonts w:cs="Arial"/>
          <w:i/>
          <w:iCs/>
          <w:sz w:val="26"/>
          <w:szCs w:val="26"/>
        </w:rPr>
        <w:t>in</w:t>
      </w:r>
      <w:r w:rsidR="003E73A9" w:rsidRPr="003F6B95">
        <w:rPr>
          <w:rFonts w:cs="Arial"/>
          <w:sz w:val="26"/>
          <w:szCs w:val="26"/>
        </w:rPr>
        <w:t xml:space="preserve"> </w:t>
      </w:r>
      <w:r w:rsidR="003E73A9" w:rsidRPr="003F6B95">
        <w:rPr>
          <w:rFonts w:cs="Arial"/>
          <w:i/>
          <w:iCs/>
          <w:sz w:val="26"/>
          <w:szCs w:val="26"/>
        </w:rPr>
        <w:t>vigilando</w:t>
      </w:r>
      <w:r w:rsidR="00A36F22" w:rsidRPr="003F6B95">
        <w:rPr>
          <w:rFonts w:cs="Arial"/>
          <w:sz w:val="26"/>
          <w:szCs w:val="26"/>
        </w:rPr>
        <w:t>;</w:t>
      </w:r>
      <w:r w:rsidR="003E73A9" w:rsidRPr="003F6B95">
        <w:rPr>
          <w:rFonts w:cs="Arial"/>
          <w:sz w:val="26"/>
          <w:szCs w:val="26"/>
        </w:rPr>
        <w:t xml:space="preserve"> esto es, en la presunción de culpa derivada de la capacidad que tienen para supervisar y vigilar que la prestación de los diversos servicios contratados se realice con apego al marco legal y constitucional en nuestro país.</w:t>
      </w:r>
    </w:p>
    <w:p w14:paraId="6CAA7EC4" w14:textId="77777777" w:rsidR="007C4204" w:rsidRPr="003F6B95" w:rsidRDefault="007C4204" w:rsidP="00C81141">
      <w:pPr>
        <w:pStyle w:val="corte4fondo"/>
        <w:tabs>
          <w:tab w:val="left" w:pos="0"/>
        </w:tabs>
        <w:ind w:right="51" w:firstLine="0"/>
        <w:rPr>
          <w:rFonts w:cs="Arial"/>
          <w:sz w:val="26"/>
          <w:szCs w:val="26"/>
        </w:rPr>
      </w:pPr>
    </w:p>
    <w:p w14:paraId="0F97BBB5" w14:textId="18339373" w:rsidR="003E3946" w:rsidRPr="003F6B95" w:rsidRDefault="007C4204" w:rsidP="1A9D0C58">
      <w:pPr>
        <w:pStyle w:val="corte4fondo"/>
        <w:numPr>
          <w:ilvl w:val="0"/>
          <w:numId w:val="2"/>
        </w:numPr>
        <w:ind w:left="0" w:right="51" w:hanging="426"/>
        <w:rPr>
          <w:rFonts w:cs="Arial"/>
          <w:sz w:val="26"/>
          <w:szCs w:val="26"/>
          <w:lang w:val="es-ES"/>
        </w:rPr>
      </w:pPr>
      <w:r w:rsidRPr="003F6B95">
        <w:rPr>
          <w:rFonts w:cs="Arial"/>
          <w:sz w:val="26"/>
          <w:szCs w:val="26"/>
          <w:lang w:val="es-ES"/>
        </w:rPr>
        <w:t xml:space="preserve">Para esta Primera Sala, si bien en la responsabilidad de </w:t>
      </w:r>
      <w:r w:rsidR="00361CD0" w:rsidRPr="003F6B95">
        <w:rPr>
          <w:rFonts w:cs="Arial"/>
          <w:sz w:val="26"/>
          <w:szCs w:val="26"/>
          <w:lang w:val="es-ES"/>
        </w:rPr>
        <w:t xml:space="preserve">patrones o </w:t>
      </w:r>
      <w:r w:rsidRPr="003F6B95">
        <w:rPr>
          <w:rFonts w:cs="Arial"/>
          <w:sz w:val="26"/>
          <w:szCs w:val="26"/>
          <w:lang w:val="es-ES"/>
        </w:rPr>
        <w:t xml:space="preserve">dueños de establecimientos mercantiles por los </w:t>
      </w:r>
      <w:r w:rsidR="004D640A" w:rsidRPr="003F6B95">
        <w:rPr>
          <w:rFonts w:cs="Arial"/>
          <w:sz w:val="26"/>
          <w:szCs w:val="26"/>
          <w:lang w:val="es-ES"/>
        </w:rPr>
        <w:t>d</w:t>
      </w:r>
      <w:r w:rsidRPr="003F6B95">
        <w:rPr>
          <w:rFonts w:cs="Arial"/>
          <w:sz w:val="26"/>
          <w:szCs w:val="26"/>
          <w:lang w:val="es-ES"/>
        </w:rPr>
        <w:t>años causados por sus trabajadores</w:t>
      </w:r>
      <w:r w:rsidR="004D640A" w:rsidRPr="003F6B95">
        <w:rPr>
          <w:rFonts w:cs="Arial"/>
          <w:sz w:val="26"/>
          <w:szCs w:val="26"/>
          <w:lang w:val="es-ES"/>
        </w:rPr>
        <w:t xml:space="preserve"> existe una relación </w:t>
      </w:r>
      <w:r w:rsidR="00641B5D" w:rsidRPr="003F6B95">
        <w:rPr>
          <w:rFonts w:cs="Arial"/>
          <w:color w:val="000000" w:themeColor="text1"/>
          <w:sz w:val="26"/>
          <w:szCs w:val="26"/>
          <w:lang w:val="es-ES"/>
        </w:rPr>
        <w:t>de potestad, guarda, cuidado, vigilancia</w:t>
      </w:r>
      <w:r w:rsidR="00483C5E" w:rsidRPr="003F6B95">
        <w:rPr>
          <w:rFonts w:cs="Arial"/>
          <w:color w:val="000000" w:themeColor="text1"/>
          <w:sz w:val="26"/>
          <w:szCs w:val="26"/>
          <w:lang w:val="es-ES"/>
        </w:rPr>
        <w:t xml:space="preserve"> o</w:t>
      </w:r>
      <w:r w:rsidR="00641B5D" w:rsidRPr="003F6B95">
        <w:rPr>
          <w:rFonts w:cs="Arial"/>
          <w:color w:val="000000" w:themeColor="text1"/>
          <w:sz w:val="26"/>
          <w:szCs w:val="26"/>
          <w:lang w:val="es-ES"/>
        </w:rPr>
        <w:t xml:space="preserve"> contro</w:t>
      </w:r>
      <w:r w:rsidR="00483C5E" w:rsidRPr="003F6B95">
        <w:rPr>
          <w:rFonts w:cs="Arial"/>
          <w:color w:val="000000" w:themeColor="text1"/>
          <w:sz w:val="26"/>
          <w:szCs w:val="26"/>
          <w:lang w:val="es-ES"/>
        </w:rPr>
        <w:t>l</w:t>
      </w:r>
      <w:r w:rsidR="00641B5D" w:rsidRPr="003F6B95">
        <w:rPr>
          <w:rFonts w:cs="Arial"/>
          <w:color w:val="000000" w:themeColor="text1"/>
          <w:sz w:val="26"/>
          <w:szCs w:val="26"/>
          <w:lang w:val="es-ES"/>
        </w:rPr>
        <w:t xml:space="preserve"> entre la parte responsable indirecta y la responsable material, ello no implica que, al </w:t>
      </w:r>
      <w:r w:rsidR="00056A35" w:rsidRPr="003F6B95">
        <w:rPr>
          <w:rFonts w:cs="Arial"/>
          <w:color w:val="000000" w:themeColor="text1"/>
          <w:sz w:val="26"/>
          <w:szCs w:val="26"/>
          <w:lang w:val="es-ES"/>
        </w:rPr>
        <w:t>iniciar un juicio de</w:t>
      </w:r>
      <w:r w:rsidR="00641B5D" w:rsidRPr="003F6B95">
        <w:rPr>
          <w:rFonts w:cs="Arial"/>
          <w:color w:val="000000" w:themeColor="text1"/>
          <w:sz w:val="26"/>
          <w:szCs w:val="26"/>
          <w:lang w:val="es-ES"/>
        </w:rPr>
        <w:t xml:space="preserve"> responsabilidad civil extracontractual </w:t>
      </w:r>
      <w:r w:rsidR="00056A35" w:rsidRPr="003F6B95">
        <w:rPr>
          <w:rFonts w:cs="Arial"/>
          <w:color w:val="000000" w:themeColor="text1"/>
          <w:sz w:val="26"/>
          <w:szCs w:val="26"/>
          <w:lang w:val="es-ES"/>
        </w:rPr>
        <w:t>contra</w:t>
      </w:r>
      <w:r w:rsidR="00641B5D" w:rsidRPr="003F6B95">
        <w:rPr>
          <w:rFonts w:cs="Arial"/>
          <w:color w:val="000000" w:themeColor="text1"/>
          <w:sz w:val="26"/>
          <w:szCs w:val="26"/>
          <w:lang w:val="es-ES"/>
        </w:rPr>
        <w:t xml:space="preserve"> </w:t>
      </w:r>
      <w:r w:rsidR="00C46FBE" w:rsidRPr="003F6B95">
        <w:rPr>
          <w:rFonts w:cs="Arial"/>
          <w:color w:val="000000" w:themeColor="text1"/>
          <w:sz w:val="26"/>
          <w:szCs w:val="26"/>
          <w:lang w:val="es-ES"/>
        </w:rPr>
        <w:t>la responsable material</w:t>
      </w:r>
      <w:r w:rsidR="00056A35" w:rsidRPr="003F6B95">
        <w:rPr>
          <w:rFonts w:cs="Arial"/>
          <w:color w:val="000000" w:themeColor="text1"/>
          <w:sz w:val="26"/>
          <w:szCs w:val="26"/>
          <w:lang w:val="es-ES"/>
        </w:rPr>
        <w:t>, necesariamente deba llamarse a juicio a la</w:t>
      </w:r>
      <w:r w:rsidR="007D2C74" w:rsidRPr="003F6B95">
        <w:rPr>
          <w:rFonts w:cs="Arial"/>
          <w:color w:val="000000" w:themeColor="text1"/>
          <w:sz w:val="26"/>
          <w:szCs w:val="26"/>
          <w:lang w:val="es-ES"/>
        </w:rPr>
        <w:t xml:space="preserve"> </w:t>
      </w:r>
      <w:r w:rsidR="00C46FBE" w:rsidRPr="003F6B95">
        <w:rPr>
          <w:rFonts w:cs="Arial"/>
          <w:color w:val="000000" w:themeColor="text1"/>
          <w:sz w:val="26"/>
          <w:szCs w:val="26"/>
          <w:lang w:val="es-ES"/>
        </w:rPr>
        <w:t>responsable indirecta</w:t>
      </w:r>
      <w:r w:rsidR="00641B5D" w:rsidRPr="003F6B95">
        <w:rPr>
          <w:rFonts w:cs="Arial"/>
          <w:color w:val="000000" w:themeColor="text1"/>
          <w:sz w:val="26"/>
          <w:szCs w:val="26"/>
          <w:lang w:val="es-ES"/>
        </w:rPr>
        <w:t>.</w:t>
      </w:r>
      <w:r w:rsidR="005D7221" w:rsidRPr="003F6B95">
        <w:rPr>
          <w:rFonts w:cs="Arial"/>
          <w:sz w:val="26"/>
          <w:szCs w:val="26"/>
          <w:lang w:val="es-ES"/>
        </w:rPr>
        <w:t xml:space="preserve"> </w:t>
      </w:r>
      <w:r w:rsidR="00C2461D" w:rsidRPr="003F6B95">
        <w:rPr>
          <w:rFonts w:cs="Arial"/>
          <w:sz w:val="26"/>
          <w:szCs w:val="26"/>
          <w:lang w:val="es-ES"/>
        </w:rPr>
        <w:t xml:space="preserve">En </w:t>
      </w:r>
      <w:r w:rsidR="006841D0" w:rsidRPr="003F6B95">
        <w:rPr>
          <w:rFonts w:cs="Arial"/>
          <w:sz w:val="26"/>
          <w:szCs w:val="26"/>
          <w:lang w:val="es-ES"/>
        </w:rPr>
        <w:t>otras palabras</w:t>
      </w:r>
      <w:r w:rsidR="00C2461D" w:rsidRPr="003F6B95">
        <w:rPr>
          <w:rFonts w:cs="Arial"/>
          <w:sz w:val="26"/>
          <w:szCs w:val="26"/>
          <w:lang w:val="es-ES"/>
        </w:rPr>
        <w:t xml:space="preserve">, </w:t>
      </w:r>
      <w:r w:rsidR="00134F93" w:rsidRPr="003F6B95">
        <w:rPr>
          <w:rFonts w:cs="Arial"/>
          <w:sz w:val="26"/>
          <w:szCs w:val="26"/>
          <w:lang w:val="es-ES"/>
        </w:rPr>
        <w:t xml:space="preserve">la presunta víctima puede </w:t>
      </w:r>
      <w:r w:rsidR="00B532F8" w:rsidRPr="003F6B95">
        <w:rPr>
          <w:rFonts w:cs="Arial"/>
          <w:sz w:val="26"/>
          <w:szCs w:val="26"/>
          <w:lang w:val="es-ES"/>
        </w:rPr>
        <w:t xml:space="preserve">demandar </w:t>
      </w:r>
      <w:r w:rsidR="00483C5E" w:rsidRPr="003F6B95">
        <w:rPr>
          <w:rFonts w:cs="Arial"/>
          <w:sz w:val="26"/>
          <w:szCs w:val="26"/>
          <w:lang w:val="es-ES"/>
        </w:rPr>
        <w:t xml:space="preserve">a </w:t>
      </w:r>
      <w:r w:rsidR="00134F93" w:rsidRPr="003F6B95">
        <w:rPr>
          <w:rFonts w:cs="Arial"/>
          <w:sz w:val="26"/>
          <w:szCs w:val="26"/>
          <w:lang w:val="es-ES"/>
        </w:rPr>
        <w:t xml:space="preserve">la responsable material, sin </w:t>
      </w:r>
      <w:r w:rsidR="00712C6A">
        <w:rPr>
          <w:rFonts w:cs="Arial"/>
          <w:sz w:val="26"/>
          <w:szCs w:val="26"/>
          <w:lang w:val="es-ES"/>
        </w:rPr>
        <w:t>tener que</w:t>
      </w:r>
      <w:r w:rsidR="00134F93" w:rsidRPr="003F6B95">
        <w:rPr>
          <w:rFonts w:cs="Arial"/>
          <w:sz w:val="26"/>
          <w:szCs w:val="26"/>
          <w:lang w:val="es-ES"/>
        </w:rPr>
        <w:t xml:space="preserve"> </w:t>
      </w:r>
      <w:r w:rsidR="00B532F8" w:rsidRPr="003F6B95">
        <w:rPr>
          <w:rFonts w:cs="Arial"/>
          <w:sz w:val="26"/>
          <w:szCs w:val="26"/>
          <w:lang w:val="es-ES"/>
        </w:rPr>
        <w:t>también demandar a</w:t>
      </w:r>
      <w:r w:rsidR="00134F93" w:rsidRPr="003F6B95">
        <w:rPr>
          <w:rFonts w:cs="Arial"/>
          <w:sz w:val="26"/>
          <w:szCs w:val="26"/>
          <w:lang w:val="es-ES"/>
        </w:rPr>
        <w:t xml:space="preserve"> la responsable ind</w:t>
      </w:r>
      <w:r w:rsidR="00134F93" w:rsidRPr="001A7C5D">
        <w:rPr>
          <w:rFonts w:cs="Arial"/>
          <w:sz w:val="26"/>
          <w:szCs w:val="26"/>
          <w:lang w:val="es-ES"/>
        </w:rPr>
        <w:t>irecta</w:t>
      </w:r>
      <w:r w:rsidR="007839B7" w:rsidRPr="001A7C5D">
        <w:rPr>
          <w:rFonts w:cs="Arial"/>
          <w:sz w:val="26"/>
          <w:szCs w:val="26"/>
          <w:lang w:val="es-ES"/>
        </w:rPr>
        <w:t>,</w:t>
      </w:r>
      <w:r w:rsidR="00CF02C4" w:rsidRPr="001A7C5D">
        <w:rPr>
          <w:rFonts w:cs="Arial"/>
          <w:sz w:val="26"/>
          <w:szCs w:val="26"/>
          <w:lang w:val="es-ES"/>
        </w:rPr>
        <w:t xml:space="preserve"> pues</w:t>
      </w:r>
      <w:r w:rsidR="007839B7" w:rsidRPr="001A7C5D">
        <w:rPr>
          <w:rFonts w:cs="Arial"/>
          <w:sz w:val="26"/>
          <w:szCs w:val="26"/>
          <w:lang w:val="es-ES"/>
        </w:rPr>
        <w:t xml:space="preserve"> </w:t>
      </w:r>
      <w:r w:rsidR="00680F61" w:rsidRPr="001A7C5D">
        <w:rPr>
          <w:rFonts w:cs="Arial"/>
          <w:color w:val="000000" w:themeColor="text1"/>
          <w:sz w:val="26"/>
          <w:szCs w:val="26"/>
          <w:lang w:val="es-ES"/>
        </w:rPr>
        <w:t xml:space="preserve">esa </w:t>
      </w:r>
      <w:r w:rsidR="00FE415E" w:rsidRPr="001A7C5D">
        <w:rPr>
          <w:rFonts w:cs="Arial"/>
          <w:color w:val="000000" w:themeColor="text1"/>
          <w:sz w:val="26"/>
          <w:szCs w:val="26"/>
          <w:lang w:val="es-ES"/>
        </w:rPr>
        <w:t>sentencia respecto</w:t>
      </w:r>
      <w:r w:rsidR="00CF02C4" w:rsidRPr="001A7C5D">
        <w:rPr>
          <w:rFonts w:cs="Arial"/>
          <w:color w:val="000000" w:themeColor="text1"/>
          <w:sz w:val="26"/>
          <w:szCs w:val="26"/>
          <w:lang w:val="es-ES"/>
        </w:rPr>
        <w:t xml:space="preserve"> </w:t>
      </w:r>
      <w:r w:rsidR="00FE415E" w:rsidRPr="001A7C5D">
        <w:rPr>
          <w:rFonts w:cs="Arial"/>
          <w:color w:val="000000" w:themeColor="text1"/>
          <w:sz w:val="26"/>
          <w:szCs w:val="26"/>
          <w:lang w:val="es-ES"/>
        </w:rPr>
        <w:t>de</w:t>
      </w:r>
      <w:r w:rsidR="00CF02C4" w:rsidRPr="001A7C5D">
        <w:rPr>
          <w:rFonts w:cs="Arial"/>
          <w:color w:val="000000" w:themeColor="text1"/>
          <w:sz w:val="26"/>
          <w:szCs w:val="26"/>
          <w:lang w:val="es-ES"/>
        </w:rPr>
        <w:t xml:space="preserve"> la</w:t>
      </w:r>
      <w:r w:rsidR="007839B7" w:rsidRPr="001A7C5D">
        <w:rPr>
          <w:rFonts w:cs="Arial"/>
          <w:color w:val="000000" w:themeColor="text1"/>
          <w:sz w:val="26"/>
          <w:szCs w:val="26"/>
          <w:lang w:val="es-ES"/>
        </w:rPr>
        <w:t xml:space="preserve"> responsable material no </w:t>
      </w:r>
      <w:r w:rsidR="00735AE2" w:rsidRPr="001A7C5D">
        <w:rPr>
          <w:rFonts w:cs="Arial"/>
          <w:color w:val="000000" w:themeColor="text1"/>
          <w:sz w:val="26"/>
          <w:szCs w:val="26"/>
          <w:lang w:val="es-ES"/>
        </w:rPr>
        <w:t>abarcará</w:t>
      </w:r>
      <w:r w:rsidR="00E81906" w:rsidRPr="001A7C5D">
        <w:rPr>
          <w:rFonts w:cs="Arial"/>
          <w:color w:val="000000" w:themeColor="text1"/>
          <w:sz w:val="26"/>
          <w:szCs w:val="26"/>
          <w:lang w:val="es-ES"/>
        </w:rPr>
        <w:t xml:space="preserve"> </w:t>
      </w:r>
      <w:r w:rsidR="00777CB0" w:rsidRPr="001A7C5D">
        <w:rPr>
          <w:rFonts w:cs="Arial"/>
          <w:color w:val="000000" w:themeColor="text1"/>
          <w:sz w:val="26"/>
          <w:szCs w:val="26"/>
          <w:lang w:val="es-ES"/>
        </w:rPr>
        <w:t>la esfera de</w:t>
      </w:r>
      <w:r w:rsidR="00CF02C4" w:rsidRPr="001A7C5D">
        <w:rPr>
          <w:rFonts w:cs="Arial"/>
          <w:color w:val="000000" w:themeColor="text1"/>
          <w:sz w:val="26"/>
          <w:szCs w:val="26"/>
          <w:lang w:val="es-ES"/>
        </w:rPr>
        <w:t xml:space="preserve"> la</w:t>
      </w:r>
      <w:r w:rsidR="007839B7" w:rsidRPr="001A7C5D">
        <w:rPr>
          <w:rFonts w:cs="Arial"/>
          <w:color w:val="000000" w:themeColor="text1"/>
          <w:sz w:val="26"/>
          <w:szCs w:val="26"/>
          <w:lang w:val="es-ES"/>
        </w:rPr>
        <w:t xml:space="preserve"> responsable indirect</w:t>
      </w:r>
      <w:r w:rsidR="00CF02C4" w:rsidRPr="001A7C5D">
        <w:rPr>
          <w:rFonts w:cs="Arial"/>
          <w:color w:val="000000" w:themeColor="text1"/>
          <w:sz w:val="26"/>
          <w:szCs w:val="26"/>
          <w:lang w:val="es-ES"/>
        </w:rPr>
        <w:t>a</w:t>
      </w:r>
      <w:r w:rsidR="007839B7" w:rsidRPr="001A7C5D">
        <w:rPr>
          <w:rFonts w:cs="Arial"/>
          <w:color w:val="000000" w:themeColor="text1"/>
          <w:sz w:val="26"/>
          <w:szCs w:val="26"/>
          <w:lang w:val="es-ES"/>
        </w:rPr>
        <w:t xml:space="preserve"> que no participó en el juicio</w:t>
      </w:r>
      <w:r w:rsidR="00134F93" w:rsidRPr="001A7C5D">
        <w:rPr>
          <w:rFonts w:cs="Arial"/>
          <w:sz w:val="26"/>
          <w:szCs w:val="26"/>
          <w:lang w:val="es-ES"/>
        </w:rPr>
        <w:t xml:space="preserve">. </w:t>
      </w:r>
      <w:r w:rsidR="00C4745F" w:rsidRPr="001A7C5D">
        <w:rPr>
          <w:rFonts w:cs="Arial"/>
          <w:color w:val="000000" w:themeColor="text1"/>
          <w:sz w:val="26"/>
          <w:szCs w:val="26"/>
          <w:lang w:val="es-ES"/>
        </w:rPr>
        <w:t>E</w:t>
      </w:r>
      <w:r w:rsidR="00CF02C4" w:rsidRPr="001A7C5D">
        <w:rPr>
          <w:rFonts w:cs="Arial"/>
          <w:color w:val="000000" w:themeColor="text1"/>
          <w:sz w:val="26"/>
          <w:szCs w:val="26"/>
          <w:lang w:val="es-ES"/>
        </w:rPr>
        <w:t>n es</w:t>
      </w:r>
      <w:r w:rsidR="00CF02C4" w:rsidRPr="003F6B95">
        <w:rPr>
          <w:rFonts w:cs="Arial"/>
          <w:color w:val="000000" w:themeColor="text1"/>
          <w:sz w:val="26"/>
          <w:szCs w:val="26"/>
          <w:lang w:val="es-ES"/>
        </w:rPr>
        <w:t xml:space="preserve">e sentido, debe entenderse que </w:t>
      </w:r>
      <w:r w:rsidR="00C4745F" w:rsidRPr="003F6B95">
        <w:rPr>
          <w:rFonts w:cs="Arial"/>
          <w:color w:val="000000" w:themeColor="text1"/>
          <w:sz w:val="26"/>
          <w:szCs w:val="26"/>
          <w:lang w:val="es-ES"/>
        </w:rPr>
        <w:t xml:space="preserve">la posibilidad de demandar a la responsable indirecta constituye </w:t>
      </w:r>
      <w:r w:rsidR="005A5B66">
        <w:rPr>
          <w:rFonts w:cs="Arial"/>
          <w:color w:val="000000" w:themeColor="text1"/>
          <w:sz w:val="26"/>
          <w:szCs w:val="26"/>
          <w:lang w:val="es-ES"/>
        </w:rPr>
        <w:t>una posibilidad</w:t>
      </w:r>
      <w:r w:rsidR="00C4745F" w:rsidRPr="003F6B95">
        <w:rPr>
          <w:rFonts w:cs="Arial"/>
          <w:color w:val="000000" w:themeColor="text1"/>
          <w:sz w:val="26"/>
          <w:szCs w:val="26"/>
          <w:lang w:val="es-ES"/>
        </w:rPr>
        <w:t xml:space="preserve"> para las presuntas víctimas de exigir el pago y lograr el cobro de una justa indemnización </w:t>
      </w:r>
      <w:r w:rsidR="002A34F0" w:rsidRPr="003F6B95">
        <w:rPr>
          <w:rFonts w:cs="Arial"/>
          <w:color w:val="000000" w:themeColor="text1"/>
          <w:sz w:val="26"/>
          <w:szCs w:val="26"/>
          <w:lang w:val="es-ES"/>
        </w:rPr>
        <w:t>—a</w:t>
      </w:r>
      <w:r w:rsidR="00DD722C" w:rsidRPr="003F6B95">
        <w:rPr>
          <w:rFonts w:cs="Arial"/>
          <w:color w:val="000000" w:themeColor="text1"/>
          <w:sz w:val="26"/>
          <w:szCs w:val="26"/>
          <w:lang w:val="es-ES"/>
        </w:rPr>
        <w:t xml:space="preserve"> través de los dueños o patrones</w:t>
      </w:r>
      <w:r w:rsidR="002A34F0" w:rsidRPr="003F6B95">
        <w:rPr>
          <w:rFonts w:cs="Arial"/>
          <w:color w:val="000000" w:themeColor="text1"/>
          <w:sz w:val="26"/>
          <w:szCs w:val="26"/>
          <w:lang w:val="es-ES"/>
        </w:rPr>
        <w:t>—</w:t>
      </w:r>
      <w:r w:rsidR="00DD722C" w:rsidRPr="003F6B95">
        <w:rPr>
          <w:rFonts w:cs="Arial"/>
          <w:color w:val="000000" w:themeColor="text1"/>
          <w:sz w:val="26"/>
          <w:szCs w:val="26"/>
          <w:lang w:val="es-ES"/>
        </w:rPr>
        <w:t xml:space="preserve"> </w:t>
      </w:r>
      <w:r w:rsidR="00C4745F" w:rsidRPr="003F6B95">
        <w:rPr>
          <w:rFonts w:cs="Arial"/>
          <w:color w:val="000000" w:themeColor="text1"/>
          <w:sz w:val="26"/>
          <w:szCs w:val="26"/>
          <w:lang w:val="es-ES"/>
        </w:rPr>
        <w:t>por los hechos resentidos</w:t>
      </w:r>
      <w:r w:rsidR="00870AF3" w:rsidRPr="003F6B95">
        <w:rPr>
          <w:rFonts w:cs="Arial"/>
          <w:color w:val="000000" w:themeColor="text1"/>
          <w:sz w:val="26"/>
          <w:szCs w:val="26"/>
          <w:lang w:val="es-ES"/>
        </w:rPr>
        <w:t>,</w:t>
      </w:r>
      <w:r w:rsidR="0048608C" w:rsidRPr="003F6B95">
        <w:rPr>
          <w:rFonts w:cs="Arial"/>
          <w:color w:val="000000" w:themeColor="text1"/>
          <w:sz w:val="26"/>
          <w:szCs w:val="26"/>
          <w:lang w:val="es-ES"/>
        </w:rPr>
        <w:t xml:space="preserve"> m</w:t>
      </w:r>
      <w:r w:rsidR="00870AF3" w:rsidRPr="003F6B95">
        <w:rPr>
          <w:rFonts w:cs="Arial"/>
          <w:color w:val="000000" w:themeColor="text1"/>
          <w:sz w:val="26"/>
          <w:szCs w:val="26"/>
          <w:lang w:val="es-ES"/>
        </w:rPr>
        <w:t>a</w:t>
      </w:r>
      <w:r w:rsidR="0048608C" w:rsidRPr="003F6B95">
        <w:rPr>
          <w:rFonts w:cs="Arial"/>
          <w:color w:val="000000" w:themeColor="text1"/>
          <w:sz w:val="26"/>
          <w:szCs w:val="26"/>
          <w:lang w:val="es-ES"/>
        </w:rPr>
        <w:t xml:space="preserve">s no </w:t>
      </w:r>
      <w:r w:rsidR="00870AF3" w:rsidRPr="003F6B95">
        <w:rPr>
          <w:rFonts w:cs="Arial"/>
          <w:color w:val="000000" w:themeColor="text1"/>
          <w:sz w:val="26"/>
          <w:szCs w:val="26"/>
          <w:lang w:val="es-ES"/>
        </w:rPr>
        <w:t>un</w:t>
      </w:r>
      <w:r w:rsidR="008E388F" w:rsidRPr="003F6B95">
        <w:rPr>
          <w:rFonts w:cs="Arial"/>
          <w:color w:val="000000" w:themeColor="text1"/>
          <w:sz w:val="26"/>
          <w:szCs w:val="26"/>
          <w:lang w:val="es-ES"/>
        </w:rPr>
        <w:t xml:space="preserve"> requisito que deba actualizarse </w:t>
      </w:r>
      <w:r w:rsidR="00035AC9" w:rsidRPr="003F6B95">
        <w:rPr>
          <w:rFonts w:cs="Arial"/>
          <w:color w:val="000000" w:themeColor="text1"/>
          <w:sz w:val="26"/>
          <w:szCs w:val="26"/>
          <w:lang w:val="es-ES"/>
        </w:rPr>
        <w:t>en ca</w:t>
      </w:r>
      <w:r w:rsidR="00735AE2">
        <w:rPr>
          <w:rFonts w:cs="Arial"/>
          <w:color w:val="000000" w:themeColor="text1"/>
          <w:sz w:val="26"/>
          <w:szCs w:val="26"/>
          <w:lang w:val="es-ES"/>
        </w:rPr>
        <w:t>d</w:t>
      </w:r>
      <w:r w:rsidR="00035AC9" w:rsidRPr="003F6B95">
        <w:rPr>
          <w:rFonts w:cs="Arial"/>
          <w:color w:val="000000" w:themeColor="text1"/>
          <w:sz w:val="26"/>
          <w:szCs w:val="26"/>
          <w:lang w:val="es-ES"/>
        </w:rPr>
        <w:t>a caso de responsabilidad civil extracontractual</w:t>
      </w:r>
      <w:r w:rsidR="00EC7CCB" w:rsidRPr="003F6B95">
        <w:rPr>
          <w:rFonts w:cs="Arial"/>
          <w:color w:val="000000" w:themeColor="text1"/>
          <w:sz w:val="26"/>
          <w:szCs w:val="26"/>
          <w:lang w:val="es-ES"/>
        </w:rPr>
        <w:t>.</w:t>
      </w:r>
    </w:p>
    <w:p w14:paraId="03EE2F1A" w14:textId="77777777" w:rsidR="00534618" w:rsidRPr="003F6B95" w:rsidRDefault="00534618" w:rsidP="00C81141">
      <w:pPr>
        <w:pStyle w:val="corte4fondo"/>
        <w:tabs>
          <w:tab w:val="left" w:pos="0"/>
        </w:tabs>
        <w:ind w:right="51" w:firstLine="0"/>
        <w:rPr>
          <w:rFonts w:cs="Arial"/>
          <w:sz w:val="26"/>
          <w:szCs w:val="26"/>
        </w:rPr>
      </w:pPr>
    </w:p>
    <w:p w14:paraId="181572B4" w14:textId="0E43F31E" w:rsidR="00071262" w:rsidRPr="00ED2C7D" w:rsidRDefault="00134F93" w:rsidP="009109F6">
      <w:pPr>
        <w:pStyle w:val="corte4fondo"/>
        <w:numPr>
          <w:ilvl w:val="0"/>
          <w:numId w:val="2"/>
        </w:numPr>
        <w:tabs>
          <w:tab w:val="left" w:pos="0"/>
        </w:tabs>
        <w:ind w:left="0" w:right="51" w:hanging="426"/>
        <w:rPr>
          <w:rFonts w:cs="Arial"/>
          <w:sz w:val="26"/>
          <w:szCs w:val="26"/>
        </w:rPr>
      </w:pPr>
      <w:r w:rsidRPr="00ED2C7D">
        <w:rPr>
          <w:rFonts w:cs="Arial"/>
          <w:sz w:val="26"/>
          <w:szCs w:val="26"/>
        </w:rPr>
        <w:lastRenderedPageBreak/>
        <w:t>Esta es la racionalidad que sigue el</w:t>
      </w:r>
      <w:r w:rsidRPr="00ED2C7D">
        <w:rPr>
          <w:rFonts w:cs="Arial"/>
          <w:color w:val="000000" w:themeColor="text1"/>
          <w:sz w:val="26"/>
          <w:szCs w:val="26"/>
        </w:rPr>
        <w:t xml:space="preserve"> Código Civil para el Distrito Federal</w:t>
      </w:r>
      <w:r w:rsidR="000D046C" w:rsidRPr="00ED2C7D">
        <w:rPr>
          <w:rFonts w:cs="Arial"/>
          <w:color w:val="000000" w:themeColor="text1"/>
          <w:sz w:val="26"/>
          <w:szCs w:val="26"/>
        </w:rPr>
        <w:t>. D</w:t>
      </w:r>
      <w:r w:rsidR="009E7B7A" w:rsidRPr="00ED2C7D">
        <w:rPr>
          <w:rFonts w:cs="Arial"/>
          <w:color w:val="000000" w:themeColor="text1"/>
          <w:sz w:val="26"/>
          <w:szCs w:val="26"/>
        </w:rPr>
        <w:t>e una lectura sistemática de los artículos 1924 y 1926</w:t>
      </w:r>
      <w:r w:rsidR="000D046C" w:rsidRPr="00ED2C7D">
        <w:rPr>
          <w:rFonts w:cs="Arial"/>
          <w:color w:val="000000" w:themeColor="text1"/>
          <w:sz w:val="26"/>
          <w:szCs w:val="26"/>
        </w:rPr>
        <w:t xml:space="preserve"> de la legislación, se advierte que quien resiente el daño </w:t>
      </w:r>
      <w:r w:rsidR="000D046C" w:rsidRPr="00ED2C7D">
        <w:rPr>
          <w:rFonts w:cs="Arial"/>
          <w:i/>
          <w:color w:val="000000" w:themeColor="text1"/>
          <w:sz w:val="26"/>
          <w:szCs w:val="26"/>
        </w:rPr>
        <w:t>puede</w:t>
      </w:r>
      <w:r w:rsidR="000D046C" w:rsidRPr="00ED2C7D">
        <w:rPr>
          <w:rFonts w:cs="Arial"/>
          <w:color w:val="000000" w:themeColor="text1"/>
          <w:sz w:val="26"/>
          <w:szCs w:val="26"/>
        </w:rPr>
        <w:t xml:space="preserve"> </w:t>
      </w:r>
      <w:r w:rsidR="00986355" w:rsidRPr="00ED2C7D">
        <w:rPr>
          <w:rFonts w:cs="Arial"/>
          <w:color w:val="000000" w:themeColor="text1"/>
          <w:sz w:val="26"/>
          <w:szCs w:val="26"/>
        </w:rPr>
        <w:t xml:space="preserve">exigir la reparación correspondiente </w:t>
      </w:r>
      <w:r w:rsidR="001C7EC9" w:rsidRPr="00ED2C7D">
        <w:rPr>
          <w:rFonts w:cs="Arial"/>
          <w:color w:val="000000" w:themeColor="text1"/>
          <w:sz w:val="26"/>
          <w:szCs w:val="26"/>
        </w:rPr>
        <w:t>a los patrones o dueños</w:t>
      </w:r>
      <w:r w:rsidR="006379BC" w:rsidRPr="00ED2C7D">
        <w:rPr>
          <w:rFonts w:cs="Arial"/>
          <w:color w:val="000000" w:themeColor="text1"/>
          <w:sz w:val="26"/>
          <w:szCs w:val="26"/>
        </w:rPr>
        <w:t xml:space="preserve"> de los establecimientos </w:t>
      </w:r>
      <w:r w:rsidR="0031704D" w:rsidRPr="00ED2C7D">
        <w:rPr>
          <w:rFonts w:cs="Arial"/>
          <w:color w:val="000000" w:themeColor="text1"/>
          <w:sz w:val="26"/>
          <w:szCs w:val="26"/>
        </w:rPr>
        <w:t>mercantiles</w:t>
      </w:r>
      <w:r w:rsidR="001C7EC9" w:rsidRPr="00ED2C7D">
        <w:rPr>
          <w:rFonts w:cs="Arial"/>
          <w:color w:val="000000" w:themeColor="text1"/>
          <w:sz w:val="26"/>
          <w:szCs w:val="26"/>
        </w:rPr>
        <w:t xml:space="preserve">, o directamente </w:t>
      </w:r>
      <w:r w:rsidR="00A634C8" w:rsidRPr="00ED2C7D">
        <w:rPr>
          <w:rFonts w:cs="Arial"/>
          <w:color w:val="000000" w:themeColor="text1"/>
          <w:sz w:val="26"/>
          <w:szCs w:val="26"/>
        </w:rPr>
        <w:t>del responsable</w:t>
      </w:r>
      <w:r w:rsidR="0031704D" w:rsidRPr="00ED2C7D">
        <w:rPr>
          <w:rFonts w:cs="Arial"/>
          <w:color w:val="000000" w:themeColor="text1"/>
          <w:sz w:val="26"/>
          <w:szCs w:val="26"/>
        </w:rPr>
        <w:t xml:space="preserve">, quien consiste en </w:t>
      </w:r>
      <w:r w:rsidR="00125320" w:rsidRPr="00ED2C7D">
        <w:rPr>
          <w:rFonts w:cs="Arial"/>
          <w:color w:val="000000" w:themeColor="text1"/>
          <w:sz w:val="26"/>
          <w:szCs w:val="26"/>
        </w:rPr>
        <w:t>el dependiente que materialmente cometió el hecho ilícito</w:t>
      </w:r>
      <w:r w:rsidR="00522984" w:rsidRPr="00ED2C7D">
        <w:rPr>
          <w:rStyle w:val="Refdenotaalpie"/>
          <w:rFonts w:cs="Arial"/>
          <w:color w:val="000000" w:themeColor="text1"/>
          <w:sz w:val="26"/>
          <w:szCs w:val="26"/>
        </w:rPr>
        <w:footnoteReference w:id="45"/>
      </w:r>
      <w:r w:rsidR="0005704E" w:rsidRPr="00ED2C7D">
        <w:rPr>
          <w:rFonts w:cs="Arial"/>
          <w:color w:val="000000" w:themeColor="text1"/>
          <w:sz w:val="26"/>
          <w:szCs w:val="26"/>
        </w:rPr>
        <w:t>.</w:t>
      </w:r>
      <w:r w:rsidR="009165FD" w:rsidRPr="00ED2C7D">
        <w:rPr>
          <w:rFonts w:cs="Arial"/>
          <w:color w:val="000000" w:themeColor="text1"/>
          <w:sz w:val="26"/>
          <w:szCs w:val="26"/>
        </w:rPr>
        <w:t xml:space="preserve"> </w:t>
      </w:r>
      <w:r w:rsidR="00962CCD" w:rsidRPr="00ED2C7D">
        <w:rPr>
          <w:rFonts w:cs="Arial"/>
          <w:color w:val="000000" w:themeColor="text1"/>
          <w:sz w:val="26"/>
          <w:szCs w:val="26"/>
        </w:rPr>
        <w:t>En ese sentido</w:t>
      </w:r>
      <w:r w:rsidR="00E36651" w:rsidRPr="00ED2C7D">
        <w:rPr>
          <w:rFonts w:cs="Arial"/>
          <w:color w:val="000000" w:themeColor="text1"/>
          <w:sz w:val="26"/>
          <w:szCs w:val="26"/>
        </w:rPr>
        <w:t xml:space="preserve">, la </w:t>
      </w:r>
      <w:r w:rsidR="00962CCD" w:rsidRPr="00ED2C7D">
        <w:rPr>
          <w:rFonts w:cs="Arial"/>
          <w:color w:val="000000" w:themeColor="text1"/>
          <w:sz w:val="26"/>
          <w:szCs w:val="26"/>
        </w:rPr>
        <w:t xml:space="preserve">legislación civil </w:t>
      </w:r>
      <w:r w:rsidR="00292B8D" w:rsidRPr="00ED2C7D">
        <w:rPr>
          <w:rFonts w:cs="Arial"/>
          <w:color w:val="000000" w:themeColor="text1"/>
          <w:sz w:val="26"/>
          <w:szCs w:val="26"/>
        </w:rPr>
        <w:t>otorga a la víctim</w:t>
      </w:r>
      <w:r w:rsidR="00292B8D" w:rsidRPr="007B2854">
        <w:rPr>
          <w:rFonts w:cs="Arial"/>
          <w:color w:val="000000" w:themeColor="text1"/>
          <w:sz w:val="26"/>
          <w:szCs w:val="26"/>
        </w:rPr>
        <w:t xml:space="preserve">a la </w:t>
      </w:r>
      <w:r w:rsidR="00E36651" w:rsidRPr="002830AE">
        <w:rPr>
          <w:rFonts w:cs="Arial"/>
          <w:color w:val="000000" w:themeColor="text1"/>
          <w:sz w:val="26"/>
          <w:szCs w:val="26"/>
        </w:rPr>
        <w:t>facultad</w:t>
      </w:r>
      <w:r w:rsidR="00E36651" w:rsidRPr="007B2854">
        <w:rPr>
          <w:rFonts w:cs="Arial"/>
          <w:color w:val="000000" w:themeColor="text1"/>
          <w:sz w:val="26"/>
          <w:szCs w:val="26"/>
        </w:rPr>
        <w:t xml:space="preserve"> </w:t>
      </w:r>
      <w:r w:rsidR="00292B8D" w:rsidRPr="007B2854">
        <w:rPr>
          <w:rFonts w:cs="Arial"/>
          <w:color w:val="000000" w:themeColor="text1"/>
          <w:sz w:val="26"/>
          <w:szCs w:val="26"/>
        </w:rPr>
        <w:t>de exigir</w:t>
      </w:r>
      <w:r w:rsidR="00962CCD" w:rsidRPr="007B2854">
        <w:rPr>
          <w:rFonts w:cs="Arial"/>
          <w:color w:val="000000" w:themeColor="text1"/>
          <w:sz w:val="26"/>
          <w:szCs w:val="26"/>
        </w:rPr>
        <w:t xml:space="preserve"> </w:t>
      </w:r>
      <w:r w:rsidR="00292B8D" w:rsidRPr="007B2854">
        <w:rPr>
          <w:rFonts w:cs="Arial"/>
          <w:color w:val="000000" w:themeColor="text1"/>
          <w:sz w:val="26"/>
          <w:szCs w:val="26"/>
        </w:rPr>
        <w:t xml:space="preserve">a la </w:t>
      </w:r>
      <w:r w:rsidR="00071262" w:rsidRPr="007B2854">
        <w:rPr>
          <w:rFonts w:cs="Arial"/>
          <w:color w:val="000000" w:themeColor="text1"/>
          <w:sz w:val="26"/>
          <w:szCs w:val="26"/>
        </w:rPr>
        <w:t>responsa</w:t>
      </w:r>
      <w:r w:rsidR="00292B8D" w:rsidRPr="007B2854">
        <w:rPr>
          <w:rFonts w:cs="Arial"/>
          <w:color w:val="000000" w:themeColor="text1"/>
          <w:sz w:val="26"/>
          <w:szCs w:val="26"/>
        </w:rPr>
        <w:t>ble indirecta la reparación del daño</w:t>
      </w:r>
      <w:r w:rsidR="006604F8" w:rsidRPr="007B2854">
        <w:rPr>
          <w:rFonts w:cs="Arial"/>
          <w:color w:val="000000" w:themeColor="text1"/>
          <w:sz w:val="26"/>
          <w:szCs w:val="26"/>
        </w:rPr>
        <w:t xml:space="preserve"> causado por la responsable material</w:t>
      </w:r>
      <w:r w:rsidR="00933BBC" w:rsidRPr="007B2854">
        <w:rPr>
          <w:rFonts w:cs="Arial"/>
          <w:color w:val="000000" w:themeColor="text1"/>
          <w:sz w:val="26"/>
          <w:szCs w:val="26"/>
        </w:rPr>
        <w:t xml:space="preserve">; </w:t>
      </w:r>
      <w:r w:rsidR="00FD3C4A" w:rsidRPr="007B2854">
        <w:rPr>
          <w:rFonts w:cs="Arial"/>
          <w:color w:val="000000" w:themeColor="text1"/>
          <w:sz w:val="26"/>
          <w:szCs w:val="26"/>
        </w:rPr>
        <w:t>facultad que</w:t>
      </w:r>
      <w:r w:rsidR="00292B8D" w:rsidRPr="007B2854">
        <w:rPr>
          <w:rFonts w:cs="Arial"/>
          <w:color w:val="000000" w:themeColor="text1"/>
          <w:sz w:val="26"/>
          <w:szCs w:val="26"/>
        </w:rPr>
        <w:t xml:space="preserve"> no </w:t>
      </w:r>
      <w:r w:rsidR="00AE15EE" w:rsidRPr="007B2854">
        <w:rPr>
          <w:rFonts w:cs="Arial"/>
          <w:color w:val="000000" w:themeColor="text1"/>
          <w:sz w:val="26"/>
          <w:szCs w:val="26"/>
        </w:rPr>
        <w:t xml:space="preserve">constituye </w:t>
      </w:r>
      <w:r w:rsidR="00292B8D" w:rsidRPr="007B2854">
        <w:rPr>
          <w:rFonts w:cs="Arial"/>
          <w:color w:val="000000" w:themeColor="text1"/>
          <w:sz w:val="26"/>
          <w:szCs w:val="26"/>
        </w:rPr>
        <w:t xml:space="preserve">una </w:t>
      </w:r>
      <w:r w:rsidR="00292B8D" w:rsidRPr="002830AE">
        <w:rPr>
          <w:rFonts w:cs="Arial"/>
          <w:color w:val="000000" w:themeColor="text1"/>
          <w:sz w:val="26"/>
          <w:szCs w:val="26"/>
        </w:rPr>
        <w:t>obligació</w:t>
      </w:r>
      <w:r w:rsidR="00AE15EE" w:rsidRPr="002830AE">
        <w:rPr>
          <w:rFonts w:cs="Arial"/>
          <w:color w:val="000000" w:themeColor="text1"/>
          <w:sz w:val="26"/>
          <w:szCs w:val="26"/>
        </w:rPr>
        <w:t>n</w:t>
      </w:r>
      <w:r w:rsidR="006604F8" w:rsidRPr="007B2854">
        <w:rPr>
          <w:rFonts w:cs="Arial"/>
          <w:color w:val="000000" w:themeColor="text1"/>
          <w:sz w:val="26"/>
          <w:szCs w:val="26"/>
        </w:rPr>
        <w:t xml:space="preserve"> </w:t>
      </w:r>
      <w:r w:rsidR="005A5B66" w:rsidRPr="007B2854">
        <w:rPr>
          <w:rFonts w:cs="Arial"/>
          <w:color w:val="000000" w:themeColor="text1"/>
          <w:sz w:val="26"/>
          <w:szCs w:val="26"/>
        </w:rPr>
        <w:t xml:space="preserve">para la configuración de la relación procesal. </w:t>
      </w:r>
      <w:r w:rsidR="006604F8" w:rsidRPr="007B2854">
        <w:rPr>
          <w:rFonts w:cs="Arial"/>
          <w:color w:val="000000" w:themeColor="text1"/>
          <w:sz w:val="26"/>
          <w:szCs w:val="26"/>
        </w:rPr>
        <w:t>En ese sentido,</w:t>
      </w:r>
      <w:r w:rsidR="00FD3C4A" w:rsidRPr="007B2854">
        <w:rPr>
          <w:rFonts w:cs="Arial"/>
          <w:color w:val="000000" w:themeColor="text1"/>
          <w:sz w:val="26"/>
          <w:szCs w:val="26"/>
        </w:rPr>
        <w:t xml:space="preserve"> </w:t>
      </w:r>
      <w:r w:rsidR="0084482B" w:rsidRPr="007B2854">
        <w:rPr>
          <w:rFonts w:cs="Arial"/>
          <w:color w:val="000000" w:themeColor="text1"/>
          <w:sz w:val="26"/>
          <w:szCs w:val="26"/>
        </w:rPr>
        <w:t xml:space="preserve">en este supuesto no </w:t>
      </w:r>
      <w:r w:rsidR="0084482B" w:rsidRPr="00ED2C7D">
        <w:rPr>
          <w:rFonts w:cs="Arial"/>
          <w:color w:val="000000" w:themeColor="text1"/>
          <w:sz w:val="26"/>
          <w:szCs w:val="26"/>
        </w:rPr>
        <w:t>surge un litisconsorcio pasivo necesario entre la responsable material y la responsable indirecta</w:t>
      </w:r>
      <w:r w:rsidR="00384AE8" w:rsidRPr="00ED2C7D">
        <w:rPr>
          <w:rFonts w:cs="Arial"/>
          <w:color w:val="000000" w:themeColor="text1"/>
          <w:sz w:val="26"/>
          <w:szCs w:val="26"/>
        </w:rPr>
        <w:t>, cuando se demanda a la responsable material el pago de una justa indemnización, derivada de la responsabilidad civil extracontractual</w:t>
      </w:r>
      <w:r w:rsidR="0084482B" w:rsidRPr="00ED2C7D">
        <w:rPr>
          <w:rFonts w:cs="Arial"/>
          <w:color w:val="000000" w:themeColor="text1"/>
          <w:sz w:val="26"/>
          <w:szCs w:val="26"/>
        </w:rPr>
        <w:t>.</w:t>
      </w:r>
    </w:p>
    <w:p w14:paraId="70E3A0A5" w14:textId="77777777" w:rsidR="00A634C8" w:rsidRPr="003F6B95" w:rsidRDefault="00A634C8" w:rsidP="00C81141">
      <w:pPr>
        <w:pStyle w:val="corte4fondo"/>
        <w:tabs>
          <w:tab w:val="left" w:pos="0"/>
        </w:tabs>
        <w:ind w:right="51" w:firstLine="0"/>
        <w:rPr>
          <w:rFonts w:cs="Arial"/>
          <w:sz w:val="26"/>
          <w:szCs w:val="26"/>
        </w:rPr>
      </w:pPr>
    </w:p>
    <w:p w14:paraId="355BB123" w14:textId="278FF4AC" w:rsidR="00DE3E7E" w:rsidRPr="003F6B95" w:rsidRDefault="001A09B7" w:rsidP="1A9D0C58">
      <w:pPr>
        <w:pStyle w:val="corte4fondo"/>
        <w:numPr>
          <w:ilvl w:val="0"/>
          <w:numId w:val="2"/>
        </w:numPr>
        <w:ind w:left="0" w:right="51" w:hanging="426"/>
        <w:rPr>
          <w:rFonts w:cs="Arial"/>
          <w:color w:val="000000" w:themeColor="text1"/>
          <w:sz w:val="26"/>
          <w:szCs w:val="26"/>
          <w:lang w:val="es-ES"/>
        </w:rPr>
      </w:pPr>
      <w:r w:rsidRPr="003F6B95">
        <w:rPr>
          <w:rFonts w:cs="Arial"/>
          <w:sz w:val="26"/>
          <w:szCs w:val="26"/>
          <w:lang w:val="es-ES"/>
        </w:rPr>
        <w:t>Ahora, la</w:t>
      </w:r>
      <w:r w:rsidR="008F33BF" w:rsidRPr="003F6B95">
        <w:rPr>
          <w:rFonts w:cs="Arial"/>
          <w:sz w:val="26"/>
          <w:szCs w:val="26"/>
          <w:lang w:val="es-ES"/>
        </w:rPr>
        <w:t>s</w:t>
      </w:r>
      <w:r w:rsidRPr="003F6B95">
        <w:rPr>
          <w:rFonts w:cs="Arial"/>
          <w:sz w:val="26"/>
          <w:szCs w:val="26"/>
          <w:lang w:val="es-ES"/>
        </w:rPr>
        <w:t xml:space="preserve"> quejosa</w:t>
      </w:r>
      <w:r w:rsidR="008F33BF" w:rsidRPr="003F6B95">
        <w:rPr>
          <w:rFonts w:cs="Arial"/>
          <w:sz w:val="26"/>
          <w:szCs w:val="26"/>
          <w:lang w:val="es-ES"/>
        </w:rPr>
        <w:t>s</w:t>
      </w:r>
      <w:r w:rsidRPr="003F6B95">
        <w:rPr>
          <w:rFonts w:cs="Arial"/>
          <w:sz w:val="26"/>
          <w:szCs w:val="26"/>
          <w:lang w:val="es-ES"/>
        </w:rPr>
        <w:t xml:space="preserve"> </w:t>
      </w:r>
      <w:r w:rsidR="004D1FD9" w:rsidRPr="003F6B95">
        <w:rPr>
          <w:rFonts w:cs="Arial"/>
          <w:sz w:val="26"/>
          <w:szCs w:val="26"/>
          <w:lang w:val="es-ES"/>
        </w:rPr>
        <w:t xml:space="preserve">hoy </w:t>
      </w:r>
      <w:r w:rsidRPr="003F6B95">
        <w:rPr>
          <w:rFonts w:cs="Arial"/>
          <w:sz w:val="26"/>
          <w:szCs w:val="26"/>
          <w:lang w:val="es-ES"/>
        </w:rPr>
        <w:t>plantea</w:t>
      </w:r>
      <w:r w:rsidR="008F33BF" w:rsidRPr="003F6B95">
        <w:rPr>
          <w:rFonts w:cs="Arial"/>
          <w:sz w:val="26"/>
          <w:szCs w:val="26"/>
          <w:lang w:val="es-ES"/>
        </w:rPr>
        <w:t>n</w:t>
      </w:r>
      <w:r w:rsidRPr="003F6B95">
        <w:rPr>
          <w:rFonts w:cs="Arial"/>
          <w:sz w:val="26"/>
          <w:szCs w:val="26"/>
          <w:lang w:val="es-ES"/>
        </w:rPr>
        <w:t xml:space="preserve"> </w:t>
      </w:r>
      <w:r w:rsidR="00342534" w:rsidRPr="003F6B95">
        <w:rPr>
          <w:rFonts w:cs="Arial"/>
          <w:sz w:val="26"/>
          <w:szCs w:val="26"/>
          <w:lang w:val="es-ES"/>
        </w:rPr>
        <w:t xml:space="preserve">que </w:t>
      </w:r>
      <w:r w:rsidR="008F33BF" w:rsidRPr="003F6B95">
        <w:rPr>
          <w:rFonts w:cs="Arial"/>
          <w:sz w:val="26"/>
          <w:szCs w:val="26"/>
          <w:lang w:val="es-ES"/>
        </w:rPr>
        <w:t xml:space="preserve">en el caso </w:t>
      </w:r>
      <w:r w:rsidR="00342534" w:rsidRPr="003F6B95">
        <w:rPr>
          <w:rFonts w:cs="Arial"/>
          <w:sz w:val="26"/>
          <w:szCs w:val="26"/>
          <w:lang w:val="es-ES"/>
        </w:rPr>
        <w:t xml:space="preserve">existe un litisconsorcio pasivo necesario </w:t>
      </w:r>
      <w:r w:rsidR="00342534" w:rsidRPr="005229E1">
        <w:rPr>
          <w:rFonts w:cs="Arial"/>
          <w:sz w:val="26"/>
          <w:szCs w:val="26"/>
          <w:lang w:val="es-ES"/>
        </w:rPr>
        <w:t xml:space="preserve">entre </w:t>
      </w:r>
      <w:r w:rsidR="004468AB" w:rsidRPr="005229E1">
        <w:rPr>
          <w:rFonts w:cs="Arial"/>
          <w:sz w:val="26"/>
          <w:szCs w:val="26"/>
          <w:lang w:val="es-ES"/>
        </w:rPr>
        <w:t>Concentradora Fibra Danhos</w:t>
      </w:r>
      <w:r w:rsidR="008F33BF" w:rsidRPr="005229E1">
        <w:rPr>
          <w:rFonts w:cs="Arial"/>
          <w:sz w:val="26"/>
          <w:szCs w:val="26"/>
          <w:lang w:val="es-ES"/>
        </w:rPr>
        <w:t xml:space="preserve"> y la codemandada Reforma 222, </w:t>
      </w:r>
      <w:r w:rsidR="00B54B56" w:rsidRPr="005229E1">
        <w:rPr>
          <w:rFonts w:cs="Arial"/>
          <w:sz w:val="26"/>
          <w:szCs w:val="26"/>
          <w:lang w:val="es-ES"/>
        </w:rPr>
        <w:t>dado</w:t>
      </w:r>
      <w:r w:rsidR="007126D6" w:rsidRPr="005229E1">
        <w:rPr>
          <w:rFonts w:cs="Arial"/>
          <w:sz w:val="26"/>
          <w:szCs w:val="26"/>
          <w:lang w:val="es-ES"/>
        </w:rPr>
        <w:t xml:space="preserve"> que</w:t>
      </w:r>
      <w:r w:rsidR="00B54B56" w:rsidRPr="005229E1">
        <w:rPr>
          <w:rFonts w:cs="Arial"/>
          <w:sz w:val="26"/>
          <w:szCs w:val="26"/>
          <w:lang w:val="es-ES"/>
        </w:rPr>
        <w:t xml:space="preserve"> la primera está involucrada en la administración y operación del centro comercial “Reforma 222</w:t>
      </w:r>
      <w:r w:rsidR="00EA461E" w:rsidRPr="005229E1">
        <w:rPr>
          <w:rFonts w:cs="Arial"/>
          <w:sz w:val="26"/>
          <w:szCs w:val="26"/>
          <w:lang w:val="es-ES"/>
        </w:rPr>
        <w:t>”</w:t>
      </w:r>
      <w:r w:rsidR="00B54B56" w:rsidRPr="005229E1">
        <w:rPr>
          <w:rFonts w:cs="Arial"/>
          <w:sz w:val="26"/>
          <w:szCs w:val="26"/>
          <w:lang w:val="es-ES"/>
        </w:rPr>
        <w:t xml:space="preserve">. </w:t>
      </w:r>
      <w:r w:rsidR="004468AB" w:rsidRPr="005229E1">
        <w:rPr>
          <w:rFonts w:cs="Arial"/>
          <w:sz w:val="26"/>
          <w:szCs w:val="26"/>
          <w:lang w:val="es-ES"/>
        </w:rPr>
        <w:t>Es decir, para las quejosas</w:t>
      </w:r>
      <w:r w:rsidR="00CF39DB" w:rsidRPr="005229E1">
        <w:rPr>
          <w:rFonts w:cs="Arial"/>
          <w:sz w:val="26"/>
          <w:szCs w:val="26"/>
          <w:lang w:val="es-ES"/>
        </w:rPr>
        <w:t xml:space="preserve">, la sala responsable debió llamar a juicio a </w:t>
      </w:r>
      <w:r w:rsidR="004468AB" w:rsidRPr="005229E1">
        <w:rPr>
          <w:rFonts w:cs="Arial"/>
          <w:sz w:val="26"/>
          <w:szCs w:val="26"/>
          <w:lang w:val="es-ES"/>
        </w:rPr>
        <w:t xml:space="preserve">Concentradora Fibra Danhos, </w:t>
      </w:r>
      <w:r w:rsidR="00B8290F" w:rsidRPr="005229E1">
        <w:rPr>
          <w:rFonts w:cs="Arial"/>
          <w:sz w:val="26"/>
          <w:szCs w:val="26"/>
          <w:lang w:val="es-ES"/>
        </w:rPr>
        <w:t>ante</w:t>
      </w:r>
      <w:r w:rsidR="004468AB" w:rsidRPr="005229E1">
        <w:rPr>
          <w:rFonts w:cs="Arial"/>
          <w:sz w:val="26"/>
          <w:szCs w:val="26"/>
          <w:lang w:val="es-ES"/>
        </w:rPr>
        <w:t xml:space="preserve"> su </w:t>
      </w:r>
      <w:r w:rsidR="00AA0D9D" w:rsidRPr="005229E1">
        <w:rPr>
          <w:rFonts w:cs="Arial"/>
          <w:sz w:val="26"/>
          <w:szCs w:val="26"/>
          <w:lang w:val="es-ES"/>
        </w:rPr>
        <w:t xml:space="preserve">alegada </w:t>
      </w:r>
      <w:r w:rsidR="00DD2AA2" w:rsidRPr="005229E1">
        <w:rPr>
          <w:rFonts w:cs="Arial"/>
          <w:sz w:val="26"/>
          <w:szCs w:val="26"/>
          <w:lang w:val="es-ES"/>
        </w:rPr>
        <w:t xml:space="preserve">relación </w:t>
      </w:r>
      <w:r w:rsidR="00976E70" w:rsidRPr="005229E1">
        <w:rPr>
          <w:rFonts w:cs="Arial"/>
          <w:sz w:val="26"/>
          <w:szCs w:val="26"/>
          <w:lang w:val="es-ES"/>
        </w:rPr>
        <w:t xml:space="preserve">con </w:t>
      </w:r>
      <w:r w:rsidR="00B8290F" w:rsidRPr="005229E1">
        <w:rPr>
          <w:rFonts w:cs="Arial"/>
          <w:sz w:val="26"/>
          <w:szCs w:val="26"/>
          <w:lang w:val="es-ES"/>
        </w:rPr>
        <w:t xml:space="preserve">los hechos ilícitos </w:t>
      </w:r>
      <w:r w:rsidR="00AA0D9D" w:rsidRPr="005229E1">
        <w:rPr>
          <w:rFonts w:cs="Arial"/>
          <w:sz w:val="26"/>
          <w:szCs w:val="26"/>
          <w:lang w:val="es-ES"/>
        </w:rPr>
        <w:t>atribuidos</w:t>
      </w:r>
      <w:r w:rsidR="00574C84" w:rsidRPr="005229E1">
        <w:rPr>
          <w:rFonts w:cs="Arial"/>
          <w:sz w:val="26"/>
          <w:szCs w:val="26"/>
          <w:lang w:val="es-ES"/>
        </w:rPr>
        <w:t xml:space="preserve"> a</w:t>
      </w:r>
      <w:r w:rsidR="00B8290F" w:rsidRPr="005229E1">
        <w:rPr>
          <w:rFonts w:cs="Arial"/>
          <w:sz w:val="26"/>
          <w:szCs w:val="26"/>
          <w:lang w:val="es-ES"/>
        </w:rPr>
        <w:t xml:space="preserve"> Reforma 222</w:t>
      </w:r>
      <w:r w:rsidR="006B0A12" w:rsidRPr="005229E1">
        <w:rPr>
          <w:rFonts w:cs="Arial"/>
          <w:sz w:val="26"/>
          <w:szCs w:val="26"/>
          <w:lang w:val="es-ES"/>
        </w:rPr>
        <w:t xml:space="preserve">, a pesar </w:t>
      </w:r>
      <w:r w:rsidR="006B0A12">
        <w:rPr>
          <w:rFonts w:cs="Arial"/>
          <w:color w:val="000000" w:themeColor="text1"/>
          <w:sz w:val="26"/>
          <w:szCs w:val="26"/>
          <w:lang w:val="es-ES"/>
        </w:rPr>
        <w:t>de que no se hubiera señalado como demanda</w:t>
      </w:r>
      <w:r w:rsidR="00102B30">
        <w:rPr>
          <w:rFonts w:cs="Arial"/>
          <w:color w:val="000000" w:themeColor="text1"/>
          <w:sz w:val="26"/>
          <w:szCs w:val="26"/>
          <w:lang w:val="es-ES"/>
        </w:rPr>
        <w:t>da</w:t>
      </w:r>
      <w:r w:rsidR="006B0A12">
        <w:rPr>
          <w:rFonts w:cs="Arial"/>
          <w:color w:val="000000" w:themeColor="text1"/>
          <w:sz w:val="26"/>
          <w:szCs w:val="26"/>
          <w:lang w:val="es-ES"/>
        </w:rPr>
        <w:t xml:space="preserve"> en el escrito inicial. </w:t>
      </w:r>
    </w:p>
    <w:p w14:paraId="2A4E1310" w14:textId="77777777" w:rsidR="00DE3E7E" w:rsidRPr="003F6B95" w:rsidRDefault="00DE3E7E" w:rsidP="00C81141">
      <w:pPr>
        <w:pStyle w:val="corte4fondo"/>
        <w:tabs>
          <w:tab w:val="left" w:pos="0"/>
        </w:tabs>
        <w:ind w:right="51" w:firstLine="0"/>
        <w:rPr>
          <w:rFonts w:cs="Arial"/>
          <w:color w:val="000000" w:themeColor="text1"/>
          <w:sz w:val="26"/>
          <w:szCs w:val="26"/>
        </w:rPr>
      </w:pPr>
    </w:p>
    <w:p w14:paraId="3978B961" w14:textId="038A1A93" w:rsidR="00A634C8" w:rsidRDefault="00D5655F" w:rsidP="1A9D0C58">
      <w:pPr>
        <w:pStyle w:val="corte4fondo"/>
        <w:numPr>
          <w:ilvl w:val="0"/>
          <w:numId w:val="2"/>
        </w:numPr>
        <w:ind w:left="0" w:right="51" w:hanging="426"/>
        <w:rPr>
          <w:rFonts w:cs="Arial"/>
          <w:color w:val="000000" w:themeColor="text1"/>
          <w:sz w:val="26"/>
          <w:szCs w:val="26"/>
          <w:lang w:val="es-ES"/>
        </w:rPr>
      </w:pPr>
      <w:r w:rsidRPr="003F6B95">
        <w:rPr>
          <w:rFonts w:cs="Arial"/>
          <w:color w:val="000000" w:themeColor="text1"/>
          <w:sz w:val="26"/>
          <w:szCs w:val="26"/>
          <w:lang w:val="es-ES"/>
        </w:rPr>
        <w:t xml:space="preserve">Para esta Primera Sala, los planteamientos de las quejosas son infundados. </w:t>
      </w:r>
      <w:r w:rsidR="00EA461E" w:rsidRPr="003F6B95">
        <w:rPr>
          <w:rFonts w:cs="Arial"/>
          <w:color w:val="000000" w:themeColor="text1"/>
          <w:sz w:val="26"/>
          <w:szCs w:val="26"/>
          <w:lang w:val="es-ES"/>
        </w:rPr>
        <w:t xml:space="preserve">Como recién precisamos, </w:t>
      </w:r>
      <w:r w:rsidR="00414C54" w:rsidRPr="003F6B95">
        <w:rPr>
          <w:rFonts w:cs="Arial"/>
          <w:color w:val="000000" w:themeColor="text1"/>
          <w:sz w:val="26"/>
          <w:szCs w:val="26"/>
          <w:lang w:val="es-ES"/>
        </w:rPr>
        <w:t xml:space="preserve">el posible </w:t>
      </w:r>
      <w:r w:rsidR="001F01B8" w:rsidRPr="003F6B95">
        <w:rPr>
          <w:rFonts w:cs="Arial"/>
          <w:color w:val="000000" w:themeColor="text1"/>
          <w:sz w:val="26"/>
          <w:szCs w:val="26"/>
          <w:lang w:val="es-ES"/>
        </w:rPr>
        <w:t>reclamo</w:t>
      </w:r>
      <w:r w:rsidR="00414C54" w:rsidRPr="003F6B95">
        <w:rPr>
          <w:rFonts w:cs="Arial"/>
          <w:color w:val="000000" w:themeColor="text1"/>
          <w:sz w:val="26"/>
          <w:szCs w:val="26"/>
          <w:lang w:val="es-ES"/>
        </w:rPr>
        <w:t xml:space="preserve"> en contra de</w:t>
      </w:r>
      <w:r w:rsidR="00016FB5" w:rsidRPr="003F6B95">
        <w:rPr>
          <w:rFonts w:cs="Arial"/>
          <w:color w:val="000000" w:themeColor="text1"/>
          <w:sz w:val="26"/>
          <w:szCs w:val="26"/>
          <w:lang w:val="es-ES"/>
        </w:rPr>
        <w:t xml:space="preserve"> </w:t>
      </w:r>
      <w:r w:rsidR="00CF39DB" w:rsidRPr="003F6B95">
        <w:rPr>
          <w:rFonts w:cs="Arial"/>
          <w:color w:val="000000" w:themeColor="text1"/>
          <w:sz w:val="26"/>
          <w:szCs w:val="26"/>
          <w:lang w:val="es-ES"/>
        </w:rPr>
        <w:t>la responsable indirecta</w:t>
      </w:r>
      <w:r w:rsidR="00414C54" w:rsidRPr="003F6B95">
        <w:rPr>
          <w:rFonts w:cs="Arial"/>
          <w:color w:val="000000" w:themeColor="text1"/>
          <w:sz w:val="26"/>
          <w:szCs w:val="26"/>
          <w:lang w:val="es-ES"/>
        </w:rPr>
        <w:t xml:space="preserve"> del hecho ilícito</w:t>
      </w:r>
      <w:r w:rsidR="00016FB5" w:rsidRPr="003F6B95">
        <w:rPr>
          <w:rFonts w:cs="Arial"/>
          <w:color w:val="000000" w:themeColor="text1"/>
          <w:sz w:val="26"/>
          <w:szCs w:val="26"/>
          <w:lang w:val="es-ES"/>
        </w:rPr>
        <w:t xml:space="preserve"> </w:t>
      </w:r>
      <w:r w:rsidR="00414C54" w:rsidRPr="003F6B95">
        <w:rPr>
          <w:rFonts w:cs="Arial"/>
          <w:color w:val="000000" w:themeColor="text1"/>
          <w:sz w:val="26"/>
          <w:szCs w:val="26"/>
          <w:lang w:val="es-ES"/>
        </w:rPr>
        <w:t>constituye una oportunidad para</w:t>
      </w:r>
      <w:r w:rsidR="002A34F0" w:rsidRPr="003F6B95">
        <w:rPr>
          <w:rFonts w:cs="Arial"/>
          <w:color w:val="000000" w:themeColor="text1"/>
          <w:sz w:val="26"/>
          <w:szCs w:val="26"/>
          <w:lang w:val="es-ES"/>
        </w:rPr>
        <w:t xml:space="preserve"> las presuntas víctimas </w:t>
      </w:r>
      <w:r w:rsidR="000D1E4E" w:rsidRPr="003F6B95">
        <w:rPr>
          <w:rFonts w:cs="Arial"/>
          <w:color w:val="000000" w:themeColor="text1"/>
          <w:sz w:val="26"/>
          <w:szCs w:val="26"/>
          <w:lang w:val="es-ES"/>
        </w:rPr>
        <w:t>de</w:t>
      </w:r>
      <w:r w:rsidR="002A34F0" w:rsidRPr="003F6B95">
        <w:rPr>
          <w:rFonts w:cs="Arial"/>
          <w:color w:val="000000" w:themeColor="text1"/>
          <w:sz w:val="26"/>
          <w:szCs w:val="26"/>
          <w:lang w:val="es-ES"/>
        </w:rPr>
        <w:t xml:space="preserve"> exigir el pago y lograr el cobro de </w:t>
      </w:r>
      <w:r w:rsidR="00EA1A6C" w:rsidRPr="003F6B95">
        <w:rPr>
          <w:rFonts w:cs="Arial"/>
          <w:color w:val="000000" w:themeColor="text1"/>
          <w:sz w:val="26"/>
          <w:szCs w:val="26"/>
          <w:lang w:val="es-ES"/>
        </w:rPr>
        <w:t>la</w:t>
      </w:r>
      <w:r w:rsidR="002A34F0" w:rsidRPr="003F6B95">
        <w:rPr>
          <w:rFonts w:cs="Arial"/>
          <w:color w:val="000000" w:themeColor="text1"/>
          <w:sz w:val="26"/>
          <w:szCs w:val="26"/>
          <w:lang w:val="es-ES"/>
        </w:rPr>
        <w:t xml:space="preserve"> justa indemnización a la que tienen derecho</w:t>
      </w:r>
      <w:r w:rsidR="001F01B8" w:rsidRPr="003F6B95">
        <w:rPr>
          <w:rFonts w:cs="Arial"/>
          <w:color w:val="000000" w:themeColor="text1"/>
          <w:sz w:val="26"/>
          <w:szCs w:val="26"/>
          <w:lang w:val="es-ES"/>
        </w:rPr>
        <w:t>, mas no implica que necesariamente deba realizarse tal reclamo en todo juicio</w:t>
      </w:r>
      <w:r w:rsidR="00C4745F" w:rsidRPr="003F6B95">
        <w:rPr>
          <w:rFonts w:cs="Arial"/>
          <w:color w:val="000000" w:themeColor="text1"/>
          <w:sz w:val="26"/>
          <w:szCs w:val="26"/>
          <w:lang w:val="es-ES"/>
        </w:rPr>
        <w:t>.</w:t>
      </w:r>
      <w:r w:rsidR="00CF39DB" w:rsidRPr="003F6B95">
        <w:rPr>
          <w:rFonts w:cs="Arial"/>
          <w:color w:val="000000" w:themeColor="text1"/>
          <w:sz w:val="26"/>
          <w:szCs w:val="26"/>
          <w:lang w:val="es-ES"/>
        </w:rPr>
        <w:t xml:space="preserve"> </w:t>
      </w:r>
      <w:r w:rsidRPr="003F6B95">
        <w:rPr>
          <w:rFonts w:cs="Arial"/>
          <w:color w:val="000000" w:themeColor="text1"/>
          <w:sz w:val="26"/>
          <w:szCs w:val="26"/>
          <w:lang w:val="es-ES"/>
        </w:rPr>
        <w:t xml:space="preserve">Por ello, </w:t>
      </w:r>
      <w:r w:rsidR="005E3EC6" w:rsidRPr="005229E1">
        <w:rPr>
          <w:rFonts w:cs="Arial"/>
          <w:sz w:val="26"/>
          <w:szCs w:val="26"/>
          <w:lang w:val="es-ES"/>
        </w:rPr>
        <w:t>si bien la</w:t>
      </w:r>
      <w:r w:rsidR="00B2635B" w:rsidRPr="005229E1">
        <w:rPr>
          <w:rFonts w:cs="Arial"/>
          <w:sz w:val="26"/>
          <w:szCs w:val="26"/>
          <w:lang w:val="es-ES"/>
        </w:rPr>
        <w:t xml:space="preserve"> parte</w:t>
      </w:r>
      <w:r w:rsidR="005E3EC6" w:rsidRPr="005229E1">
        <w:rPr>
          <w:rFonts w:cs="Arial"/>
          <w:sz w:val="26"/>
          <w:szCs w:val="26"/>
          <w:lang w:val="es-ES"/>
        </w:rPr>
        <w:t xml:space="preserve"> quejosa pudo haber </w:t>
      </w:r>
      <w:r w:rsidR="00D463A5" w:rsidRPr="005229E1">
        <w:rPr>
          <w:rFonts w:cs="Arial"/>
          <w:sz w:val="26"/>
          <w:szCs w:val="26"/>
          <w:lang w:val="es-ES"/>
        </w:rPr>
        <w:t xml:space="preserve">identificado </w:t>
      </w:r>
      <w:r w:rsidR="005E3EC6" w:rsidRPr="005229E1">
        <w:rPr>
          <w:rFonts w:cs="Arial"/>
          <w:sz w:val="26"/>
          <w:szCs w:val="26"/>
          <w:lang w:val="es-ES"/>
        </w:rPr>
        <w:t xml:space="preserve">como parte demandada a </w:t>
      </w:r>
      <w:r w:rsidR="00D83822" w:rsidRPr="005229E1">
        <w:rPr>
          <w:rFonts w:cs="Arial"/>
          <w:sz w:val="26"/>
          <w:szCs w:val="26"/>
          <w:lang w:val="es-ES"/>
        </w:rPr>
        <w:t>Concentradora Fibra Danhos</w:t>
      </w:r>
      <w:r w:rsidR="005E3EC6" w:rsidRPr="005229E1">
        <w:rPr>
          <w:rFonts w:cs="Arial"/>
          <w:sz w:val="26"/>
          <w:szCs w:val="26"/>
          <w:lang w:val="es-ES"/>
        </w:rPr>
        <w:t xml:space="preserve"> </w:t>
      </w:r>
      <w:r w:rsidR="00065AFE" w:rsidRPr="005229E1">
        <w:rPr>
          <w:rFonts w:cs="Arial"/>
          <w:sz w:val="26"/>
          <w:szCs w:val="26"/>
          <w:lang w:val="es-ES"/>
        </w:rPr>
        <w:t>(y</w:t>
      </w:r>
      <w:r w:rsidR="005E3EC6" w:rsidRPr="005229E1">
        <w:rPr>
          <w:rFonts w:cs="Arial"/>
          <w:sz w:val="26"/>
          <w:szCs w:val="26"/>
          <w:lang w:val="es-ES"/>
        </w:rPr>
        <w:t xml:space="preserve"> </w:t>
      </w:r>
      <w:r w:rsidR="0097156F" w:rsidRPr="005229E1">
        <w:rPr>
          <w:rFonts w:cs="Arial"/>
          <w:sz w:val="26"/>
          <w:szCs w:val="26"/>
          <w:lang w:val="es-ES"/>
        </w:rPr>
        <w:t xml:space="preserve">alegar </w:t>
      </w:r>
      <w:r w:rsidR="005E3EC6" w:rsidRPr="005229E1">
        <w:rPr>
          <w:rFonts w:cs="Arial"/>
          <w:sz w:val="26"/>
          <w:szCs w:val="26"/>
          <w:lang w:val="es-ES"/>
        </w:rPr>
        <w:t xml:space="preserve">que </w:t>
      </w:r>
      <w:r w:rsidR="00956777" w:rsidRPr="005229E1">
        <w:rPr>
          <w:rFonts w:cs="Arial"/>
          <w:sz w:val="26"/>
          <w:szCs w:val="26"/>
          <w:lang w:val="es-ES"/>
        </w:rPr>
        <w:t xml:space="preserve">ésta tenía </w:t>
      </w:r>
      <w:r w:rsidR="005E3EC6" w:rsidRPr="005229E1">
        <w:rPr>
          <w:rFonts w:cs="Arial"/>
          <w:sz w:val="26"/>
          <w:szCs w:val="26"/>
          <w:lang w:val="es-ES"/>
        </w:rPr>
        <w:t xml:space="preserve">una </w:t>
      </w:r>
      <w:r w:rsidR="00956777" w:rsidRPr="005229E1">
        <w:rPr>
          <w:rFonts w:cs="Arial"/>
          <w:sz w:val="26"/>
          <w:szCs w:val="26"/>
          <w:lang w:val="es-ES"/>
        </w:rPr>
        <w:t>posición</w:t>
      </w:r>
      <w:r w:rsidR="005E3EC6" w:rsidRPr="005229E1">
        <w:rPr>
          <w:rFonts w:cs="Arial"/>
          <w:sz w:val="26"/>
          <w:szCs w:val="26"/>
          <w:lang w:val="es-ES"/>
        </w:rPr>
        <w:t xml:space="preserve"> de</w:t>
      </w:r>
      <w:r w:rsidR="00DE072D" w:rsidRPr="005229E1">
        <w:rPr>
          <w:rFonts w:cs="Arial"/>
          <w:sz w:val="26"/>
          <w:szCs w:val="26"/>
          <w:lang w:val="es-ES"/>
        </w:rPr>
        <w:t xml:space="preserve"> autoridad,</w:t>
      </w:r>
      <w:r w:rsidR="005E3EC6" w:rsidRPr="005229E1">
        <w:rPr>
          <w:rFonts w:cs="Arial"/>
          <w:sz w:val="26"/>
          <w:szCs w:val="26"/>
          <w:lang w:val="es-ES"/>
        </w:rPr>
        <w:t xml:space="preserve"> vigilancia o control </w:t>
      </w:r>
      <w:r w:rsidR="00956777" w:rsidRPr="005229E1">
        <w:rPr>
          <w:rFonts w:cs="Arial"/>
          <w:sz w:val="26"/>
          <w:szCs w:val="26"/>
          <w:lang w:val="es-ES"/>
        </w:rPr>
        <w:t>frente a Reforma 222</w:t>
      </w:r>
      <w:r w:rsidR="00065AFE" w:rsidRPr="005229E1">
        <w:rPr>
          <w:rFonts w:cs="Arial"/>
          <w:sz w:val="26"/>
          <w:szCs w:val="26"/>
          <w:lang w:val="es-ES"/>
        </w:rPr>
        <w:t>)</w:t>
      </w:r>
      <w:r w:rsidR="00956777" w:rsidRPr="005229E1">
        <w:rPr>
          <w:rFonts w:cs="Arial"/>
          <w:sz w:val="26"/>
          <w:szCs w:val="26"/>
          <w:lang w:val="es-ES"/>
        </w:rPr>
        <w:t xml:space="preserve">, </w:t>
      </w:r>
      <w:r w:rsidR="00D83822" w:rsidRPr="005229E1">
        <w:rPr>
          <w:rFonts w:cs="Arial"/>
          <w:sz w:val="26"/>
          <w:szCs w:val="26"/>
          <w:lang w:val="es-ES"/>
        </w:rPr>
        <w:t>tal</w:t>
      </w:r>
      <w:r w:rsidR="006D68DD" w:rsidRPr="005229E1">
        <w:rPr>
          <w:rFonts w:cs="Arial"/>
          <w:sz w:val="26"/>
          <w:szCs w:val="26"/>
          <w:lang w:val="es-ES"/>
        </w:rPr>
        <w:t xml:space="preserve"> omisión </w:t>
      </w:r>
      <w:r w:rsidR="00D83822" w:rsidRPr="005229E1">
        <w:rPr>
          <w:rFonts w:cs="Arial"/>
          <w:sz w:val="26"/>
          <w:szCs w:val="26"/>
          <w:lang w:val="es-ES"/>
        </w:rPr>
        <w:t xml:space="preserve">no puede estimarse suficiente para </w:t>
      </w:r>
      <w:r w:rsidR="00475F2D" w:rsidRPr="005229E1">
        <w:rPr>
          <w:rFonts w:cs="Arial"/>
          <w:sz w:val="26"/>
          <w:szCs w:val="26"/>
          <w:lang w:val="es-ES"/>
        </w:rPr>
        <w:t>afirmar</w:t>
      </w:r>
      <w:r w:rsidR="00D83822" w:rsidRPr="005229E1">
        <w:rPr>
          <w:rFonts w:cs="Arial"/>
          <w:sz w:val="26"/>
          <w:szCs w:val="26"/>
          <w:lang w:val="es-ES"/>
        </w:rPr>
        <w:t xml:space="preserve"> que Concentradora Fibra Danhos </w:t>
      </w:r>
      <w:r w:rsidR="00DD5025" w:rsidRPr="005229E1">
        <w:rPr>
          <w:rFonts w:cs="Arial"/>
          <w:sz w:val="26"/>
          <w:szCs w:val="26"/>
          <w:lang w:val="es-ES"/>
        </w:rPr>
        <w:t>necesariam</w:t>
      </w:r>
      <w:r w:rsidR="00DD5025" w:rsidRPr="003F6B95">
        <w:rPr>
          <w:rFonts w:cs="Arial"/>
          <w:color w:val="000000" w:themeColor="text1"/>
          <w:sz w:val="26"/>
          <w:szCs w:val="26"/>
          <w:lang w:val="es-ES"/>
        </w:rPr>
        <w:t>ente d</w:t>
      </w:r>
      <w:r w:rsidR="00D83822" w:rsidRPr="003F6B95">
        <w:rPr>
          <w:rFonts w:cs="Arial"/>
          <w:color w:val="000000" w:themeColor="text1"/>
          <w:sz w:val="26"/>
          <w:szCs w:val="26"/>
          <w:lang w:val="es-ES"/>
        </w:rPr>
        <w:t xml:space="preserve">ebió ser llamada a juicio por </w:t>
      </w:r>
      <w:r w:rsidR="00D83822" w:rsidRPr="003F6B95">
        <w:rPr>
          <w:rFonts w:cs="Arial"/>
          <w:color w:val="000000" w:themeColor="text1"/>
          <w:sz w:val="26"/>
          <w:szCs w:val="26"/>
          <w:lang w:val="es-ES"/>
        </w:rPr>
        <w:lastRenderedPageBreak/>
        <w:t xml:space="preserve">la sala, </w:t>
      </w:r>
      <w:r w:rsidR="00065AFE" w:rsidRPr="003F6B95">
        <w:rPr>
          <w:rFonts w:cs="Arial"/>
          <w:color w:val="000000" w:themeColor="text1"/>
          <w:sz w:val="26"/>
          <w:szCs w:val="26"/>
          <w:lang w:val="es-ES"/>
        </w:rPr>
        <w:t xml:space="preserve">bajo </w:t>
      </w:r>
      <w:r w:rsidR="00E24F6F" w:rsidRPr="003F6B95">
        <w:rPr>
          <w:rFonts w:cs="Arial"/>
          <w:color w:val="000000" w:themeColor="text1"/>
          <w:sz w:val="26"/>
          <w:szCs w:val="26"/>
          <w:lang w:val="es-ES"/>
        </w:rPr>
        <w:t xml:space="preserve">la justificación </w:t>
      </w:r>
      <w:r w:rsidR="00065AFE" w:rsidRPr="003F6B95">
        <w:rPr>
          <w:rFonts w:cs="Arial"/>
          <w:color w:val="000000" w:themeColor="text1"/>
          <w:sz w:val="26"/>
          <w:szCs w:val="26"/>
          <w:lang w:val="es-ES"/>
        </w:rPr>
        <w:t>de que</w:t>
      </w:r>
      <w:r w:rsidR="00D83822" w:rsidRPr="003F6B95">
        <w:rPr>
          <w:rFonts w:cs="Arial"/>
          <w:color w:val="000000" w:themeColor="text1"/>
          <w:sz w:val="26"/>
          <w:szCs w:val="26"/>
          <w:lang w:val="es-ES"/>
        </w:rPr>
        <w:t xml:space="preserve"> el dictado de la sentencia </w:t>
      </w:r>
      <w:r w:rsidR="00DE3E7E" w:rsidRPr="003F6B95">
        <w:rPr>
          <w:rFonts w:cs="Arial"/>
          <w:color w:val="000000" w:themeColor="text1"/>
          <w:sz w:val="26"/>
          <w:szCs w:val="26"/>
          <w:lang w:val="es-ES"/>
        </w:rPr>
        <w:t xml:space="preserve">sin su participación le traería </w:t>
      </w:r>
      <w:r w:rsidR="00065AFE" w:rsidRPr="003F6B95">
        <w:rPr>
          <w:rFonts w:cs="Arial"/>
          <w:color w:val="000000" w:themeColor="text1"/>
          <w:sz w:val="26"/>
          <w:szCs w:val="26"/>
          <w:lang w:val="es-ES"/>
        </w:rPr>
        <w:t xml:space="preserve">un </w:t>
      </w:r>
      <w:r w:rsidR="00DE3E7E" w:rsidRPr="003F6B95">
        <w:rPr>
          <w:rFonts w:cs="Arial"/>
          <w:color w:val="000000" w:themeColor="text1"/>
          <w:sz w:val="26"/>
          <w:szCs w:val="26"/>
          <w:lang w:val="es-ES"/>
        </w:rPr>
        <w:t>perjuicio</w:t>
      </w:r>
      <w:r w:rsidR="00E24F6F" w:rsidRPr="003F6B95">
        <w:rPr>
          <w:rFonts w:cs="Arial"/>
          <w:color w:val="000000" w:themeColor="text1"/>
          <w:sz w:val="26"/>
          <w:szCs w:val="26"/>
          <w:lang w:val="es-ES"/>
        </w:rPr>
        <w:t xml:space="preserve"> sin posibilidad de defensa</w:t>
      </w:r>
      <w:r w:rsidR="0090468D">
        <w:rPr>
          <w:rFonts w:cs="Arial"/>
          <w:color w:val="000000" w:themeColor="text1"/>
          <w:sz w:val="26"/>
          <w:szCs w:val="26"/>
          <w:lang w:val="es-ES"/>
        </w:rPr>
        <w:t>.</w:t>
      </w:r>
    </w:p>
    <w:p w14:paraId="63E7EA59" w14:textId="77777777" w:rsidR="00A64364" w:rsidRPr="003F6B95" w:rsidRDefault="00A64364" w:rsidP="00C81141">
      <w:pPr>
        <w:pStyle w:val="corte4fondo"/>
        <w:tabs>
          <w:tab w:val="left" w:pos="0"/>
        </w:tabs>
        <w:ind w:right="51" w:firstLine="0"/>
        <w:rPr>
          <w:rFonts w:cs="Arial"/>
          <w:color w:val="000000" w:themeColor="text1"/>
          <w:sz w:val="26"/>
          <w:szCs w:val="26"/>
        </w:rPr>
      </w:pPr>
    </w:p>
    <w:p w14:paraId="7D5F28B8" w14:textId="37449892" w:rsidR="0040072B" w:rsidRPr="00A00F9A" w:rsidRDefault="003A3CC0" w:rsidP="1A9D0C58">
      <w:pPr>
        <w:pStyle w:val="corte4fondo"/>
        <w:numPr>
          <w:ilvl w:val="0"/>
          <w:numId w:val="2"/>
        </w:numPr>
        <w:ind w:left="0" w:right="51" w:hanging="426"/>
        <w:rPr>
          <w:rFonts w:cs="Arial"/>
          <w:sz w:val="26"/>
          <w:szCs w:val="26"/>
          <w:lang w:val="es-ES"/>
        </w:rPr>
      </w:pPr>
      <w:r w:rsidRPr="003F6B95">
        <w:rPr>
          <w:rFonts w:cs="Arial"/>
          <w:color w:val="000000" w:themeColor="text1"/>
          <w:sz w:val="26"/>
          <w:szCs w:val="26"/>
          <w:lang w:val="es-ES"/>
        </w:rPr>
        <w:t xml:space="preserve">Por lo anterior, </w:t>
      </w:r>
      <w:r w:rsidR="008113BA" w:rsidRPr="003F6B95">
        <w:rPr>
          <w:rFonts w:cs="Arial"/>
          <w:color w:val="000000" w:themeColor="text1"/>
          <w:sz w:val="26"/>
          <w:szCs w:val="26"/>
          <w:lang w:val="es-ES"/>
        </w:rPr>
        <w:t>el argumento de las quejosas</w:t>
      </w:r>
      <w:r w:rsidR="00714FD3" w:rsidRPr="003F6B95">
        <w:rPr>
          <w:rFonts w:cs="Arial"/>
          <w:color w:val="000000" w:themeColor="text1"/>
          <w:sz w:val="26"/>
          <w:szCs w:val="26"/>
          <w:lang w:val="es-ES"/>
        </w:rPr>
        <w:t xml:space="preserve"> es infundado</w:t>
      </w:r>
      <w:r w:rsidR="005B6D32" w:rsidRPr="003F6B95">
        <w:rPr>
          <w:rFonts w:cs="Arial"/>
          <w:color w:val="000000" w:themeColor="text1"/>
          <w:sz w:val="26"/>
          <w:szCs w:val="26"/>
          <w:lang w:val="es-ES"/>
        </w:rPr>
        <w:t xml:space="preserve">. Dado </w:t>
      </w:r>
      <w:r w:rsidR="008113BA" w:rsidRPr="003F6B95">
        <w:rPr>
          <w:rFonts w:cs="Arial"/>
          <w:color w:val="000000" w:themeColor="text1"/>
          <w:sz w:val="26"/>
          <w:szCs w:val="26"/>
          <w:lang w:val="es-ES"/>
        </w:rPr>
        <w:t xml:space="preserve">que en el caso no se actualiza un litisconsorcio </w:t>
      </w:r>
      <w:r w:rsidR="005124A6" w:rsidRPr="003F6B95">
        <w:rPr>
          <w:rFonts w:cs="Arial"/>
          <w:color w:val="000000" w:themeColor="text1"/>
          <w:sz w:val="26"/>
          <w:szCs w:val="26"/>
          <w:lang w:val="es-ES"/>
        </w:rPr>
        <w:t xml:space="preserve">pasivo necesario </w:t>
      </w:r>
      <w:r w:rsidR="005124A6" w:rsidRPr="005229E1">
        <w:rPr>
          <w:rFonts w:cs="Arial"/>
          <w:sz w:val="26"/>
          <w:szCs w:val="26"/>
          <w:lang w:val="es-ES"/>
        </w:rPr>
        <w:t xml:space="preserve">entre Concentradora Fibra Danhos y </w:t>
      </w:r>
      <w:r w:rsidR="00C23C7D" w:rsidRPr="005229E1">
        <w:rPr>
          <w:rFonts w:cs="Arial"/>
          <w:sz w:val="26"/>
          <w:szCs w:val="26"/>
          <w:lang w:val="es-ES"/>
        </w:rPr>
        <w:t>Reforma 222</w:t>
      </w:r>
      <w:r w:rsidR="00FA33FE" w:rsidRPr="005229E1">
        <w:rPr>
          <w:rFonts w:cs="Arial"/>
          <w:sz w:val="26"/>
          <w:szCs w:val="26"/>
          <w:lang w:val="es-ES"/>
        </w:rPr>
        <w:t xml:space="preserve"> u </w:t>
      </w:r>
      <w:r w:rsidR="00FA33FE" w:rsidRPr="003F6B95">
        <w:rPr>
          <w:rFonts w:cs="Arial"/>
          <w:color w:val="000000" w:themeColor="text1"/>
          <w:sz w:val="26"/>
          <w:szCs w:val="26"/>
          <w:lang w:val="es-ES"/>
        </w:rPr>
        <w:t>otra codemandada</w:t>
      </w:r>
      <w:r w:rsidR="005124A6" w:rsidRPr="003F6B95">
        <w:rPr>
          <w:rFonts w:cs="Arial"/>
          <w:color w:val="000000" w:themeColor="text1"/>
          <w:sz w:val="26"/>
          <w:szCs w:val="26"/>
          <w:lang w:val="es-ES"/>
        </w:rPr>
        <w:t>, la sala responsable no incurrió en ninguna omisión</w:t>
      </w:r>
      <w:r w:rsidR="005B6D32" w:rsidRPr="003F6B95">
        <w:rPr>
          <w:rFonts w:cs="Arial"/>
          <w:color w:val="000000" w:themeColor="text1"/>
          <w:sz w:val="26"/>
          <w:szCs w:val="26"/>
          <w:lang w:val="es-ES"/>
        </w:rPr>
        <w:t xml:space="preserve"> al dictar la sentencia de apelación</w:t>
      </w:r>
      <w:r w:rsidR="00BE5383" w:rsidRPr="003F6B95">
        <w:rPr>
          <w:rFonts w:cs="Arial"/>
          <w:color w:val="000000" w:themeColor="text1"/>
          <w:sz w:val="26"/>
          <w:szCs w:val="26"/>
          <w:lang w:val="es-ES"/>
        </w:rPr>
        <w:t xml:space="preserve"> sin llamar a juicio a dicha persona moral</w:t>
      </w:r>
      <w:r w:rsidR="005124A6" w:rsidRPr="003F6B95">
        <w:rPr>
          <w:rFonts w:cs="Arial"/>
          <w:color w:val="000000" w:themeColor="text1"/>
          <w:sz w:val="26"/>
          <w:szCs w:val="26"/>
          <w:lang w:val="es-ES"/>
        </w:rPr>
        <w:t xml:space="preserve">. </w:t>
      </w:r>
    </w:p>
    <w:p w14:paraId="511082C8" w14:textId="77777777" w:rsidR="007B244C" w:rsidRPr="003F6B95" w:rsidRDefault="007B244C" w:rsidP="00A00F9A">
      <w:pPr>
        <w:pStyle w:val="corte4fondo"/>
        <w:ind w:right="51" w:firstLine="0"/>
        <w:rPr>
          <w:rFonts w:cs="Arial"/>
          <w:sz w:val="26"/>
          <w:szCs w:val="26"/>
          <w:lang w:val="es-ES"/>
        </w:rPr>
      </w:pPr>
    </w:p>
    <w:p w14:paraId="6E6F5A34" w14:textId="4685A1BC" w:rsidR="00AB0F9C" w:rsidRPr="00AB0F9C" w:rsidRDefault="007B244C" w:rsidP="00AB0F9C">
      <w:pPr>
        <w:pStyle w:val="corte4fondo"/>
        <w:numPr>
          <w:ilvl w:val="0"/>
          <w:numId w:val="2"/>
        </w:numPr>
        <w:ind w:left="0" w:right="51" w:hanging="426"/>
        <w:rPr>
          <w:rFonts w:cs="Arial"/>
          <w:color w:val="000000" w:themeColor="text1"/>
          <w:sz w:val="26"/>
          <w:szCs w:val="26"/>
          <w:lang w:val="es-ES"/>
        </w:rPr>
      </w:pPr>
      <w:r>
        <w:rPr>
          <w:rFonts w:cs="Arial"/>
          <w:color w:val="000000" w:themeColor="text1"/>
          <w:sz w:val="26"/>
          <w:szCs w:val="26"/>
          <w:lang w:val="es-ES"/>
        </w:rPr>
        <w:t xml:space="preserve">Ahora, </w:t>
      </w:r>
      <w:r w:rsidR="00290DFF">
        <w:rPr>
          <w:rFonts w:cs="Arial"/>
          <w:color w:val="000000" w:themeColor="text1"/>
          <w:sz w:val="26"/>
          <w:szCs w:val="26"/>
          <w:lang w:val="es-ES"/>
        </w:rPr>
        <w:t xml:space="preserve">esta </w:t>
      </w:r>
      <w:r w:rsidR="001319FE">
        <w:rPr>
          <w:rFonts w:cs="Arial"/>
          <w:color w:val="000000" w:themeColor="text1"/>
          <w:sz w:val="26"/>
          <w:szCs w:val="26"/>
          <w:lang w:val="es-ES"/>
        </w:rPr>
        <w:t xml:space="preserve">Primera </w:t>
      </w:r>
      <w:r w:rsidR="00290DFF">
        <w:rPr>
          <w:rFonts w:cs="Arial"/>
          <w:color w:val="000000" w:themeColor="text1"/>
          <w:sz w:val="26"/>
          <w:szCs w:val="26"/>
          <w:lang w:val="es-ES"/>
        </w:rPr>
        <w:t>S</w:t>
      </w:r>
      <w:r w:rsidR="001319FE">
        <w:rPr>
          <w:rFonts w:cs="Arial"/>
          <w:color w:val="000000" w:themeColor="text1"/>
          <w:sz w:val="26"/>
          <w:szCs w:val="26"/>
          <w:lang w:val="es-ES"/>
        </w:rPr>
        <w:t>ala</w:t>
      </w:r>
      <w:r w:rsidR="00290DFF">
        <w:rPr>
          <w:rFonts w:cs="Arial"/>
          <w:color w:val="000000" w:themeColor="text1"/>
          <w:sz w:val="26"/>
          <w:szCs w:val="26"/>
          <w:lang w:val="es-ES"/>
        </w:rPr>
        <w:t xml:space="preserve"> no pasa</w:t>
      </w:r>
      <w:r>
        <w:rPr>
          <w:rFonts w:cs="Arial"/>
          <w:color w:val="000000" w:themeColor="text1"/>
          <w:sz w:val="26"/>
          <w:szCs w:val="26"/>
          <w:lang w:val="es-ES"/>
        </w:rPr>
        <w:t xml:space="preserve"> inadvertidas las inconsistencias que se desarrollaron en el juicio</w:t>
      </w:r>
      <w:r w:rsidR="00AF24F3">
        <w:rPr>
          <w:rFonts w:cs="Arial"/>
          <w:color w:val="000000" w:themeColor="text1"/>
          <w:sz w:val="26"/>
          <w:szCs w:val="26"/>
          <w:lang w:val="es-ES"/>
        </w:rPr>
        <w:t>,</w:t>
      </w:r>
      <w:r w:rsidR="009F2069">
        <w:rPr>
          <w:rFonts w:cs="Arial"/>
          <w:color w:val="000000" w:themeColor="text1"/>
          <w:sz w:val="26"/>
          <w:szCs w:val="26"/>
          <w:lang w:val="es-ES"/>
        </w:rPr>
        <w:t xml:space="preserve"> relacionadas</w:t>
      </w:r>
      <w:r w:rsidR="00AF24F3">
        <w:rPr>
          <w:rFonts w:cs="Arial"/>
          <w:color w:val="000000" w:themeColor="text1"/>
          <w:sz w:val="26"/>
          <w:szCs w:val="26"/>
          <w:lang w:val="es-ES"/>
        </w:rPr>
        <w:t xml:space="preserve"> con las violaciones procesales alegadas por la </w:t>
      </w:r>
      <w:r w:rsidR="00A254B7">
        <w:rPr>
          <w:rFonts w:cs="Arial"/>
          <w:color w:val="000000" w:themeColor="text1"/>
          <w:sz w:val="26"/>
          <w:szCs w:val="26"/>
          <w:lang w:val="es-ES"/>
        </w:rPr>
        <w:t xml:space="preserve">parte </w:t>
      </w:r>
      <w:r w:rsidR="00AF24F3">
        <w:rPr>
          <w:rFonts w:cs="Arial"/>
          <w:color w:val="000000" w:themeColor="text1"/>
          <w:sz w:val="26"/>
          <w:szCs w:val="26"/>
          <w:lang w:val="es-ES"/>
        </w:rPr>
        <w:t>quejosa</w:t>
      </w:r>
      <w:r>
        <w:rPr>
          <w:rFonts w:cs="Arial"/>
          <w:color w:val="000000" w:themeColor="text1"/>
          <w:sz w:val="26"/>
          <w:szCs w:val="26"/>
          <w:lang w:val="es-ES"/>
        </w:rPr>
        <w:t>. En la demanda inicial</w:t>
      </w:r>
      <w:r w:rsidR="00A55473">
        <w:rPr>
          <w:rFonts w:cs="Arial"/>
          <w:color w:val="000000" w:themeColor="text1"/>
          <w:sz w:val="26"/>
          <w:szCs w:val="26"/>
          <w:lang w:val="es-ES"/>
        </w:rPr>
        <w:t>, las actoras pretendieron</w:t>
      </w:r>
      <w:r>
        <w:rPr>
          <w:rFonts w:cs="Arial"/>
          <w:color w:val="000000" w:themeColor="text1"/>
          <w:sz w:val="26"/>
          <w:szCs w:val="26"/>
          <w:lang w:val="es-ES"/>
        </w:rPr>
        <w:t xml:space="preserve"> demandar a </w:t>
      </w:r>
      <w:r w:rsidR="003B3B86" w:rsidRPr="005229E1">
        <w:rPr>
          <w:rFonts w:cs="Arial"/>
          <w:sz w:val="26"/>
          <w:szCs w:val="26"/>
          <w:lang w:val="es-ES"/>
        </w:rPr>
        <w:t>“Grupo Danhos”</w:t>
      </w:r>
      <w:r w:rsidRPr="005229E1">
        <w:rPr>
          <w:rFonts w:cs="Arial"/>
          <w:sz w:val="26"/>
          <w:szCs w:val="26"/>
          <w:lang w:val="es-ES"/>
        </w:rPr>
        <w:t xml:space="preserve"> como la persona moral “dedicada al desarrollo, arrendamiento, operación y administración de centros comerciales”. La persona moral que contestó la demanda fue Danhos</w:t>
      </w:r>
      <w:r w:rsidR="00A55473" w:rsidRPr="005229E1">
        <w:rPr>
          <w:rFonts w:cs="Arial"/>
          <w:sz w:val="26"/>
          <w:szCs w:val="26"/>
          <w:lang w:val="es-ES"/>
        </w:rPr>
        <w:t>, l</w:t>
      </w:r>
      <w:r w:rsidRPr="005229E1">
        <w:rPr>
          <w:rFonts w:cs="Arial"/>
          <w:sz w:val="26"/>
          <w:szCs w:val="26"/>
          <w:lang w:val="es-ES"/>
        </w:rPr>
        <w:t xml:space="preserve">a cual sostuvo en su escrito de contestación que no era la persona moral </w:t>
      </w:r>
      <w:r w:rsidR="00AF24F3" w:rsidRPr="005229E1">
        <w:rPr>
          <w:rFonts w:cs="Arial"/>
          <w:sz w:val="26"/>
          <w:szCs w:val="26"/>
          <w:lang w:val="es-ES"/>
        </w:rPr>
        <w:t>“Grupo Danhos”</w:t>
      </w:r>
      <w:r w:rsidRPr="005229E1">
        <w:rPr>
          <w:rFonts w:cs="Arial"/>
          <w:sz w:val="26"/>
          <w:szCs w:val="26"/>
          <w:lang w:val="es-ES"/>
        </w:rPr>
        <w:t xml:space="preserve">, pero </w:t>
      </w:r>
      <w:r w:rsidR="00AB0F9C" w:rsidRPr="005229E1">
        <w:rPr>
          <w:rFonts w:cs="Arial"/>
          <w:sz w:val="26"/>
          <w:szCs w:val="26"/>
          <w:lang w:val="es-ES"/>
        </w:rPr>
        <w:t xml:space="preserve">fue </w:t>
      </w:r>
      <w:r w:rsidRPr="005229E1">
        <w:rPr>
          <w:rFonts w:cs="Arial"/>
          <w:sz w:val="26"/>
          <w:szCs w:val="26"/>
          <w:lang w:val="es-ES"/>
        </w:rPr>
        <w:t xml:space="preserve">con la </w:t>
      </w:r>
      <w:r w:rsidR="00A25F24" w:rsidRPr="005229E1">
        <w:rPr>
          <w:rFonts w:cs="Arial"/>
          <w:sz w:val="26"/>
          <w:szCs w:val="26"/>
          <w:lang w:val="es-ES"/>
        </w:rPr>
        <w:t>que</w:t>
      </w:r>
      <w:r w:rsidRPr="005229E1">
        <w:rPr>
          <w:rFonts w:cs="Arial"/>
          <w:sz w:val="26"/>
          <w:szCs w:val="26"/>
          <w:lang w:val="es-ES"/>
        </w:rPr>
        <w:t xml:space="preserve"> se entabló la relación procesal. </w:t>
      </w:r>
      <w:r w:rsidR="008F3EB8" w:rsidRPr="005229E1">
        <w:rPr>
          <w:rFonts w:cs="Arial"/>
          <w:sz w:val="26"/>
          <w:szCs w:val="26"/>
          <w:lang w:val="es-ES"/>
        </w:rPr>
        <w:t>E</w:t>
      </w:r>
      <w:r w:rsidRPr="005229E1">
        <w:rPr>
          <w:rFonts w:cs="Arial"/>
          <w:sz w:val="26"/>
          <w:szCs w:val="26"/>
          <w:lang w:val="es-ES"/>
        </w:rPr>
        <w:t xml:space="preserve">s hasta el </w:t>
      </w:r>
      <w:r w:rsidR="00AB0F9C" w:rsidRPr="005229E1">
        <w:rPr>
          <w:rFonts w:cs="Arial"/>
          <w:sz w:val="26"/>
          <w:szCs w:val="26"/>
          <w:lang w:val="es-ES"/>
        </w:rPr>
        <w:t xml:space="preserve">presente </w:t>
      </w:r>
      <w:r w:rsidRPr="005229E1">
        <w:rPr>
          <w:rFonts w:cs="Arial"/>
          <w:sz w:val="26"/>
          <w:szCs w:val="26"/>
          <w:lang w:val="es-ES"/>
        </w:rPr>
        <w:t xml:space="preserve">juicio de amparo </w:t>
      </w:r>
      <w:r w:rsidR="00AB0F9C" w:rsidRPr="005229E1">
        <w:rPr>
          <w:rFonts w:cs="Arial"/>
          <w:sz w:val="26"/>
          <w:szCs w:val="26"/>
          <w:lang w:val="es-ES"/>
        </w:rPr>
        <w:t xml:space="preserve">directo </w:t>
      </w:r>
      <w:r w:rsidRPr="005229E1">
        <w:rPr>
          <w:rFonts w:cs="Arial"/>
          <w:sz w:val="26"/>
          <w:szCs w:val="26"/>
          <w:lang w:val="es-ES"/>
        </w:rPr>
        <w:t>en que</w:t>
      </w:r>
      <w:r w:rsidR="008F3EB8" w:rsidRPr="005229E1">
        <w:rPr>
          <w:rFonts w:cs="Arial"/>
          <w:sz w:val="26"/>
          <w:szCs w:val="26"/>
          <w:lang w:val="es-ES"/>
        </w:rPr>
        <w:t>,</w:t>
      </w:r>
      <w:r w:rsidRPr="005229E1">
        <w:rPr>
          <w:rFonts w:cs="Arial"/>
          <w:sz w:val="26"/>
          <w:szCs w:val="26"/>
          <w:lang w:val="es-ES"/>
        </w:rPr>
        <w:t xml:space="preserve"> con motivo de la condena </w:t>
      </w:r>
      <w:r w:rsidR="00990C73" w:rsidRPr="005229E1">
        <w:rPr>
          <w:rFonts w:cs="Arial"/>
          <w:sz w:val="26"/>
          <w:szCs w:val="26"/>
          <w:lang w:val="es-ES"/>
        </w:rPr>
        <w:t>por</w:t>
      </w:r>
      <w:r w:rsidRPr="005229E1">
        <w:rPr>
          <w:rFonts w:cs="Arial"/>
          <w:sz w:val="26"/>
          <w:szCs w:val="26"/>
          <w:lang w:val="es-ES"/>
        </w:rPr>
        <w:t xml:space="preserve"> costas, </w:t>
      </w:r>
      <w:r w:rsidR="00AB0F9C" w:rsidRPr="005229E1">
        <w:rPr>
          <w:rFonts w:cs="Arial"/>
          <w:sz w:val="26"/>
          <w:szCs w:val="26"/>
          <w:lang w:val="es-ES"/>
        </w:rPr>
        <w:t>las quejosas</w:t>
      </w:r>
      <w:r w:rsidRPr="005229E1">
        <w:rPr>
          <w:rFonts w:cs="Arial"/>
          <w:sz w:val="26"/>
          <w:szCs w:val="26"/>
          <w:lang w:val="es-ES"/>
        </w:rPr>
        <w:t xml:space="preserve"> alega</w:t>
      </w:r>
      <w:r w:rsidR="00AB0F9C" w:rsidRPr="005229E1">
        <w:rPr>
          <w:rFonts w:cs="Arial"/>
          <w:sz w:val="26"/>
          <w:szCs w:val="26"/>
          <w:lang w:val="es-ES"/>
        </w:rPr>
        <w:t>n</w:t>
      </w:r>
      <w:r w:rsidRPr="005229E1">
        <w:rPr>
          <w:rFonts w:cs="Arial"/>
          <w:sz w:val="26"/>
          <w:szCs w:val="26"/>
          <w:lang w:val="es-ES"/>
        </w:rPr>
        <w:t xml:space="preserve"> que </w:t>
      </w:r>
      <w:r w:rsidR="00AF24F3" w:rsidRPr="005229E1">
        <w:rPr>
          <w:rFonts w:cs="Arial"/>
          <w:sz w:val="26"/>
          <w:szCs w:val="26"/>
          <w:lang w:val="es-ES"/>
        </w:rPr>
        <w:t>Danhos</w:t>
      </w:r>
      <w:r w:rsidRPr="005229E1">
        <w:rPr>
          <w:rFonts w:cs="Arial"/>
          <w:sz w:val="26"/>
          <w:szCs w:val="26"/>
          <w:lang w:val="es-ES"/>
        </w:rPr>
        <w:t xml:space="preserve"> no </w:t>
      </w:r>
      <w:r w:rsidR="00922C9A" w:rsidRPr="005229E1">
        <w:rPr>
          <w:rFonts w:cs="Arial"/>
          <w:sz w:val="26"/>
          <w:szCs w:val="26"/>
          <w:lang w:val="es-ES"/>
        </w:rPr>
        <w:t xml:space="preserve">era parte </w:t>
      </w:r>
      <w:r w:rsidRPr="005229E1">
        <w:rPr>
          <w:rFonts w:cs="Arial"/>
          <w:sz w:val="26"/>
          <w:szCs w:val="26"/>
          <w:lang w:val="es-ES"/>
        </w:rPr>
        <w:t>demandada</w:t>
      </w:r>
      <w:r w:rsidR="00922C9A" w:rsidRPr="005229E1">
        <w:rPr>
          <w:rFonts w:cs="Arial"/>
          <w:sz w:val="26"/>
          <w:szCs w:val="26"/>
          <w:lang w:val="es-ES"/>
        </w:rPr>
        <w:t xml:space="preserve"> en jui</w:t>
      </w:r>
      <w:r w:rsidR="007035EC" w:rsidRPr="005229E1">
        <w:rPr>
          <w:rFonts w:cs="Arial"/>
          <w:sz w:val="26"/>
          <w:szCs w:val="26"/>
          <w:lang w:val="es-ES"/>
        </w:rPr>
        <w:t>c</w:t>
      </w:r>
      <w:r w:rsidR="00922C9A" w:rsidRPr="005229E1">
        <w:rPr>
          <w:rFonts w:cs="Arial"/>
          <w:sz w:val="26"/>
          <w:szCs w:val="26"/>
          <w:lang w:val="es-ES"/>
        </w:rPr>
        <w:t>io</w:t>
      </w:r>
      <w:r w:rsidRPr="005229E1">
        <w:rPr>
          <w:rFonts w:cs="Arial"/>
          <w:sz w:val="26"/>
          <w:szCs w:val="26"/>
          <w:lang w:val="es-ES"/>
        </w:rPr>
        <w:t xml:space="preserve">, </w:t>
      </w:r>
      <w:r w:rsidR="00990C73" w:rsidRPr="005229E1">
        <w:rPr>
          <w:rFonts w:cs="Arial"/>
          <w:sz w:val="26"/>
          <w:szCs w:val="26"/>
          <w:lang w:val="es-ES"/>
        </w:rPr>
        <w:t>y</w:t>
      </w:r>
      <w:r w:rsidRPr="005229E1">
        <w:rPr>
          <w:rFonts w:cs="Arial"/>
          <w:sz w:val="26"/>
          <w:szCs w:val="26"/>
          <w:lang w:val="es-ES"/>
        </w:rPr>
        <w:t xml:space="preserve"> que la persona moral que realiza la operación del centro comercial </w:t>
      </w:r>
      <w:r w:rsidR="003B3B86" w:rsidRPr="005229E1">
        <w:rPr>
          <w:rFonts w:cs="Arial"/>
          <w:sz w:val="26"/>
          <w:szCs w:val="26"/>
          <w:lang w:val="es-ES"/>
        </w:rPr>
        <w:t>“</w:t>
      </w:r>
      <w:r w:rsidRPr="005229E1">
        <w:rPr>
          <w:rFonts w:cs="Arial"/>
          <w:sz w:val="26"/>
          <w:szCs w:val="26"/>
          <w:lang w:val="es-ES"/>
        </w:rPr>
        <w:t>Reforma 222</w:t>
      </w:r>
      <w:r w:rsidR="003B3B86" w:rsidRPr="005229E1">
        <w:rPr>
          <w:rFonts w:cs="Arial"/>
          <w:sz w:val="26"/>
          <w:szCs w:val="26"/>
          <w:lang w:val="es-ES"/>
        </w:rPr>
        <w:t>”</w:t>
      </w:r>
      <w:r w:rsidRPr="005229E1">
        <w:rPr>
          <w:rFonts w:cs="Arial"/>
          <w:sz w:val="26"/>
          <w:szCs w:val="26"/>
          <w:lang w:val="es-ES"/>
        </w:rPr>
        <w:t xml:space="preserve"> es</w:t>
      </w:r>
      <w:r w:rsidR="000E5737" w:rsidRPr="005229E1">
        <w:rPr>
          <w:rFonts w:cs="Arial"/>
          <w:sz w:val="26"/>
          <w:szCs w:val="26"/>
          <w:lang w:val="es-ES"/>
        </w:rPr>
        <w:t>, en realidad,</w:t>
      </w:r>
      <w:r w:rsidRPr="005229E1">
        <w:rPr>
          <w:rFonts w:cs="Arial"/>
          <w:sz w:val="26"/>
          <w:szCs w:val="26"/>
          <w:lang w:val="es-ES"/>
        </w:rPr>
        <w:t xml:space="preserve"> </w:t>
      </w:r>
      <w:r w:rsidR="00AF24F3" w:rsidRPr="005229E1">
        <w:rPr>
          <w:rFonts w:cs="Arial"/>
          <w:sz w:val="26"/>
          <w:szCs w:val="26"/>
          <w:lang w:val="es-ES"/>
        </w:rPr>
        <w:t>Concentradora Fibra Danhos</w:t>
      </w:r>
      <w:r w:rsidR="00990C73" w:rsidRPr="005229E1">
        <w:rPr>
          <w:rFonts w:cs="Arial"/>
          <w:sz w:val="26"/>
          <w:szCs w:val="26"/>
          <w:lang w:val="es-ES"/>
        </w:rPr>
        <w:t>, por lo que ésta</w:t>
      </w:r>
      <w:r w:rsidRPr="005229E1">
        <w:rPr>
          <w:rFonts w:cs="Arial"/>
          <w:sz w:val="26"/>
          <w:szCs w:val="26"/>
          <w:lang w:val="es-ES"/>
        </w:rPr>
        <w:t xml:space="preserve"> debió </w:t>
      </w:r>
      <w:r w:rsidR="007035EC">
        <w:rPr>
          <w:rFonts w:cs="Arial"/>
          <w:color w:val="000000" w:themeColor="text1"/>
          <w:sz w:val="26"/>
          <w:szCs w:val="26"/>
          <w:lang w:val="es-ES"/>
        </w:rPr>
        <w:t>ser</w:t>
      </w:r>
      <w:r>
        <w:rPr>
          <w:rFonts w:cs="Arial"/>
          <w:color w:val="000000" w:themeColor="text1"/>
          <w:sz w:val="26"/>
          <w:szCs w:val="26"/>
          <w:lang w:val="es-ES"/>
        </w:rPr>
        <w:t xml:space="preserve"> llamada a juicio. </w:t>
      </w:r>
      <w:r w:rsidR="008F3EB8" w:rsidRPr="00AB0F9C">
        <w:rPr>
          <w:rFonts w:cs="Arial"/>
          <w:color w:val="000000" w:themeColor="text1"/>
          <w:sz w:val="26"/>
          <w:szCs w:val="26"/>
          <w:lang w:val="es-ES"/>
        </w:rPr>
        <w:t>Sin embargo, c</w:t>
      </w:r>
      <w:r w:rsidRPr="00AB0F9C">
        <w:rPr>
          <w:rFonts w:cs="Arial"/>
          <w:color w:val="000000" w:themeColor="text1"/>
          <w:sz w:val="26"/>
          <w:szCs w:val="26"/>
          <w:lang w:val="es-ES"/>
        </w:rPr>
        <w:t xml:space="preserve">omo sostuvimos </w:t>
      </w:r>
      <w:r w:rsidR="008F3EB8" w:rsidRPr="00AB0F9C">
        <w:rPr>
          <w:rFonts w:cs="Arial"/>
          <w:color w:val="000000" w:themeColor="text1"/>
          <w:sz w:val="26"/>
          <w:szCs w:val="26"/>
          <w:lang w:val="es-ES"/>
        </w:rPr>
        <w:t xml:space="preserve">en </w:t>
      </w:r>
      <w:r w:rsidR="007035EC">
        <w:rPr>
          <w:rFonts w:cs="Arial"/>
          <w:color w:val="000000" w:themeColor="text1"/>
          <w:sz w:val="26"/>
          <w:szCs w:val="26"/>
          <w:lang w:val="es-ES"/>
        </w:rPr>
        <w:t>los párrafos precedentes</w:t>
      </w:r>
      <w:r w:rsidR="008F3EB8" w:rsidRPr="00AB0F9C">
        <w:rPr>
          <w:rFonts w:cs="Arial"/>
          <w:color w:val="000000" w:themeColor="text1"/>
          <w:sz w:val="26"/>
          <w:szCs w:val="26"/>
          <w:lang w:val="es-ES"/>
        </w:rPr>
        <w:t xml:space="preserve">, no es posible </w:t>
      </w:r>
      <w:r w:rsidR="00EB4DBB">
        <w:rPr>
          <w:rFonts w:cs="Arial"/>
          <w:color w:val="000000" w:themeColor="text1"/>
          <w:sz w:val="26"/>
          <w:szCs w:val="26"/>
          <w:lang w:val="es-ES"/>
        </w:rPr>
        <w:t>atender</w:t>
      </w:r>
      <w:r w:rsidR="008F3EB8" w:rsidRPr="00AB0F9C">
        <w:rPr>
          <w:rFonts w:cs="Arial"/>
          <w:color w:val="000000" w:themeColor="text1"/>
          <w:sz w:val="26"/>
          <w:szCs w:val="26"/>
          <w:lang w:val="es-ES"/>
        </w:rPr>
        <w:t xml:space="preserve"> en el </w:t>
      </w:r>
      <w:r w:rsidR="00EB4DBB">
        <w:rPr>
          <w:rFonts w:cs="Arial"/>
          <w:color w:val="000000" w:themeColor="text1"/>
          <w:sz w:val="26"/>
          <w:szCs w:val="26"/>
          <w:lang w:val="es-ES"/>
        </w:rPr>
        <w:t xml:space="preserve">presente </w:t>
      </w:r>
      <w:r w:rsidR="008F3EB8" w:rsidRPr="00AB0F9C">
        <w:rPr>
          <w:rFonts w:cs="Arial"/>
          <w:color w:val="000000" w:themeColor="text1"/>
          <w:sz w:val="26"/>
          <w:szCs w:val="26"/>
          <w:lang w:val="es-ES"/>
        </w:rPr>
        <w:t xml:space="preserve">juicio de amparo </w:t>
      </w:r>
      <w:r w:rsidR="00FE45D6">
        <w:rPr>
          <w:rFonts w:cs="Arial"/>
          <w:color w:val="000000" w:themeColor="text1"/>
          <w:sz w:val="26"/>
          <w:szCs w:val="26"/>
          <w:lang w:val="es-ES"/>
        </w:rPr>
        <w:t xml:space="preserve">directo </w:t>
      </w:r>
      <w:r w:rsidR="008F3EB8" w:rsidRPr="00AB0F9C">
        <w:rPr>
          <w:rFonts w:cs="Arial"/>
          <w:color w:val="000000" w:themeColor="text1"/>
          <w:sz w:val="26"/>
          <w:szCs w:val="26"/>
          <w:lang w:val="es-ES"/>
        </w:rPr>
        <w:t xml:space="preserve">esta problemática, cuya consecuencia sería la reposición de todo el procedimiento desde el emplazamiento, pues no fue materia del juicio civil y no existe </w:t>
      </w:r>
      <w:r w:rsidRPr="00AB0F9C">
        <w:rPr>
          <w:rFonts w:cs="Arial"/>
          <w:color w:val="000000" w:themeColor="text1"/>
          <w:sz w:val="26"/>
          <w:szCs w:val="26"/>
          <w:lang w:val="es-ES"/>
        </w:rPr>
        <w:t>un litisconsorcio pasivo necesario</w:t>
      </w:r>
      <w:r w:rsidR="00FE45D6">
        <w:rPr>
          <w:rFonts w:cs="Arial"/>
          <w:color w:val="000000" w:themeColor="text1"/>
          <w:sz w:val="26"/>
          <w:szCs w:val="26"/>
          <w:lang w:val="es-ES"/>
        </w:rPr>
        <w:t xml:space="preserve"> entre las personas morales</w:t>
      </w:r>
      <w:r w:rsidR="00EC11B0">
        <w:rPr>
          <w:rFonts w:cs="Arial"/>
          <w:color w:val="000000" w:themeColor="text1"/>
          <w:sz w:val="26"/>
          <w:szCs w:val="26"/>
          <w:lang w:val="es-ES"/>
        </w:rPr>
        <w:t xml:space="preserve"> referidas</w:t>
      </w:r>
      <w:r w:rsidR="008F3EB8" w:rsidRPr="00AB0F9C">
        <w:rPr>
          <w:rFonts w:cs="Arial"/>
          <w:color w:val="000000" w:themeColor="text1"/>
          <w:sz w:val="26"/>
          <w:szCs w:val="26"/>
          <w:lang w:val="es-ES"/>
        </w:rPr>
        <w:t>.</w:t>
      </w:r>
      <w:r w:rsidR="009F2069" w:rsidRPr="00AB0F9C">
        <w:rPr>
          <w:rFonts w:cs="Arial"/>
          <w:color w:val="000000" w:themeColor="text1"/>
          <w:sz w:val="26"/>
          <w:szCs w:val="26"/>
          <w:lang w:val="es-ES"/>
        </w:rPr>
        <w:t xml:space="preserve"> </w:t>
      </w:r>
    </w:p>
    <w:p w14:paraId="6C46F0FD" w14:textId="77777777" w:rsidR="00AB0F9C" w:rsidRDefault="00AB0F9C" w:rsidP="00AB0F9C">
      <w:pPr>
        <w:pStyle w:val="corte4fondo"/>
        <w:ind w:right="51" w:firstLine="0"/>
        <w:rPr>
          <w:rFonts w:cs="Arial"/>
          <w:color w:val="000000" w:themeColor="text1"/>
          <w:sz w:val="26"/>
          <w:szCs w:val="26"/>
          <w:lang w:val="es-ES"/>
        </w:rPr>
      </w:pPr>
    </w:p>
    <w:p w14:paraId="6A228B66" w14:textId="3226146B" w:rsidR="00582BA3" w:rsidRPr="009F2069" w:rsidRDefault="009F2069" w:rsidP="009F2069">
      <w:pPr>
        <w:pStyle w:val="corte4fondo"/>
        <w:numPr>
          <w:ilvl w:val="0"/>
          <w:numId w:val="2"/>
        </w:numPr>
        <w:ind w:left="0" w:right="51" w:hanging="426"/>
        <w:rPr>
          <w:rFonts w:cs="Arial"/>
          <w:color w:val="000000" w:themeColor="text1"/>
          <w:sz w:val="26"/>
          <w:szCs w:val="26"/>
          <w:lang w:val="es-ES"/>
        </w:rPr>
      </w:pPr>
      <w:r>
        <w:rPr>
          <w:rFonts w:cs="Arial"/>
          <w:color w:val="000000" w:themeColor="text1"/>
          <w:sz w:val="26"/>
          <w:szCs w:val="26"/>
          <w:lang w:val="es-ES"/>
        </w:rPr>
        <w:t>Por ello, u</w:t>
      </w:r>
      <w:r w:rsidR="00D53C09" w:rsidRPr="009F2069">
        <w:rPr>
          <w:rFonts w:cs="Arial"/>
          <w:color w:val="000000" w:themeColor="text1"/>
          <w:sz w:val="26"/>
          <w:szCs w:val="26"/>
          <w:lang w:val="es-ES"/>
        </w:rPr>
        <w:t xml:space="preserve">na vez estudiados los argumentos </w:t>
      </w:r>
      <w:r w:rsidR="007F0925" w:rsidRPr="009F2069">
        <w:rPr>
          <w:rFonts w:cs="Arial"/>
          <w:color w:val="000000" w:themeColor="text1"/>
          <w:sz w:val="26"/>
          <w:szCs w:val="26"/>
          <w:lang w:val="es-ES"/>
        </w:rPr>
        <w:t>relativos</w:t>
      </w:r>
      <w:r w:rsidR="00F75ACE" w:rsidRPr="009F2069">
        <w:rPr>
          <w:rFonts w:cs="Arial"/>
          <w:color w:val="000000" w:themeColor="text1"/>
          <w:sz w:val="26"/>
          <w:szCs w:val="26"/>
          <w:lang w:val="es-ES"/>
        </w:rPr>
        <w:t xml:space="preserve"> a las </w:t>
      </w:r>
      <w:r w:rsidR="00E309EC" w:rsidRPr="009F2069">
        <w:rPr>
          <w:rFonts w:cs="Arial"/>
          <w:color w:val="000000" w:themeColor="text1"/>
          <w:sz w:val="26"/>
          <w:szCs w:val="26"/>
          <w:lang w:val="es-ES"/>
        </w:rPr>
        <w:t xml:space="preserve">supuestas </w:t>
      </w:r>
      <w:r w:rsidR="00F75ACE" w:rsidRPr="009F2069">
        <w:rPr>
          <w:rFonts w:cs="Arial"/>
          <w:color w:val="000000" w:themeColor="text1"/>
          <w:sz w:val="26"/>
          <w:szCs w:val="26"/>
          <w:lang w:val="es-ES"/>
        </w:rPr>
        <w:t>violaciones al procedimiento</w:t>
      </w:r>
      <w:r w:rsidR="0041757D">
        <w:rPr>
          <w:rFonts w:cs="Arial"/>
          <w:color w:val="000000" w:themeColor="text1"/>
          <w:sz w:val="26"/>
          <w:szCs w:val="26"/>
          <w:lang w:val="es-ES"/>
        </w:rPr>
        <w:t xml:space="preserve">, se estima </w:t>
      </w:r>
      <w:r w:rsidR="006F5D37" w:rsidRPr="009F2069">
        <w:rPr>
          <w:rFonts w:cs="Arial"/>
          <w:color w:val="000000" w:themeColor="text1"/>
          <w:sz w:val="26"/>
          <w:szCs w:val="26"/>
          <w:lang w:val="es-ES"/>
        </w:rPr>
        <w:t>infundado el quinto concepto de violación</w:t>
      </w:r>
      <w:r w:rsidR="0041757D">
        <w:rPr>
          <w:rFonts w:cs="Arial"/>
          <w:color w:val="000000" w:themeColor="text1"/>
          <w:sz w:val="26"/>
          <w:szCs w:val="26"/>
          <w:lang w:val="es-ES"/>
        </w:rPr>
        <w:t xml:space="preserve"> de las quejosas. A</w:t>
      </w:r>
      <w:r w:rsidR="00E43C19" w:rsidRPr="009F2069">
        <w:rPr>
          <w:rFonts w:cs="Arial"/>
          <w:color w:val="000000" w:themeColor="text1"/>
          <w:sz w:val="26"/>
          <w:szCs w:val="26"/>
          <w:lang w:val="es-ES"/>
        </w:rPr>
        <w:t xml:space="preserve"> continuación, </w:t>
      </w:r>
      <w:r w:rsidR="009648A0" w:rsidRPr="009F2069">
        <w:rPr>
          <w:rFonts w:cs="Arial"/>
          <w:color w:val="000000" w:themeColor="text1"/>
          <w:sz w:val="26"/>
          <w:szCs w:val="26"/>
          <w:lang w:val="es-ES"/>
        </w:rPr>
        <w:t xml:space="preserve">analizaremos </w:t>
      </w:r>
      <w:r w:rsidR="004E4A0A">
        <w:rPr>
          <w:rFonts w:cs="Arial"/>
          <w:color w:val="000000" w:themeColor="text1"/>
          <w:sz w:val="26"/>
          <w:szCs w:val="26"/>
          <w:lang w:val="es-ES"/>
        </w:rPr>
        <w:t xml:space="preserve">el resto de </w:t>
      </w:r>
      <w:r w:rsidR="006740D4" w:rsidRPr="009F2069">
        <w:rPr>
          <w:rFonts w:cs="Arial"/>
          <w:color w:val="000000" w:themeColor="text1"/>
          <w:sz w:val="26"/>
          <w:szCs w:val="26"/>
          <w:lang w:val="es-ES"/>
        </w:rPr>
        <w:t>los conceptos de violación</w:t>
      </w:r>
      <w:r w:rsidR="004E4A0A">
        <w:rPr>
          <w:rFonts w:cs="Arial"/>
          <w:color w:val="000000" w:themeColor="text1"/>
          <w:sz w:val="26"/>
          <w:szCs w:val="26"/>
          <w:lang w:val="es-ES"/>
        </w:rPr>
        <w:t>.</w:t>
      </w:r>
    </w:p>
    <w:p w14:paraId="1356188D" w14:textId="77777777" w:rsidR="005B6F8B" w:rsidRPr="009C3374" w:rsidRDefault="005B6F8B" w:rsidP="002628AD">
      <w:pPr>
        <w:pStyle w:val="corte4fondo"/>
        <w:ind w:right="51" w:firstLine="0"/>
        <w:rPr>
          <w:rFonts w:cs="Arial"/>
          <w:sz w:val="26"/>
          <w:szCs w:val="26"/>
          <w:lang w:val="es-ES"/>
        </w:rPr>
      </w:pPr>
    </w:p>
    <w:p w14:paraId="6D6015CC" w14:textId="3EA73B12" w:rsidR="002C6ECD" w:rsidRPr="003F6B95" w:rsidRDefault="00CC1CD5" w:rsidP="002830AE">
      <w:pPr>
        <w:pStyle w:val="corte4fondo"/>
        <w:spacing w:after="240"/>
        <w:ind w:right="51" w:firstLine="0"/>
        <w:jc w:val="center"/>
        <w:rPr>
          <w:rFonts w:cs="Arial"/>
          <w:sz w:val="26"/>
          <w:szCs w:val="26"/>
        </w:rPr>
      </w:pPr>
      <w:r w:rsidRPr="003F6B95">
        <w:rPr>
          <w:rFonts w:cs="Arial"/>
          <w:b/>
          <w:bCs/>
          <w:sz w:val="26"/>
          <w:szCs w:val="26"/>
        </w:rPr>
        <w:t>B) CONCEPTOS DE VIOLACIÓN RELACIONADOS CON EL FONDO DE LA CONTROVERSIA</w:t>
      </w:r>
    </w:p>
    <w:p w14:paraId="58AC8F6C" w14:textId="5AE030D8" w:rsidR="00C6765C" w:rsidRPr="003F6B95" w:rsidRDefault="00C6765C" w:rsidP="00C6765C">
      <w:pPr>
        <w:pStyle w:val="corte4fondo"/>
        <w:numPr>
          <w:ilvl w:val="0"/>
          <w:numId w:val="2"/>
        </w:numPr>
        <w:tabs>
          <w:tab w:val="left" w:pos="0"/>
        </w:tabs>
        <w:ind w:left="0" w:right="51" w:hanging="425"/>
        <w:rPr>
          <w:rFonts w:cs="Arial"/>
          <w:sz w:val="26"/>
          <w:szCs w:val="26"/>
        </w:rPr>
      </w:pPr>
      <w:r w:rsidRPr="003F6B95">
        <w:rPr>
          <w:rFonts w:cs="Arial"/>
          <w:sz w:val="26"/>
          <w:szCs w:val="26"/>
        </w:rPr>
        <w:lastRenderedPageBreak/>
        <w:t xml:space="preserve">Como adelantamos en el apartado previo, en los primeros tres conceptos de violación, las quejosas se duelen transversalmente del incumplimiento de la sala responsable de juzgar con perspectiva de género al estudiar los </w:t>
      </w:r>
      <w:r w:rsidRPr="003F6B95">
        <w:rPr>
          <w:rFonts w:eastAsia="Calibri" w:cs="Arial"/>
          <w:sz w:val="26"/>
          <w:szCs w:val="26"/>
        </w:rPr>
        <w:t>hechos</w:t>
      </w:r>
      <w:r w:rsidRPr="003F6B95">
        <w:rPr>
          <w:rFonts w:cs="Arial"/>
          <w:sz w:val="26"/>
          <w:szCs w:val="26"/>
        </w:rPr>
        <w:t xml:space="preserve"> alegados como discriminatorios en contra de dos mujeres trans, así como de un entendimiento y aplicación incorrecta de dicha metodología en la valoración de pruebas y el acreditamiento de los hechos ilícitos y el daño moral consecuente. Asimismo, en el cuarto concepto de violación, las quejosas reclaman una incorrecta apreciación del alcance del convenio de conciliación celebrado por el COPRED, frente a la posibilidad de las quejosas de reclamar medidas de reparación integral en un procedimiento judicial posterior.</w:t>
      </w:r>
      <w:r w:rsidR="00EA1130">
        <w:rPr>
          <w:rFonts w:cs="Arial"/>
          <w:sz w:val="26"/>
          <w:szCs w:val="26"/>
        </w:rPr>
        <w:t xml:space="preserve"> A c</w:t>
      </w:r>
      <w:r w:rsidR="005D182D">
        <w:rPr>
          <w:rFonts w:cs="Arial"/>
          <w:sz w:val="26"/>
          <w:szCs w:val="26"/>
        </w:rPr>
        <w:t xml:space="preserve">ontinuación, daremos respuesta a los planteamientos de las quejosas. </w:t>
      </w:r>
    </w:p>
    <w:p w14:paraId="3899F063" w14:textId="77777777" w:rsidR="00881F3F" w:rsidRPr="003F6B95" w:rsidRDefault="00881F3F" w:rsidP="005C37E6">
      <w:pPr>
        <w:rPr>
          <w:rFonts w:ascii="Arial" w:hAnsi="Arial" w:cs="Arial"/>
          <w:sz w:val="26"/>
          <w:szCs w:val="26"/>
          <w:lang w:val="es-ES_tradnl"/>
        </w:rPr>
      </w:pPr>
    </w:p>
    <w:p w14:paraId="4C5CE80A" w14:textId="53213791" w:rsidR="008122F3" w:rsidRPr="0099674F" w:rsidRDefault="00932836" w:rsidP="00932836">
      <w:pPr>
        <w:pStyle w:val="corte4fondo"/>
        <w:ind w:right="51" w:firstLine="0"/>
        <w:jc w:val="center"/>
        <w:rPr>
          <w:rFonts w:cs="Arial"/>
          <w:b/>
          <w:bCs/>
          <w:sz w:val="26"/>
          <w:szCs w:val="26"/>
        </w:rPr>
      </w:pPr>
      <w:r w:rsidRPr="0099674F">
        <w:rPr>
          <w:rFonts w:cs="Arial"/>
          <w:b/>
          <w:bCs/>
          <w:sz w:val="26"/>
          <w:szCs w:val="26"/>
        </w:rPr>
        <w:t>i</w:t>
      </w:r>
      <w:r w:rsidR="005F41A3" w:rsidRPr="0099674F">
        <w:rPr>
          <w:rFonts w:cs="Arial"/>
          <w:b/>
          <w:bCs/>
          <w:sz w:val="26"/>
          <w:szCs w:val="26"/>
        </w:rPr>
        <w:t xml:space="preserve">) </w:t>
      </w:r>
      <w:r w:rsidR="00D735A3" w:rsidRPr="0099674F">
        <w:rPr>
          <w:rFonts w:cs="Arial"/>
          <w:b/>
          <w:bCs/>
          <w:sz w:val="26"/>
          <w:szCs w:val="26"/>
        </w:rPr>
        <w:t>Conceptos de violación relacionados con la a</w:t>
      </w:r>
      <w:r w:rsidR="00E54D0E" w:rsidRPr="0099674F">
        <w:rPr>
          <w:rFonts w:cs="Arial"/>
          <w:b/>
          <w:bCs/>
          <w:sz w:val="26"/>
          <w:szCs w:val="26"/>
        </w:rPr>
        <w:t>creditación</w:t>
      </w:r>
      <w:r w:rsidR="00521C8D" w:rsidRPr="0099674F">
        <w:rPr>
          <w:rFonts w:cs="Arial"/>
          <w:b/>
          <w:bCs/>
          <w:sz w:val="26"/>
          <w:szCs w:val="26"/>
        </w:rPr>
        <w:t xml:space="preserve"> del </w:t>
      </w:r>
      <w:r w:rsidR="005C37E6" w:rsidRPr="0099674F">
        <w:rPr>
          <w:rFonts w:cs="Arial"/>
          <w:b/>
          <w:bCs/>
          <w:sz w:val="26"/>
          <w:szCs w:val="26"/>
        </w:rPr>
        <w:t>h</w:t>
      </w:r>
      <w:r w:rsidR="008122F3" w:rsidRPr="0099674F">
        <w:rPr>
          <w:rFonts w:cs="Arial"/>
          <w:b/>
          <w:bCs/>
          <w:sz w:val="26"/>
          <w:szCs w:val="26"/>
        </w:rPr>
        <w:t>echo ilícito</w:t>
      </w:r>
    </w:p>
    <w:p w14:paraId="3B656378" w14:textId="7ACC7F59" w:rsidR="00D73647" w:rsidRPr="003F6B95" w:rsidRDefault="00DD1524" w:rsidP="00987653">
      <w:pPr>
        <w:pStyle w:val="corte4fondo"/>
        <w:numPr>
          <w:ilvl w:val="0"/>
          <w:numId w:val="2"/>
        </w:numPr>
        <w:spacing w:before="240"/>
        <w:ind w:left="0" w:right="51" w:hanging="567"/>
        <w:rPr>
          <w:rFonts w:cs="Arial"/>
          <w:sz w:val="26"/>
          <w:szCs w:val="26"/>
        </w:rPr>
      </w:pPr>
      <w:r>
        <w:rPr>
          <w:rFonts w:cs="Arial"/>
          <w:sz w:val="26"/>
          <w:szCs w:val="26"/>
        </w:rPr>
        <w:t>En su</w:t>
      </w:r>
      <w:r w:rsidR="009870E2">
        <w:rPr>
          <w:rFonts w:cs="Arial"/>
          <w:sz w:val="26"/>
          <w:szCs w:val="26"/>
        </w:rPr>
        <w:t xml:space="preserve"> demanda de amparo, l</w:t>
      </w:r>
      <w:r>
        <w:rPr>
          <w:rFonts w:cs="Arial"/>
          <w:sz w:val="26"/>
          <w:szCs w:val="26"/>
        </w:rPr>
        <w:t>as</w:t>
      </w:r>
      <w:r w:rsidR="004C35B6" w:rsidRPr="00E54D0E">
        <w:rPr>
          <w:rFonts w:cs="Arial"/>
          <w:sz w:val="26"/>
          <w:szCs w:val="26"/>
        </w:rPr>
        <w:t xml:space="preserve"> </w:t>
      </w:r>
      <w:r w:rsidR="000A585F" w:rsidRPr="00E54D0E">
        <w:rPr>
          <w:rFonts w:cs="Arial"/>
          <w:color w:val="000000" w:themeColor="text1"/>
          <w:sz w:val="26"/>
          <w:szCs w:val="26"/>
        </w:rPr>
        <w:t>quejosas</w:t>
      </w:r>
      <w:r w:rsidR="000A585F" w:rsidRPr="001C6DCC">
        <w:rPr>
          <w:rFonts w:cs="Arial"/>
          <w:color w:val="000000" w:themeColor="text1"/>
          <w:sz w:val="26"/>
          <w:szCs w:val="26"/>
        </w:rPr>
        <w:t xml:space="preserve"> sostienen</w:t>
      </w:r>
      <w:r w:rsidR="00E14C8C" w:rsidRPr="001C6DCC">
        <w:rPr>
          <w:rFonts w:cs="Arial"/>
          <w:color w:val="000000" w:themeColor="text1"/>
          <w:sz w:val="26"/>
          <w:szCs w:val="26"/>
        </w:rPr>
        <w:t xml:space="preserve">, entre otras </w:t>
      </w:r>
      <w:r w:rsidR="0017408F" w:rsidRPr="001C6DCC">
        <w:rPr>
          <w:rFonts w:cs="Arial"/>
          <w:color w:val="000000" w:themeColor="text1"/>
          <w:sz w:val="26"/>
          <w:szCs w:val="26"/>
        </w:rPr>
        <w:t>cuestiones,</w:t>
      </w:r>
      <w:r w:rsidR="000A585F" w:rsidRPr="001C6DCC">
        <w:rPr>
          <w:rFonts w:cs="Arial"/>
          <w:color w:val="000000" w:themeColor="text1"/>
          <w:sz w:val="26"/>
          <w:szCs w:val="26"/>
        </w:rPr>
        <w:t xml:space="preserve"> que la sala erróneamente consideró que</w:t>
      </w:r>
      <w:r w:rsidR="000A585F" w:rsidRPr="003F6B95">
        <w:rPr>
          <w:rFonts w:cs="Arial"/>
          <w:color w:val="000000" w:themeColor="text1"/>
          <w:sz w:val="26"/>
          <w:szCs w:val="26"/>
        </w:rPr>
        <w:t xml:space="preserve"> </w:t>
      </w:r>
      <w:r w:rsidR="00E14C8C" w:rsidRPr="003F6B95">
        <w:rPr>
          <w:rFonts w:cs="Arial"/>
          <w:color w:val="000000" w:themeColor="text1"/>
          <w:sz w:val="26"/>
          <w:szCs w:val="26"/>
        </w:rPr>
        <w:t xml:space="preserve">las demandadas </w:t>
      </w:r>
      <w:r w:rsidR="000A585F" w:rsidRPr="003F6B95">
        <w:rPr>
          <w:rFonts w:cs="Arial"/>
          <w:color w:val="000000" w:themeColor="text1"/>
          <w:sz w:val="26"/>
          <w:szCs w:val="26"/>
        </w:rPr>
        <w:t>no cometi</w:t>
      </w:r>
      <w:r w:rsidR="00E14C8C" w:rsidRPr="003F6B95">
        <w:rPr>
          <w:rFonts w:cs="Arial"/>
          <w:color w:val="000000" w:themeColor="text1"/>
          <w:sz w:val="26"/>
          <w:szCs w:val="26"/>
        </w:rPr>
        <w:t>eron</w:t>
      </w:r>
      <w:r w:rsidR="000A585F" w:rsidRPr="003F6B95">
        <w:rPr>
          <w:rFonts w:cs="Arial"/>
          <w:color w:val="000000" w:themeColor="text1"/>
          <w:sz w:val="26"/>
          <w:szCs w:val="26"/>
        </w:rPr>
        <w:t xml:space="preserve"> un acto discriminatorio en contra de la señora </w:t>
      </w:r>
      <w:r w:rsidR="000A585F" w:rsidRPr="003F6B95">
        <w:rPr>
          <w:rFonts w:cs="Arial"/>
          <w:color w:val="FF0000"/>
          <w:sz w:val="26"/>
          <w:szCs w:val="26"/>
        </w:rPr>
        <w:t>GB</w:t>
      </w:r>
      <w:r w:rsidR="00443143" w:rsidRPr="003F6B95">
        <w:rPr>
          <w:rFonts w:cs="Arial"/>
          <w:color w:val="000000" w:themeColor="text1"/>
          <w:sz w:val="26"/>
          <w:szCs w:val="26"/>
        </w:rPr>
        <w:t xml:space="preserve">. Ello, </w:t>
      </w:r>
      <w:r w:rsidR="000A585F" w:rsidRPr="003F6B95">
        <w:rPr>
          <w:rFonts w:cs="Arial"/>
          <w:color w:val="000000" w:themeColor="text1"/>
          <w:sz w:val="26"/>
          <w:szCs w:val="26"/>
        </w:rPr>
        <w:t>a pe</w:t>
      </w:r>
      <w:r w:rsidR="000A585F" w:rsidRPr="003F6B95">
        <w:rPr>
          <w:rFonts w:cs="Arial"/>
          <w:sz w:val="26"/>
          <w:szCs w:val="26"/>
        </w:rPr>
        <w:t xml:space="preserve">sar de que </w:t>
      </w:r>
      <w:r w:rsidR="00443143" w:rsidRPr="003F6B95">
        <w:rPr>
          <w:rFonts w:cs="Arial"/>
          <w:sz w:val="26"/>
          <w:szCs w:val="26"/>
        </w:rPr>
        <w:t xml:space="preserve">tal acto </w:t>
      </w:r>
      <w:r w:rsidR="000A585F" w:rsidRPr="003F6B95">
        <w:rPr>
          <w:rFonts w:cs="Arial"/>
          <w:color w:val="000000" w:themeColor="text1"/>
          <w:sz w:val="26"/>
          <w:szCs w:val="26"/>
        </w:rPr>
        <w:t xml:space="preserve">quedó asentado en el expediente del procedimiento de conciliación </w:t>
      </w:r>
      <w:r w:rsidR="000A585F" w:rsidRPr="003F6B95">
        <w:rPr>
          <w:rFonts w:cs="Arial"/>
          <w:sz w:val="26"/>
          <w:szCs w:val="26"/>
        </w:rPr>
        <w:t xml:space="preserve">seguido ante </w:t>
      </w:r>
      <w:r w:rsidR="0099701A">
        <w:rPr>
          <w:rFonts w:cs="Arial"/>
          <w:sz w:val="26"/>
          <w:szCs w:val="26"/>
        </w:rPr>
        <w:t xml:space="preserve">el </w:t>
      </w:r>
      <w:r w:rsidR="000A585F" w:rsidRPr="003F6B95">
        <w:rPr>
          <w:rFonts w:cs="Arial"/>
          <w:sz w:val="26"/>
          <w:szCs w:val="26"/>
        </w:rPr>
        <w:t>COPRED,</w:t>
      </w:r>
      <w:r w:rsidR="004C6F0E" w:rsidRPr="003F6B95">
        <w:rPr>
          <w:rFonts w:cs="Arial"/>
          <w:sz w:val="26"/>
          <w:szCs w:val="26"/>
        </w:rPr>
        <w:t xml:space="preserve"> el cual</w:t>
      </w:r>
      <w:r w:rsidR="00521C8D">
        <w:rPr>
          <w:rFonts w:cs="Arial"/>
          <w:sz w:val="26"/>
          <w:szCs w:val="26"/>
        </w:rPr>
        <w:t xml:space="preserve">, consideran, </w:t>
      </w:r>
      <w:r w:rsidR="00216A94" w:rsidRPr="003F6B95">
        <w:rPr>
          <w:rFonts w:cs="Arial"/>
          <w:sz w:val="26"/>
          <w:szCs w:val="26"/>
        </w:rPr>
        <w:t>tiene</w:t>
      </w:r>
      <w:r w:rsidR="00413A4C" w:rsidRPr="003F6B95">
        <w:rPr>
          <w:rFonts w:cs="Arial"/>
          <w:sz w:val="26"/>
          <w:szCs w:val="26"/>
        </w:rPr>
        <w:t xml:space="preserve"> </w:t>
      </w:r>
      <w:r w:rsidR="005349C4" w:rsidRPr="003F6B95">
        <w:rPr>
          <w:rFonts w:cs="Arial"/>
          <w:sz w:val="26"/>
          <w:szCs w:val="26"/>
        </w:rPr>
        <w:t xml:space="preserve">valor probatorio </w:t>
      </w:r>
      <w:r w:rsidR="00413A4C" w:rsidRPr="003F6B95">
        <w:rPr>
          <w:rFonts w:cs="Arial"/>
          <w:sz w:val="26"/>
          <w:szCs w:val="26"/>
        </w:rPr>
        <w:t xml:space="preserve">pleno </w:t>
      </w:r>
      <w:r w:rsidR="005349C4" w:rsidRPr="003F6B95">
        <w:rPr>
          <w:rFonts w:cs="Arial"/>
          <w:sz w:val="26"/>
          <w:szCs w:val="26"/>
        </w:rPr>
        <w:t>para acreditar los hechos relatados en la queja</w:t>
      </w:r>
      <w:r w:rsidR="00F653E6" w:rsidRPr="003F6B95">
        <w:rPr>
          <w:rFonts w:cs="Arial"/>
          <w:sz w:val="26"/>
          <w:szCs w:val="26"/>
        </w:rPr>
        <w:t xml:space="preserve"> presentada</w:t>
      </w:r>
      <w:r w:rsidR="005349C4" w:rsidRPr="003F6B95">
        <w:rPr>
          <w:rFonts w:cs="Arial"/>
          <w:sz w:val="26"/>
          <w:szCs w:val="26"/>
        </w:rPr>
        <w:t xml:space="preserve"> ante </w:t>
      </w:r>
      <w:r w:rsidR="00443143" w:rsidRPr="003F6B95">
        <w:rPr>
          <w:rFonts w:cs="Arial"/>
          <w:sz w:val="26"/>
          <w:szCs w:val="26"/>
        </w:rPr>
        <w:t>la institución</w:t>
      </w:r>
      <w:r w:rsidR="000A585F" w:rsidRPr="003F6B95">
        <w:rPr>
          <w:rFonts w:cs="Arial"/>
          <w:color w:val="000000" w:themeColor="text1"/>
          <w:sz w:val="26"/>
          <w:szCs w:val="26"/>
        </w:rPr>
        <w:t xml:space="preserve">. </w:t>
      </w:r>
      <w:r w:rsidR="00DF56E6" w:rsidRPr="003F6B95">
        <w:rPr>
          <w:rFonts w:cs="Arial"/>
          <w:color w:val="000000" w:themeColor="text1"/>
          <w:sz w:val="26"/>
          <w:szCs w:val="26"/>
        </w:rPr>
        <w:t xml:space="preserve">Por ello, </w:t>
      </w:r>
      <w:r w:rsidR="005121BC" w:rsidRPr="003F6B95">
        <w:rPr>
          <w:rFonts w:cs="Arial"/>
          <w:color w:val="000000" w:themeColor="text1"/>
          <w:sz w:val="26"/>
          <w:szCs w:val="26"/>
        </w:rPr>
        <w:t xml:space="preserve">alegan </w:t>
      </w:r>
      <w:r w:rsidR="00DF56E6" w:rsidRPr="003F6B95">
        <w:rPr>
          <w:rFonts w:cs="Arial"/>
          <w:color w:val="000000" w:themeColor="text1"/>
          <w:sz w:val="26"/>
          <w:szCs w:val="26"/>
        </w:rPr>
        <w:t xml:space="preserve">que la sala responsable no valoró las pruebas con perspectiva de género. </w:t>
      </w:r>
    </w:p>
    <w:p w14:paraId="6694467D" w14:textId="77777777" w:rsidR="00090F9B" w:rsidRPr="003F6B95" w:rsidRDefault="00090F9B" w:rsidP="007700CD">
      <w:pPr>
        <w:pStyle w:val="corte4fondo"/>
        <w:ind w:right="51" w:firstLine="0"/>
        <w:rPr>
          <w:rFonts w:cs="Arial"/>
          <w:sz w:val="26"/>
          <w:szCs w:val="26"/>
        </w:rPr>
      </w:pPr>
    </w:p>
    <w:p w14:paraId="48546936" w14:textId="3D4B9B6B" w:rsidR="002E0C27" w:rsidRPr="003F6B95" w:rsidRDefault="003F7EF4" w:rsidP="002E0C27">
      <w:pPr>
        <w:pStyle w:val="corte4fondo"/>
        <w:numPr>
          <w:ilvl w:val="0"/>
          <w:numId w:val="2"/>
        </w:numPr>
        <w:ind w:left="0" w:right="51" w:hanging="567"/>
        <w:rPr>
          <w:rFonts w:cs="Arial"/>
          <w:sz w:val="26"/>
          <w:szCs w:val="26"/>
        </w:rPr>
      </w:pPr>
      <w:r w:rsidRPr="003F6B95">
        <w:rPr>
          <w:rFonts w:cs="Arial"/>
          <w:sz w:val="26"/>
          <w:szCs w:val="26"/>
        </w:rPr>
        <w:t>Al respecto</w:t>
      </w:r>
      <w:r w:rsidR="00090F9B" w:rsidRPr="003F6B95">
        <w:rPr>
          <w:rFonts w:cs="Arial"/>
          <w:sz w:val="26"/>
          <w:szCs w:val="26"/>
        </w:rPr>
        <w:t xml:space="preserve">, </w:t>
      </w:r>
      <w:r w:rsidR="005E420F" w:rsidRPr="003F6B95">
        <w:rPr>
          <w:rFonts w:cs="Arial"/>
          <w:sz w:val="26"/>
          <w:szCs w:val="26"/>
        </w:rPr>
        <w:t>destaca</w:t>
      </w:r>
      <w:r w:rsidR="00521C8D">
        <w:rPr>
          <w:rFonts w:cs="Arial"/>
          <w:sz w:val="26"/>
          <w:szCs w:val="26"/>
        </w:rPr>
        <w:t>mos</w:t>
      </w:r>
      <w:r w:rsidR="005E420F" w:rsidRPr="003F6B95">
        <w:rPr>
          <w:rFonts w:cs="Arial"/>
          <w:sz w:val="26"/>
          <w:szCs w:val="26"/>
        </w:rPr>
        <w:t xml:space="preserve"> que el presente asunto </w:t>
      </w:r>
      <w:r w:rsidR="005121BC" w:rsidRPr="003F6B95">
        <w:rPr>
          <w:rFonts w:cs="Arial"/>
          <w:sz w:val="26"/>
          <w:szCs w:val="26"/>
        </w:rPr>
        <w:t xml:space="preserve">tiene una </w:t>
      </w:r>
      <w:r w:rsidR="005E420F" w:rsidRPr="003F6B95">
        <w:rPr>
          <w:rFonts w:cs="Arial"/>
          <w:sz w:val="26"/>
          <w:szCs w:val="26"/>
        </w:rPr>
        <w:t xml:space="preserve">relación </w:t>
      </w:r>
      <w:r w:rsidR="005121BC" w:rsidRPr="003F6B95">
        <w:rPr>
          <w:rFonts w:cs="Arial"/>
          <w:sz w:val="26"/>
          <w:szCs w:val="26"/>
        </w:rPr>
        <w:t xml:space="preserve">estrecha </w:t>
      </w:r>
      <w:r w:rsidR="005E420F" w:rsidRPr="003F6B95">
        <w:rPr>
          <w:rFonts w:cs="Arial"/>
          <w:sz w:val="26"/>
          <w:szCs w:val="26"/>
        </w:rPr>
        <w:t xml:space="preserve">con los amparos directos </w:t>
      </w:r>
      <w:r w:rsidR="005E420F" w:rsidRPr="00453D61">
        <w:rPr>
          <w:rFonts w:cs="Arial"/>
          <w:sz w:val="26"/>
          <w:szCs w:val="26"/>
        </w:rPr>
        <w:t>14/2020 y 16/2020</w:t>
      </w:r>
      <w:r w:rsidR="00521C8D" w:rsidRPr="00453D61">
        <w:rPr>
          <w:rFonts w:cs="Arial"/>
          <w:sz w:val="26"/>
          <w:szCs w:val="26"/>
        </w:rPr>
        <w:t xml:space="preserve"> del </w:t>
      </w:r>
      <w:r w:rsidR="00521C8D" w:rsidRPr="008C5BA7">
        <w:rPr>
          <w:rFonts w:cs="Arial"/>
          <w:color w:val="000000" w:themeColor="text1"/>
          <w:sz w:val="26"/>
          <w:szCs w:val="26"/>
        </w:rPr>
        <w:t>índice de esta</w:t>
      </w:r>
      <w:r w:rsidR="008C5BA7">
        <w:rPr>
          <w:rFonts w:cs="Arial"/>
          <w:color w:val="000000" w:themeColor="text1"/>
          <w:sz w:val="26"/>
          <w:szCs w:val="26"/>
        </w:rPr>
        <w:t xml:space="preserve"> Primera</w:t>
      </w:r>
      <w:r w:rsidR="00521C8D" w:rsidRPr="008C5BA7">
        <w:rPr>
          <w:rFonts w:cs="Arial"/>
          <w:color w:val="000000" w:themeColor="text1"/>
          <w:sz w:val="26"/>
          <w:szCs w:val="26"/>
        </w:rPr>
        <w:t xml:space="preserve"> Sala</w:t>
      </w:r>
      <w:r w:rsidR="004217F3">
        <w:rPr>
          <w:rFonts w:cs="Arial"/>
          <w:color w:val="000000" w:themeColor="text1"/>
          <w:sz w:val="26"/>
          <w:szCs w:val="26"/>
        </w:rPr>
        <w:t xml:space="preserve"> que se resuelven en esta misma sesión</w:t>
      </w:r>
      <w:r w:rsidR="0088688F" w:rsidRPr="008C5BA7">
        <w:rPr>
          <w:rFonts w:cs="Arial"/>
          <w:color w:val="000000" w:themeColor="text1"/>
          <w:sz w:val="26"/>
          <w:szCs w:val="26"/>
        </w:rPr>
        <w:t>. E</w:t>
      </w:r>
      <w:r w:rsidR="0088688F" w:rsidRPr="003F6B95">
        <w:rPr>
          <w:rFonts w:cs="Arial"/>
          <w:sz w:val="26"/>
          <w:szCs w:val="26"/>
        </w:rPr>
        <w:t>n estos</w:t>
      </w:r>
      <w:r w:rsidR="00521C8D">
        <w:rPr>
          <w:rFonts w:cs="Arial"/>
          <w:sz w:val="26"/>
          <w:szCs w:val="26"/>
        </w:rPr>
        <w:t xml:space="preserve"> juicios</w:t>
      </w:r>
      <w:r w:rsidR="0088688F" w:rsidRPr="003F6B95">
        <w:rPr>
          <w:rFonts w:cs="Arial"/>
          <w:sz w:val="26"/>
          <w:szCs w:val="26"/>
        </w:rPr>
        <w:t>,</w:t>
      </w:r>
      <w:r w:rsidR="005E420F" w:rsidRPr="003F6B95">
        <w:rPr>
          <w:rFonts w:cs="Arial"/>
          <w:sz w:val="26"/>
          <w:szCs w:val="26"/>
        </w:rPr>
        <w:t xml:space="preserve"> las empresas terceras interesadas </w:t>
      </w:r>
      <w:r w:rsidR="002D53F4" w:rsidRPr="003F6B95">
        <w:rPr>
          <w:rFonts w:cs="Arial"/>
          <w:sz w:val="26"/>
          <w:szCs w:val="26"/>
        </w:rPr>
        <w:t xml:space="preserve">sostienen </w:t>
      </w:r>
      <w:r w:rsidR="002D53F4" w:rsidRPr="003F6B95">
        <w:rPr>
          <w:rFonts w:cs="Arial"/>
          <w:color w:val="000000" w:themeColor="text1"/>
          <w:sz w:val="26"/>
          <w:szCs w:val="26"/>
          <w:lang w:val="es-MX"/>
        </w:rPr>
        <w:t xml:space="preserve">que fue incorrecto el valor probatorio que la </w:t>
      </w:r>
      <w:r w:rsidR="00292977" w:rsidRPr="003F6B95">
        <w:rPr>
          <w:rFonts w:cs="Arial"/>
          <w:color w:val="000000" w:themeColor="text1"/>
          <w:sz w:val="26"/>
          <w:szCs w:val="26"/>
          <w:lang w:val="es-MX"/>
        </w:rPr>
        <w:t>s</w:t>
      </w:r>
      <w:r w:rsidR="002D53F4" w:rsidRPr="003F6B95">
        <w:rPr>
          <w:rFonts w:cs="Arial"/>
          <w:color w:val="000000" w:themeColor="text1"/>
          <w:sz w:val="26"/>
          <w:szCs w:val="26"/>
          <w:lang w:val="es-MX"/>
        </w:rPr>
        <w:t>ala responsable otorgó a lo actuado ante el COPRED, pues</w:t>
      </w:r>
      <w:r w:rsidR="00292977" w:rsidRPr="003F6B95">
        <w:rPr>
          <w:rFonts w:cs="Arial"/>
          <w:color w:val="000000" w:themeColor="text1"/>
          <w:sz w:val="26"/>
          <w:szCs w:val="26"/>
          <w:lang w:val="es-MX"/>
        </w:rPr>
        <w:t>,</w:t>
      </w:r>
      <w:r w:rsidR="002D53F4" w:rsidRPr="003F6B95">
        <w:rPr>
          <w:rFonts w:cs="Arial"/>
          <w:color w:val="000000" w:themeColor="text1"/>
          <w:sz w:val="26"/>
          <w:szCs w:val="26"/>
          <w:lang w:val="es-MX"/>
        </w:rPr>
        <w:t xml:space="preserve"> si bien se trata formalmente de un documento público, no tiene el alcance de tener por ciertas las manifestaciones vertidas por quienes intervinieron</w:t>
      </w:r>
      <w:r w:rsidR="00F314B6" w:rsidRPr="003F6B95">
        <w:rPr>
          <w:rFonts w:cs="Arial"/>
          <w:color w:val="000000" w:themeColor="text1"/>
          <w:sz w:val="26"/>
          <w:szCs w:val="26"/>
          <w:lang w:val="es-MX"/>
        </w:rPr>
        <w:t xml:space="preserve"> en la conciliación</w:t>
      </w:r>
      <w:r w:rsidR="002D53F4" w:rsidRPr="003F6B95">
        <w:rPr>
          <w:rFonts w:cs="Arial"/>
          <w:color w:val="000000" w:themeColor="text1"/>
          <w:sz w:val="26"/>
          <w:szCs w:val="26"/>
          <w:lang w:val="es-MX"/>
        </w:rPr>
        <w:t>.</w:t>
      </w:r>
    </w:p>
    <w:p w14:paraId="6BE7BBD2" w14:textId="77777777" w:rsidR="002E0C27" w:rsidRPr="003F6B95" w:rsidRDefault="002E0C27" w:rsidP="007700CD">
      <w:pPr>
        <w:pStyle w:val="corte4fondo"/>
        <w:ind w:right="51" w:firstLine="0"/>
        <w:rPr>
          <w:rFonts w:cs="Arial"/>
          <w:sz w:val="26"/>
          <w:szCs w:val="26"/>
        </w:rPr>
      </w:pPr>
    </w:p>
    <w:p w14:paraId="1AC6F1D1" w14:textId="28B2C867" w:rsidR="00EA4D3E" w:rsidRPr="003F6B95" w:rsidRDefault="002B6D37" w:rsidP="00920CAD">
      <w:pPr>
        <w:pStyle w:val="corte4fondo"/>
        <w:numPr>
          <w:ilvl w:val="0"/>
          <w:numId w:val="2"/>
        </w:numPr>
        <w:ind w:left="0" w:right="51" w:hanging="567"/>
        <w:rPr>
          <w:rFonts w:cs="Arial"/>
          <w:sz w:val="26"/>
          <w:szCs w:val="26"/>
        </w:rPr>
      </w:pPr>
      <w:r>
        <w:rPr>
          <w:rFonts w:cs="Arial"/>
          <w:sz w:val="26"/>
          <w:szCs w:val="26"/>
        </w:rPr>
        <w:t xml:space="preserve">Dado </w:t>
      </w:r>
      <w:r w:rsidR="00415D0C" w:rsidRPr="003F6B95">
        <w:rPr>
          <w:rFonts w:cs="Arial"/>
          <w:sz w:val="26"/>
          <w:szCs w:val="26"/>
        </w:rPr>
        <w:t>que</w:t>
      </w:r>
      <w:r w:rsidR="000421A7" w:rsidRPr="003F6B95">
        <w:rPr>
          <w:rFonts w:cs="Arial"/>
          <w:sz w:val="26"/>
          <w:szCs w:val="26"/>
        </w:rPr>
        <w:t xml:space="preserve"> </w:t>
      </w:r>
      <w:r w:rsidR="004C2C65" w:rsidRPr="003F6B95">
        <w:rPr>
          <w:rFonts w:cs="Arial"/>
          <w:sz w:val="26"/>
          <w:szCs w:val="26"/>
        </w:rPr>
        <w:t>la pregunta sobre el</w:t>
      </w:r>
      <w:r w:rsidR="000421A7" w:rsidRPr="003F6B95">
        <w:rPr>
          <w:rFonts w:cs="Arial"/>
          <w:sz w:val="26"/>
          <w:szCs w:val="26"/>
        </w:rPr>
        <w:t xml:space="preserve"> valor probatorio del</w:t>
      </w:r>
      <w:r w:rsidR="00AA6F70" w:rsidRPr="003F6B95">
        <w:rPr>
          <w:rFonts w:cs="Arial"/>
          <w:sz w:val="26"/>
          <w:szCs w:val="26"/>
        </w:rPr>
        <w:t xml:space="preserve"> expediente del COPRED</w:t>
      </w:r>
      <w:r w:rsidR="001D77CA" w:rsidRPr="003F6B95">
        <w:rPr>
          <w:rFonts w:cs="Arial"/>
          <w:sz w:val="26"/>
          <w:szCs w:val="26"/>
        </w:rPr>
        <w:t xml:space="preserve"> tiene una estrecha </w:t>
      </w:r>
      <w:r w:rsidR="0004640A" w:rsidRPr="003F6B95">
        <w:rPr>
          <w:rFonts w:cs="Arial"/>
          <w:sz w:val="26"/>
          <w:szCs w:val="26"/>
        </w:rPr>
        <w:t>relación</w:t>
      </w:r>
      <w:r w:rsidR="00171BD2" w:rsidRPr="003F6B95">
        <w:rPr>
          <w:rFonts w:cs="Arial"/>
          <w:sz w:val="26"/>
          <w:szCs w:val="26"/>
        </w:rPr>
        <w:t xml:space="preserve"> </w:t>
      </w:r>
      <w:r w:rsidR="0004640A" w:rsidRPr="003F6B95">
        <w:rPr>
          <w:rFonts w:cs="Arial"/>
          <w:sz w:val="26"/>
          <w:szCs w:val="26"/>
        </w:rPr>
        <w:t xml:space="preserve">en los tres </w:t>
      </w:r>
      <w:r w:rsidR="00F2295A" w:rsidRPr="003F6B95">
        <w:rPr>
          <w:rFonts w:cs="Arial"/>
          <w:sz w:val="26"/>
          <w:szCs w:val="26"/>
        </w:rPr>
        <w:t>juicios de amparo directo,</w:t>
      </w:r>
      <w:r w:rsidR="002E0C27" w:rsidRPr="003F6B95">
        <w:rPr>
          <w:rFonts w:cs="Arial"/>
          <w:sz w:val="26"/>
          <w:szCs w:val="26"/>
        </w:rPr>
        <w:t xml:space="preserve"> y</w:t>
      </w:r>
      <w:r w:rsidR="001A5DE9">
        <w:rPr>
          <w:rFonts w:cs="Arial"/>
          <w:sz w:val="26"/>
          <w:szCs w:val="26"/>
        </w:rPr>
        <w:t>,</w:t>
      </w:r>
      <w:r w:rsidR="002E0C27" w:rsidRPr="003F6B95">
        <w:rPr>
          <w:rFonts w:cs="Arial"/>
          <w:sz w:val="26"/>
          <w:szCs w:val="26"/>
        </w:rPr>
        <w:t xml:space="preserve"> con </w:t>
      </w:r>
      <w:r>
        <w:rPr>
          <w:rFonts w:cs="Arial"/>
          <w:sz w:val="26"/>
          <w:szCs w:val="26"/>
        </w:rPr>
        <w:t xml:space="preserve">el </w:t>
      </w:r>
      <w:r>
        <w:rPr>
          <w:rFonts w:cs="Arial"/>
          <w:sz w:val="26"/>
          <w:szCs w:val="26"/>
        </w:rPr>
        <w:lastRenderedPageBreak/>
        <w:t>objetivo de dictar</w:t>
      </w:r>
      <w:r w:rsidRPr="003F6B95">
        <w:rPr>
          <w:rFonts w:cs="Arial"/>
          <w:sz w:val="26"/>
          <w:szCs w:val="26"/>
        </w:rPr>
        <w:t xml:space="preserve"> </w:t>
      </w:r>
      <w:r w:rsidR="0088688F" w:rsidRPr="003F6B95">
        <w:rPr>
          <w:rFonts w:cs="Arial"/>
          <w:sz w:val="26"/>
          <w:szCs w:val="26"/>
        </w:rPr>
        <w:t xml:space="preserve">sentencias </w:t>
      </w:r>
      <w:r w:rsidR="00820F7B" w:rsidRPr="003F6B95">
        <w:rPr>
          <w:rFonts w:cs="Arial"/>
          <w:sz w:val="26"/>
          <w:szCs w:val="26"/>
        </w:rPr>
        <w:t xml:space="preserve">integrales y </w:t>
      </w:r>
      <w:r w:rsidR="0088688F" w:rsidRPr="003F6B95">
        <w:rPr>
          <w:rFonts w:cs="Arial"/>
          <w:sz w:val="26"/>
          <w:szCs w:val="26"/>
        </w:rPr>
        <w:t xml:space="preserve">congruentes, </w:t>
      </w:r>
      <w:r>
        <w:rPr>
          <w:rFonts w:cs="Arial"/>
          <w:sz w:val="26"/>
          <w:szCs w:val="26"/>
        </w:rPr>
        <w:t xml:space="preserve">clarificaremos, en primer lugar, </w:t>
      </w:r>
      <w:r w:rsidR="00C53428" w:rsidRPr="003F6B95">
        <w:rPr>
          <w:rFonts w:cs="Arial"/>
          <w:sz w:val="26"/>
          <w:szCs w:val="26"/>
        </w:rPr>
        <w:t xml:space="preserve">el alcance </w:t>
      </w:r>
      <w:r w:rsidR="00870F47" w:rsidRPr="003F6B95">
        <w:rPr>
          <w:rFonts w:cs="Arial"/>
          <w:sz w:val="26"/>
          <w:szCs w:val="26"/>
        </w:rPr>
        <w:t>d</w:t>
      </w:r>
      <w:r w:rsidR="00C53428" w:rsidRPr="003F6B95">
        <w:rPr>
          <w:rFonts w:cs="Arial"/>
          <w:sz w:val="26"/>
          <w:szCs w:val="26"/>
        </w:rPr>
        <w:t>e</w:t>
      </w:r>
      <w:r>
        <w:rPr>
          <w:rFonts w:cs="Arial"/>
          <w:sz w:val="26"/>
          <w:szCs w:val="26"/>
        </w:rPr>
        <w:t xml:space="preserve"> dicho expediente </w:t>
      </w:r>
      <w:r w:rsidR="00C53428" w:rsidRPr="003F6B95">
        <w:rPr>
          <w:rFonts w:cs="Arial"/>
          <w:sz w:val="26"/>
          <w:szCs w:val="26"/>
        </w:rPr>
        <w:t>para acreditar los hechos</w:t>
      </w:r>
      <w:r w:rsidR="00870F47" w:rsidRPr="003F6B95">
        <w:rPr>
          <w:rFonts w:cs="Arial"/>
          <w:sz w:val="26"/>
          <w:szCs w:val="26"/>
        </w:rPr>
        <w:t xml:space="preserve"> </w:t>
      </w:r>
      <w:r w:rsidR="004727B1" w:rsidRPr="003F6B95">
        <w:rPr>
          <w:rFonts w:cs="Arial"/>
          <w:sz w:val="26"/>
          <w:szCs w:val="26"/>
        </w:rPr>
        <w:t>alegados</w:t>
      </w:r>
      <w:r w:rsidR="00870F47" w:rsidRPr="003F6B95">
        <w:rPr>
          <w:rFonts w:cs="Arial"/>
          <w:sz w:val="26"/>
          <w:szCs w:val="26"/>
        </w:rPr>
        <w:t xml:space="preserve"> por las actoras</w:t>
      </w:r>
      <w:r>
        <w:rPr>
          <w:rFonts w:cs="Arial"/>
          <w:sz w:val="26"/>
          <w:szCs w:val="26"/>
        </w:rPr>
        <w:t xml:space="preserve">. </w:t>
      </w:r>
      <w:r w:rsidR="00557275" w:rsidRPr="003F6B95">
        <w:rPr>
          <w:rFonts w:cs="Arial"/>
          <w:sz w:val="26"/>
          <w:szCs w:val="26"/>
        </w:rPr>
        <w:t>Con base en esta</w:t>
      </w:r>
      <w:r w:rsidR="007C317A" w:rsidRPr="003F6B95">
        <w:rPr>
          <w:rFonts w:cs="Arial"/>
          <w:sz w:val="26"/>
          <w:szCs w:val="26"/>
        </w:rPr>
        <w:t xml:space="preserve"> aclaración</w:t>
      </w:r>
      <w:r w:rsidR="00557275" w:rsidRPr="003F6B95">
        <w:rPr>
          <w:rFonts w:cs="Arial"/>
          <w:sz w:val="26"/>
          <w:szCs w:val="26"/>
        </w:rPr>
        <w:t xml:space="preserve">, </w:t>
      </w:r>
      <w:r w:rsidR="0086403C" w:rsidRPr="003F6B95">
        <w:rPr>
          <w:rFonts w:cs="Arial"/>
          <w:sz w:val="26"/>
          <w:szCs w:val="26"/>
        </w:rPr>
        <w:t>estudiaremos</w:t>
      </w:r>
      <w:r w:rsidR="00557275" w:rsidRPr="003F6B95">
        <w:rPr>
          <w:rFonts w:cs="Arial"/>
          <w:sz w:val="26"/>
          <w:szCs w:val="26"/>
        </w:rPr>
        <w:t xml:space="preserve"> integralmente los conceptos de violación de la</w:t>
      </w:r>
      <w:r w:rsidR="001B6FD9" w:rsidRPr="003F6B95">
        <w:rPr>
          <w:rFonts w:cs="Arial"/>
          <w:sz w:val="26"/>
          <w:szCs w:val="26"/>
        </w:rPr>
        <w:t xml:space="preserve">s </w:t>
      </w:r>
      <w:r w:rsidR="00557275" w:rsidRPr="003F6B95">
        <w:rPr>
          <w:rFonts w:cs="Arial"/>
          <w:sz w:val="26"/>
          <w:szCs w:val="26"/>
        </w:rPr>
        <w:t>quejosa</w:t>
      </w:r>
      <w:r w:rsidR="001B6FD9" w:rsidRPr="003F6B95">
        <w:rPr>
          <w:rFonts w:cs="Arial"/>
          <w:sz w:val="26"/>
          <w:szCs w:val="26"/>
        </w:rPr>
        <w:t>s</w:t>
      </w:r>
      <w:r w:rsidR="00CF102C" w:rsidRPr="003F6B95">
        <w:rPr>
          <w:rFonts w:cs="Arial"/>
          <w:sz w:val="26"/>
          <w:szCs w:val="26"/>
        </w:rPr>
        <w:t xml:space="preserve">, </w:t>
      </w:r>
      <w:r w:rsidR="00452F8F" w:rsidRPr="003F6B95">
        <w:rPr>
          <w:rFonts w:cs="Arial"/>
          <w:sz w:val="26"/>
          <w:szCs w:val="26"/>
        </w:rPr>
        <w:t>para determinar</w:t>
      </w:r>
      <w:r w:rsidR="00CF102C" w:rsidRPr="003F6B95">
        <w:rPr>
          <w:rFonts w:cs="Arial"/>
          <w:sz w:val="26"/>
          <w:szCs w:val="26"/>
        </w:rPr>
        <w:t xml:space="preserve"> si la sala responsable omitió juzgar </w:t>
      </w:r>
      <w:r>
        <w:rPr>
          <w:rFonts w:cs="Arial"/>
          <w:sz w:val="26"/>
          <w:szCs w:val="26"/>
        </w:rPr>
        <w:t xml:space="preserve">el caso </w:t>
      </w:r>
      <w:r w:rsidR="00CF102C" w:rsidRPr="003F6B95">
        <w:rPr>
          <w:rFonts w:cs="Arial"/>
          <w:sz w:val="26"/>
          <w:szCs w:val="26"/>
        </w:rPr>
        <w:t>con perspectiva de género</w:t>
      </w:r>
      <w:r>
        <w:rPr>
          <w:rFonts w:cs="Arial"/>
          <w:sz w:val="26"/>
          <w:szCs w:val="26"/>
        </w:rPr>
        <w:t>.</w:t>
      </w:r>
    </w:p>
    <w:p w14:paraId="36D7DB04" w14:textId="77777777" w:rsidR="009C75AB" w:rsidRPr="003F6B95" w:rsidRDefault="009C75AB" w:rsidP="00202722">
      <w:pPr>
        <w:spacing w:line="360" w:lineRule="auto"/>
        <w:rPr>
          <w:rFonts w:ascii="Arial" w:hAnsi="Arial" w:cs="Arial"/>
          <w:sz w:val="26"/>
          <w:szCs w:val="26"/>
        </w:rPr>
      </w:pPr>
    </w:p>
    <w:p w14:paraId="11F9F2CA" w14:textId="657AD1CF" w:rsidR="009C75AB" w:rsidRPr="003F6B95" w:rsidRDefault="009C75AB" w:rsidP="00920CAD">
      <w:pPr>
        <w:pStyle w:val="corte4fondo"/>
        <w:numPr>
          <w:ilvl w:val="0"/>
          <w:numId w:val="2"/>
        </w:numPr>
        <w:ind w:left="0" w:right="51" w:hanging="567"/>
        <w:rPr>
          <w:rFonts w:cs="Arial"/>
          <w:sz w:val="26"/>
          <w:szCs w:val="26"/>
          <w:lang w:val="es-MX"/>
        </w:rPr>
      </w:pPr>
      <w:r w:rsidRPr="003F6B95">
        <w:rPr>
          <w:rFonts w:cs="Arial"/>
          <w:sz w:val="26"/>
          <w:szCs w:val="26"/>
          <w:lang w:val="es-MX"/>
        </w:rPr>
        <w:t xml:space="preserve">Para </w:t>
      </w:r>
      <w:r w:rsidR="002B6D37">
        <w:rPr>
          <w:rFonts w:cs="Arial"/>
          <w:sz w:val="26"/>
          <w:szCs w:val="26"/>
          <w:lang w:val="es-MX"/>
        </w:rPr>
        <w:t>llevar a cabo lo</w:t>
      </w:r>
      <w:r w:rsidR="00C76E66" w:rsidRPr="003F6B95">
        <w:rPr>
          <w:rFonts w:cs="Arial"/>
          <w:sz w:val="26"/>
          <w:szCs w:val="26"/>
          <w:lang w:val="es-MX"/>
        </w:rPr>
        <w:t xml:space="preserve"> anterior, </w:t>
      </w:r>
      <w:r w:rsidR="002B6D37">
        <w:rPr>
          <w:rFonts w:cs="Arial"/>
          <w:sz w:val="26"/>
          <w:szCs w:val="26"/>
          <w:lang w:val="es-MX"/>
        </w:rPr>
        <w:t>desarrollaremos</w:t>
      </w:r>
      <w:r w:rsidRPr="003F6B95">
        <w:rPr>
          <w:rFonts w:cs="Arial"/>
          <w:sz w:val="26"/>
          <w:szCs w:val="26"/>
          <w:lang w:val="es-MX"/>
        </w:rPr>
        <w:t xml:space="preserve"> </w:t>
      </w:r>
      <w:r w:rsidR="00CB6FC5" w:rsidRPr="003F6B95">
        <w:rPr>
          <w:rFonts w:cs="Arial"/>
          <w:sz w:val="26"/>
          <w:szCs w:val="26"/>
          <w:lang w:val="es-MX"/>
        </w:rPr>
        <w:t xml:space="preserve">las </w:t>
      </w:r>
      <w:r w:rsidR="00DD0DDD" w:rsidRPr="003F6B95">
        <w:rPr>
          <w:rFonts w:cs="Arial"/>
          <w:sz w:val="26"/>
          <w:szCs w:val="26"/>
          <w:lang w:val="es-MX"/>
        </w:rPr>
        <w:t>características</w:t>
      </w:r>
      <w:r w:rsidRPr="003F6B95">
        <w:rPr>
          <w:rFonts w:cs="Arial"/>
          <w:sz w:val="26"/>
          <w:szCs w:val="26"/>
          <w:lang w:val="es-MX"/>
        </w:rPr>
        <w:t xml:space="preserve"> del procedimiento de conciliación que se sigue ante el COPRED</w:t>
      </w:r>
      <w:r w:rsidR="00202722" w:rsidRPr="003F6B95">
        <w:rPr>
          <w:rFonts w:cs="Arial"/>
          <w:sz w:val="26"/>
          <w:szCs w:val="26"/>
          <w:lang w:val="es-MX"/>
        </w:rPr>
        <w:t xml:space="preserve">. A </w:t>
      </w:r>
      <w:r w:rsidRPr="003F6B95">
        <w:rPr>
          <w:rFonts w:cs="Arial"/>
          <w:sz w:val="26"/>
          <w:szCs w:val="26"/>
          <w:lang w:val="es-MX"/>
        </w:rPr>
        <w:t xml:space="preserve">partir </w:t>
      </w:r>
      <w:r w:rsidR="00202722" w:rsidRPr="003F6B95">
        <w:rPr>
          <w:rFonts w:cs="Arial"/>
          <w:sz w:val="26"/>
          <w:szCs w:val="26"/>
          <w:lang w:val="es-MX"/>
        </w:rPr>
        <w:t>ello,</w:t>
      </w:r>
      <w:r w:rsidRPr="003F6B95">
        <w:rPr>
          <w:rFonts w:cs="Arial"/>
          <w:sz w:val="26"/>
          <w:szCs w:val="26"/>
          <w:lang w:val="es-MX"/>
        </w:rPr>
        <w:t xml:space="preserve"> </w:t>
      </w:r>
      <w:r w:rsidR="002B6D37">
        <w:rPr>
          <w:rFonts w:cs="Arial"/>
          <w:sz w:val="26"/>
          <w:szCs w:val="26"/>
          <w:lang w:val="es-MX"/>
        </w:rPr>
        <w:t xml:space="preserve">definiremos </w:t>
      </w:r>
      <w:r w:rsidRPr="003F6B95">
        <w:rPr>
          <w:rFonts w:cs="Arial"/>
          <w:sz w:val="26"/>
          <w:szCs w:val="26"/>
          <w:lang w:val="es-MX"/>
        </w:rPr>
        <w:t xml:space="preserve">cuál es el valor probatorio que se le puede otorgar y su posible alcance respecto </w:t>
      </w:r>
      <w:r w:rsidR="00845A73" w:rsidRPr="003F6B95">
        <w:rPr>
          <w:rFonts w:cs="Arial"/>
          <w:sz w:val="26"/>
          <w:szCs w:val="26"/>
          <w:lang w:val="es-MX"/>
        </w:rPr>
        <w:t>de</w:t>
      </w:r>
      <w:r w:rsidRPr="003F6B95">
        <w:rPr>
          <w:rFonts w:cs="Arial"/>
          <w:sz w:val="26"/>
          <w:szCs w:val="26"/>
          <w:lang w:val="es-MX"/>
        </w:rPr>
        <w:t xml:space="preserve"> la acreditación de los hechos </w:t>
      </w:r>
      <w:r w:rsidR="00845A73" w:rsidRPr="003F6B95">
        <w:rPr>
          <w:rFonts w:cs="Arial"/>
          <w:sz w:val="26"/>
          <w:szCs w:val="26"/>
          <w:lang w:val="es-MX"/>
        </w:rPr>
        <w:t xml:space="preserve">alegados </w:t>
      </w:r>
      <w:r w:rsidR="00E142C5">
        <w:rPr>
          <w:rFonts w:cs="Arial"/>
          <w:sz w:val="26"/>
          <w:szCs w:val="26"/>
          <w:lang w:val="es-MX"/>
        </w:rPr>
        <w:t>como</w:t>
      </w:r>
      <w:r w:rsidR="00E142C5" w:rsidRPr="003F6B95">
        <w:rPr>
          <w:rFonts w:cs="Arial"/>
          <w:sz w:val="26"/>
          <w:szCs w:val="26"/>
          <w:lang w:val="es-MX"/>
        </w:rPr>
        <w:t xml:space="preserve"> </w:t>
      </w:r>
      <w:r w:rsidRPr="003F6B95">
        <w:rPr>
          <w:rFonts w:cs="Arial"/>
          <w:sz w:val="26"/>
          <w:szCs w:val="26"/>
          <w:lang w:val="es-MX"/>
        </w:rPr>
        <w:t xml:space="preserve">discriminatorios. </w:t>
      </w:r>
    </w:p>
    <w:p w14:paraId="59ACFAB2" w14:textId="77777777" w:rsidR="00095319" w:rsidRPr="003F6B95" w:rsidRDefault="00095319" w:rsidP="009A2B2D">
      <w:pPr>
        <w:pStyle w:val="corte4fondo"/>
        <w:ind w:right="51" w:firstLine="0"/>
        <w:rPr>
          <w:rFonts w:cs="Arial"/>
          <w:sz w:val="26"/>
          <w:szCs w:val="26"/>
        </w:rPr>
      </w:pPr>
    </w:p>
    <w:p w14:paraId="25595AB8" w14:textId="6A6DF03C" w:rsidR="00140967" w:rsidRPr="00285AA7" w:rsidRDefault="00140967" w:rsidP="004A37BC">
      <w:pPr>
        <w:pStyle w:val="corte4fondo"/>
        <w:spacing w:after="240"/>
        <w:ind w:right="51" w:firstLine="0"/>
        <w:rPr>
          <w:rFonts w:cs="Arial"/>
          <w:sz w:val="26"/>
          <w:szCs w:val="26"/>
        </w:rPr>
      </w:pPr>
      <w:r w:rsidRPr="00285AA7">
        <w:rPr>
          <w:rFonts w:cs="Arial"/>
          <w:sz w:val="26"/>
          <w:szCs w:val="26"/>
        </w:rPr>
        <w:t xml:space="preserve">A. </w:t>
      </w:r>
      <w:r w:rsidR="00981493" w:rsidRPr="00285AA7">
        <w:rPr>
          <w:rFonts w:cs="Arial"/>
          <w:sz w:val="26"/>
          <w:szCs w:val="26"/>
        </w:rPr>
        <w:t>C</w:t>
      </w:r>
      <w:r w:rsidRPr="00285AA7">
        <w:rPr>
          <w:rFonts w:cs="Arial"/>
          <w:sz w:val="26"/>
          <w:szCs w:val="26"/>
        </w:rPr>
        <w:t xml:space="preserve">onciliación </w:t>
      </w:r>
      <w:r w:rsidR="00261876" w:rsidRPr="00285AA7">
        <w:rPr>
          <w:rFonts w:cs="Arial"/>
          <w:sz w:val="26"/>
          <w:szCs w:val="26"/>
        </w:rPr>
        <w:t xml:space="preserve">realizada </w:t>
      </w:r>
      <w:r w:rsidRPr="00285AA7">
        <w:rPr>
          <w:rFonts w:cs="Arial"/>
          <w:sz w:val="26"/>
          <w:szCs w:val="26"/>
        </w:rPr>
        <w:t>ante el COPRED</w:t>
      </w:r>
    </w:p>
    <w:p w14:paraId="5331F863" w14:textId="77777777" w:rsidR="00095319" w:rsidRPr="003F6B95" w:rsidRDefault="00EA33DE" w:rsidP="00B8459F">
      <w:pPr>
        <w:pStyle w:val="corte4fondo"/>
        <w:spacing w:after="240"/>
        <w:ind w:right="51" w:firstLine="0"/>
        <w:rPr>
          <w:rFonts w:cs="Arial"/>
          <w:i/>
          <w:iCs/>
          <w:sz w:val="26"/>
          <w:szCs w:val="26"/>
          <w:lang w:val="es-MX"/>
        </w:rPr>
      </w:pPr>
      <w:r w:rsidRPr="003F6B95">
        <w:rPr>
          <w:rFonts w:cs="Arial"/>
          <w:i/>
          <w:iCs/>
          <w:sz w:val="26"/>
          <w:szCs w:val="26"/>
          <w:lang w:val="es-MX"/>
        </w:rPr>
        <w:t xml:space="preserve">a. </w:t>
      </w:r>
      <w:r w:rsidR="00DD0DDD">
        <w:rPr>
          <w:rFonts w:cs="Arial"/>
          <w:i/>
          <w:iCs/>
          <w:sz w:val="26"/>
          <w:szCs w:val="26"/>
          <w:lang w:val="es-MX"/>
        </w:rPr>
        <w:t xml:space="preserve">Características </w:t>
      </w:r>
      <w:r w:rsidR="009C75AB" w:rsidRPr="003F6B95">
        <w:rPr>
          <w:rFonts w:cs="Arial"/>
          <w:i/>
          <w:iCs/>
          <w:sz w:val="26"/>
          <w:szCs w:val="26"/>
          <w:lang w:val="es-MX"/>
        </w:rPr>
        <w:t>del proceso de conciliación</w:t>
      </w:r>
    </w:p>
    <w:p w14:paraId="3F12D24B" w14:textId="3F8FFC2A" w:rsidR="009C75AB" w:rsidRPr="00812A16" w:rsidRDefault="001E7D91" w:rsidP="00812A16">
      <w:pPr>
        <w:pStyle w:val="corte4fondo"/>
        <w:numPr>
          <w:ilvl w:val="0"/>
          <w:numId w:val="2"/>
        </w:numPr>
        <w:tabs>
          <w:tab w:val="left" w:pos="0"/>
        </w:tabs>
        <w:ind w:left="0" w:right="51" w:hanging="567"/>
        <w:rPr>
          <w:rFonts w:cs="Arial"/>
          <w:sz w:val="26"/>
          <w:szCs w:val="26"/>
          <w:u w:val="single"/>
        </w:rPr>
      </w:pPr>
      <w:r>
        <w:rPr>
          <w:rFonts w:cs="Arial"/>
          <w:sz w:val="26"/>
          <w:szCs w:val="26"/>
          <w:lang w:val="es-MX"/>
        </w:rPr>
        <w:t>Como se advierte de la legislación aplicab</w:t>
      </w:r>
      <w:r w:rsidRPr="00812A16">
        <w:rPr>
          <w:rFonts w:cs="Arial"/>
          <w:sz w:val="26"/>
          <w:szCs w:val="26"/>
          <w:lang w:val="es-MX"/>
        </w:rPr>
        <w:t>le</w:t>
      </w:r>
      <w:r w:rsidR="00812A16" w:rsidRPr="00812A16">
        <w:rPr>
          <w:rStyle w:val="Refdenotaalpie"/>
          <w:rFonts w:cs="Arial"/>
          <w:sz w:val="26"/>
          <w:szCs w:val="26"/>
        </w:rPr>
        <w:footnoteReference w:id="46"/>
      </w:r>
      <w:r w:rsidRPr="00812A16">
        <w:rPr>
          <w:rFonts w:cs="Arial"/>
          <w:sz w:val="26"/>
          <w:szCs w:val="26"/>
          <w:lang w:val="es-MX"/>
        </w:rPr>
        <w:t>, e</w:t>
      </w:r>
      <w:r w:rsidR="009C75AB" w:rsidRPr="00812A16">
        <w:rPr>
          <w:rFonts w:cs="Arial"/>
          <w:sz w:val="26"/>
          <w:szCs w:val="26"/>
          <w:lang w:val="es-MX"/>
        </w:rPr>
        <w:t>l COPR</w:t>
      </w:r>
      <w:r w:rsidR="009C75AB" w:rsidRPr="003F6B95">
        <w:rPr>
          <w:rFonts w:cs="Arial"/>
          <w:sz w:val="26"/>
          <w:szCs w:val="26"/>
          <w:lang w:val="es-MX"/>
        </w:rPr>
        <w:t>ED es un organismo descentralizado y sectorizado de la Secretaría de Inclusión y Bienestar de la Ciudad de México</w:t>
      </w:r>
      <w:r w:rsidR="00F03728" w:rsidRPr="003F6B95">
        <w:rPr>
          <w:rFonts w:cs="Arial"/>
          <w:sz w:val="26"/>
          <w:szCs w:val="26"/>
          <w:lang w:val="es-MX"/>
        </w:rPr>
        <w:t>. E</w:t>
      </w:r>
      <w:r w:rsidR="009C75AB" w:rsidRPr="003F6B95">
        <w:rPr>
          <w:rFonts w:cs="Arial"/>
          <w:sz w:val="26"/>
          <w:szCs w:val="26"/>
          <w:lang w:val="es-MX"/>
        </w:rPr>
        <w:t xml:space="preserve">ntre sus objetivos </w:t>
      </w:r>
      <w:r w:rsidR="00F03728" w:rsidRPr="003F6B95">
        <w:rPr>
          <w:rFonts w:cs="Arial"/>
          <w:sz w:val="26"/>
          <w:szCs w:val="26"/>
          <w:lang w:val="es-MX"/>
        </w:rPr>
        <w:t xml:space="preserve">tiene el de </w:t>
      </w:r>
      <w:r w:rsidR="009C75AB" w:rsidRPr="003F6B95">
        <w:rPr>
          <w:rFonts w:cs="Arial"/>
          <w:sz w:val="26"/>
          <w:szCs w:val="26"/>
          <w:lang w:val="es-MX"/>
        </w:rPr>
        <w:t>incidir en las políticas, acciones y programas en materia de prevención y eliminación de la discriminación en la Ciudad de México, así como</w:t>
      </w:r>
      <w:r w:rsidR="00D972D0" w:rsidRPr="003F6B95">
        <w:rPr>
          <w:rFonts w:cs="Arial"/>
          <w:sz w:val="26"/>
          <w:szCs w:val="26"/>
          <w:lang w:val="es-MX"/>
        </w:rPr>
        <w:t xml:space="preserve"> de</w:t>
      </w:r>
      <w:r w:rsidR="009C75AB" w:rsidRPr="003F6B95">
        <w:rPr>
          <w:rFonts w:cs="Arial"/>
          <w:sz w:val="26"/>
          <w:szCs w:val="26"/>
          <w:lang w:val="es-MX"/>
        </w:rPr>
        <w:t xml:space="preserve"> dar trámite a los procedimientos de reclamación y quejas sobre posibles hechos discriminatorios cometidos por autoridades locales</w:t>
      </w:r>
      <w:r w:rsidR="00D972D0" w:rsidRPr="003F6B95">
        <w:rPr>
          <w:rFonts w:cs="Arial"/>
          <w:sz w:val="26"/>
          <w:szCs w:val="26"/>
          <w:lang w:val="es-MX"/>
        </w:rPr>
        <w:t xml:space="preserve"> o</w:t>
      </w:r>
      <w:r w:rsidR="009C75AB" w:rsidRPr="003F6B95">
        <w:rPr>
          <w:rFonts w:cs="Arial"/>
          <w:sz w:val="26"/>
          <w:szCs w:val="26"/>
          <w:lang w:val="es-MX"/>
        </w:rPr>
        <w:t xml:space="preserve"> por personas físicas o morales en la Ciudad de México</w:t>
      </w:r>
      <w:r w:rsidR="009C75AB" w:rsidRPr="003F6B95">
        <w:rPr>
          <w:rStyle w:val="Refdenotaalpie"/>
          <w:rFonts w:cs="Arial"/>
          <w:sz w:val="26"/>
          <w:szCs w:val="26"/>
          <w:lang w:val="es-MX"/>
        </w:rPr>
        <w:footnoteReference w:id="47"/>
      </w:r>
      <w:r w:rsidR="009C75AB" w:rsidRPr="003F6B95">
        <w:rPr>
          <w:rFonts w:cs="Arial"/>
          <w:sz w:val="26"/>
          <w:szCs w:val="26"/>
          <w:lang w:val="es-MX"/>
        </w:rPr>
        <w:t>.</w:t>
      </w:r>
    </w:p>
    <w:p w14:paraId="501A6967" w14:textId="77777777" w:rsidR="009C75AB" w:rsidRPr="003F6B95" w:rsidRDefault="009C75AB" w:rsidP="009A2B2D">
      <w:pPr>
        <w:pStyle w:val="corte4fondo"/>
        <w:ind w:right="51" w:firstLine="0"/>
        <w:rPr>
          <w:rFonts w:cs="Arial"/>
          <w:sz w:val="26"/>
          <w:szCs w:val="26"/>
        </w:rPr>
      </w:pPr>
    </w:p>
    <w:p w14:paraId="204A6C50" w14:textId="77777777" w:rsidR="009C75AB" w:rsidRPr="003F6B95" w:rsidRDefault="009C75AB" w:rsidP="009C75AB">
      <w:pPr>
        <w:pStyle w:val="corte4fondo"/>
        <w:numPr>
          <w:ilvl w:val="0"/>
          <w:numId w:val="2"/>
        </w:numPr>
        <w:tabs>
          <w:tab w:val="left" w:pos="0"/>
        </w:tabs>
        <w:ind w:left="0" w:right="51" w:hanging="567"/>
        <w:rPr>
          <w:rFonts w:cs="Arial"/>
          <w:iCs/>
          <w:color w:val="000000"/>
          <w:sz w:val="26"/>
          <w:szCs w:val="26"/>
          <w:bdr w:val="none" w:sz="0" w:space="0" w:color="auto" w:frame="1"/>
          <w:shd w:val="clear" w:color="auto" w:fill="FFFFFF"/>
          <w:lang w:val="es-CO"/>
        </w:rPr>
      </w:pPr>
      <w:r w:rsidRPr="003F6B95">
        <w:rPr>
          <w:rFonts w:cs="Arial"/>
          <w:sz w:val="26"/>
          <w:szCs w:val="26"/>
          <w:lang w:val="es-MX"/>
        </w:rPr>
        <w:t>Tanto la Ley para Prevenir y Eliminar la Discriminación del Distrito Federal, como el Estatuto Orgánic</w:t>
      </w:r>
      <w:r w:rsidR="00F23587" w:rsidRPr="003F6B95">
        <w:rPr>
          <w:rFonts w:cs="Arial"/>
          <w:sz w:val="26"/>
          <w:szCs w:val="26"/>
          <w:lang w:val="es-MX"/>
        </w:rPr>
        <w:t>o</w:t>
      </w:r>
      <w:r w:rsidRPr="003F6B95">
        <w:rPr>
          <w:rFonts w:cs="Arial"/>
          <w:sz w:val="26"/>
          <w:szCs w:val="26"/>
          <w:lang w:val="es-MX"/>
        </w:rPr>
        <w:t xml:space="preserve"> de</w:t>
      </w:r>
      <w:r w:rsidR="0033078B" w:rsidRPr="003F6B95">
        <w:rPr>
          <w:rFonts w:cs="Arial"/>
          <w:sz w:val="26"/>
          <w:szCs w:val="26"/>
          <w:lang w:val="es-MX"/>
        </w:rPr>
        <w:t>l</w:t>
      </w:r>
      <w:r w:rsidRPr="003F6B95">
        <w:rPr>
          <w:rFonts w:cs="Arial"/>
          <w:sz w:val="26"/>
          <w:szCs w:val="26"/>
          <w:lang w:val="es-MX"/>
        </w:rPr>
        <w:t xml:space="preserve"> COPRED </w:t>
      </w:r>
      <w:r w:rsidR="008D2B03" w:rsidRPr="003F6B95">
        <w:rPr>
          <w:rFonts w:cs="Arial"/>
          <w:sz w:val="26"/>
          <w:szCs w:val="26"/>
        </w:rPr>
        <w:t>–</w:t>
      </w:r>
      <w:r w:rsidRPr="003F6B95">
        <w:rPr>
          <w:rFonts w:cs="Arial"/>
          <w:sz w:val="26"/>
          <w:szCs w:val="26"/>
          <w:lang w:val="es-MX"/>
        </w:rPr>
        <w:t>vigente al momento en que inició la queja que dio origen a la presente controversia</w:t>
      </w:r>
      <w:r w:rsidR="008D2B03" w:rsidRPr="003F6B95">
        <w:rPr>
          <w:rFonts w:cs="Arial"/>
          <w:sz w:val="26"/>
          <w:szCs w:val="26"/>
        </w:rPr>
        <w:t>–</w:t>
      </w:r>
      <w:r w:rsidRPr="003F6B95">
        <w:rPr>
          <w:rFonts w:cs="Arial"/>
          <w:sz w:val="26"/>
          <w:szCs w:val="26"/>
          <w:lang w:val="es-MX"/>
        </w:rPr>
        <w:t xml:space="preserve">, reconocen su competencia para implementar procesos de conciliación respecto de presuntas conductas discriminatorias atribuidas a personas físicas o </w:t>
      </w:r>
      <w:r w:rsidRPr="003F6B95">
        <w:rPr>
          <w:rFonts w:cs="Arial"/>
          <w:sz w:val="26"/>
          <w:szCs w:val="26"/>
          <w:lang w:val="es-MX"/>
        </w:rPr>
        <w:lastRenderedPageBreak/>
        <w:t>morales</w:t>
      </w:r>
      <w:r w:rsidRPr="003F6B95">
        <w:rPr>
          <w:rStyle w:val="Refdenotaalpie"/>
          <w:rFonts w:cs="Arial"/>
          <w:sz w:val="26"/>
          <w:szCs w:val="26"/>
          <w:lang w:val="es-MX"/>
        </w:rPr>
        <w:footnoteReference w:id="48"/>
      </w:r>
      <w:r w:rsidRPr="003F6B95">
        <w:rPr>
          <w:rFonts w:cs="Arial"/>
          <w:sz w:val="26"/>
          <w:szCs w:val="26"/>
          <w:lang w:val="es-MX"/>
        </w:rPr>
        <w:t xml:space="preserve">. Cuando las partes lo soliciten, </w:t>
      </w:r>
      <w:r w:rsidRPr="003F6B95">
        <w:rPr>
          <w:rFonts w:cs="Arial"/>
          <w:iCs/>
          <w:color w:val="000000"/>
          <w:sz w:val="26"/>
          <w:szCs w:val="26"/>
          <w:bdr w:val="none" w:sz="0" w:space="0" w:color="auto" w:frame="1"/>
          <w:shd w:val="clear" w:color="auto" w:fill="FFFFFF"/>
          <w:lang w:val="es-CO"/>
        </w:rPr>
        <w:t>el COPRED podrá concertar un procedimiento de conciliación con el objetivo de convenir los intereses en conflicto. El personal del COPRED que dirija tal procedimiento tendrá el carácter de conciliador y podrá exhortar a las partes a resolver sus diferencias, así como proponer posibles soluciones</w:t>
      </w:r>
      <w:r w:rsidRPr="003F6B95">
        <w:rPr>
          <w:rStyle w:val="Refdenotaalpie"/>
          <w:rFonts w:cs="Arial"/>
          <w:sz w:val="26"/>
          <w:szCs w:val="26"/>
          <w:lang w:val="es-MX"/>
        </w:rPr>
        <w:footnoteReference w:id="49"/>
      </w:r>
      <w:r w:rsidRPr="003F6B95">
        <w:rPr>
          <w:rFonts w:cs="Arial"/>
          <w:iCs/>
          <w:color w:val="000000"/>
          <w:sz w:val="26"/>
          <w:szCs w:val="26"/>
          <w:bdr w:val="none" w:sz="0" w:space="0" w:color="auto" w:frame="1"/>
          <w:shd w:val="clear" w:color="auto" w:fill="FFFFFF"/>
          <w:lang w:val="es-CO"/>
        </w:rPr>
        <w:t xml:space="preserve">. </w:t>
      </w:r>
    </w:p>
    <w:p w14:paraId="6229EF02" w14:textId="77777777" w:rsidR="009C75AB" w:rsidRPr="003F6B95" w:rsidRDefault="009C75AB" w:rsidP="009A2B2D">
      <w:pPr>
        <w:pStyle w:val="corte4fondo"/>
        <w:ind w:right="51" w:firstLine="0"/>
        <w:rPr>
          <w:rFonts w:cs="Arial"/>
          <w:iCs/>
          <w:color w:val="000000"/>
          <w:sz w:val="26"/>
          <w:szCs w:val="26"/>
          <w:bdr w:val="none" w:sz="0" w:space="0" w:color="auto" w:frame="1"/>
          <w:shd w:val="clear" w:color="auto" w:fill="FFFFFF"/>
          <w:lang w:val="es-CO"/>
        </w:rPr>
      </w:pPr>
    </w:p>
    <w:p w14:paraId="7DC31789" w14:textId="77777777" w:rsidR="009C75AB" w:rsidRPr="003F6B95" w:rsidRDefault="008E25EC" w:rsidP="009C75AB">
      <w:pPr>
        <w:pStyle w:val="corte4fondo"/>
        <w:numPr>
          <w:ilvl w:val="0"/>
          <w:numId w:val="2"/>
        </w:numPr>
        <w:tabs>
          <w:tab w:val="left" w:pos="0"/>
        </w:tabs>
        <w:ind w:left="0" w:right="51" w:hanging="567"/>
        <w:rPr>
          <w:rFonts w:cs="Arial"/>
          <w:iCs/>
          <w:color w:val="000000"/>
          <w:sz w:val="26"/>
          <w:szCs w:val="26"/>
          <w:bdr w:val="none" w:sz="0" w:space="0" w:color="auto" w:frame="1"/>
          <w:shd w:val="clear" w:color="auto" w:fill="FFFFFF"/>
          <w:lang w:val="es-CO"/>
        </w:rPr>
      </w:pPr>
      <w:r w:rsidRPr="003F6B95">
        <w:rPr>
          <w:rFonts w:cs="Arial"/>
          <w:iCs/>
          <w:color w:val="000000"/>
          <w:sz w:val="26"/>
          <w:szCs w:val="26"/>
          <w:bdr w:val="none" w:sz="0" w:space="0" w:color="auto" w:frame="1"/>
          <w:shd w:val="clear" w:color="auto" w:fill="FFFFFF"/>
          <w:lang w:val="es-CO"/>
        </w:rPr>
        <w:t>Ahora, esta Primera Sala destaca que e</w:t>
      </w:r>
      <w:r w:rsidR="009C75AB" w:rsidRPr="003F6B95">
        <w:rPr>
          <w:rFonts w:cs="Arial"/>
          <w:iCs/>
          <w:color w:val="000000"/>
          <w:sz w:val="26"/>
          <w:szCs w:val="26"/>
          <w:bdr w:val="none" w:sz="0" w:space="0" w:color="auto" w:frame="1"/>
          <w:shd w:val="clear" w:color="auto" w:fill="FFFFFF"/>
          <w:lang w:val="es-CO"/>
        </w:rPr>
        <w:t>l procedimiento de conciliación seguido ante el CO</w:t>
      </w:r>
      <w:r w:rsidR="009C75AB" w:rsidRPr="00A37692">
        <w:rPr>
          <w:rFonts w:cs="Arial"/>
          <w:iCs/>
          <w:color w:val="000000"/>
          <w:sz w:val="26"/>
          <w:szCs w:val="26"/>
          <w:bdr w:val="none" w:sz="0" w:space="0" w:color="auto" w:frame="1"/>
          <w:shd w:val="clear" w:color="auto" w:fill="FFFFFF"/>
          <w:lang w:val="es-CO"/>
        </w:rPr>
        <w:t xml:space="preserve">PRED </w:t>
      </w:r>
      <w:r w:rsidR="00A37692" w:rsidRPr="00F817E4">
        <w:rPr>
          <w:rFonts w:cs="Arial"/>
          <w:color w:val="000000"/>
          <w:sz w:val="26"/>
          <w:szCs w:val="26"/>
          <w:bdr w:val="none" w:sz="0" w:space="0" w:color="auto" w:frame="1"/>
          <w:shd w:val="clear" w:color="auto" w:fill="FFFFFF"/>
          <w:lang w:val="es-CO"/>
        </w:rPr>
        <w:t>funge como</w:t>
      </w:r>
      <w:r w:rsidR="009C75AB" w:rsidRPr="00F817E4">
        <w:rPr>
          <w:rFonts w:cs="Arial"/>
          <w:color w:val="000000"/>
          <w:sz w:val="26"/>
          <w:szCs w:val="26"/>
          <w:bdr w:val="none" w:sz="0" w:space="0" w:color="auto" w:frame="1"/>
          <w:shd w:val="clear" w:color="auto" w:fill="FFFFFF"/>
          <w:lang w:val="es-CO"/>
        </w:rPr>
        <w:t xml:space="preserve"> un mecanismo alternativ</w:t>
      </w:r>
      <w:r w:rsidR="00EF6B43" w:rsidRPr="00F817E4">
        <w:rPr>
          <w:rFonts w:cs="Arial"/>
          <w:color w:val="000000"/>
          <w:sz w:val="26"/>
          <w:szCs w:val="26"/>
          <w:bdr w:val="none" w:sz="0" w:space="0" w:color="auto" w:frame="1"/>
          <w:shd w:val="clear" w:color="auto" w:fill="FFFFFF"/>
          <w:lang w:val="es-CO"/>
        </w:rPr>
        <w:t>o</w:t>
      </w:r>
      <w:r w:rsidR="009C75AB" w:rsidRPr="00F817E4">
        <w:rPr>
          <w:rFonts w:cs="Arial"/>
          <w:color w:val="000000"/>
          <w:sz w:val="26"/>
          <w:szCs w:val="26"/>
          <w:bdr w:val="none" w:sz="0" w:space="0" w:color="auto" w:frame="1"/>
          <w:shd w:val="clear" w:color="auto" w:fill="FFFFFF"/>
          <w:lang w:val="es-CO"/>
        </w:rPr>
        <w:t xml:space="preserve"> de </w:t>
      </w:r>
      <w:r w:rsidR="009342F7" w:rsidRPr="00F817E4">
        <w:rPr>
          <w:rFonts w:cs="Arial"/>
          <w:color w:val="000000"/>
          <w:sz w:val="26"/>
          <w:szCs w:val="26"/>
          <w:bdr w:val="none" w:sz="0" w:space="0" w:color="auto" w:frame="1"/>
          <w:shd w:val="clear" w:color="auto" w:fill="FFFFFF"/>
          <w:lang w:val="es-CO"/>
        </w:rPr>
        <w:t xml:space="preserve">solución de </w:t>
      </w:r>
      <w:r w:rsidR="009C75AB" w:rsidRPr="00F817E4">
        <w:rPr>
          <w:rFonts w:cs="Arial"/>
          <w:color w:val="000000"/>
          <w:sz w:val="26"/>
          <w:szCs w:val="26"/>
          <w:bdr w:val="none" w:sz="0" w:space="0" w:color="auto" w:frame="1"/>
          <w:shd w:val="clear" w:color="auto" w:fill="FFFFFF"/>
          <w:lang w:val="es-CO"/>
        </w:rPr>
        <w:t>conflictos</w:t>
      </w:r>
      <w:r w:rsidR="009C75AB" w:rsidRPr="00A37692">
        <w:rPr>
          <w:rFonts w:cs="Arial"/>
          <w:iCs/>
          <w:color w:val="000000"/>
          <w:sz w:val="26"/>
          <w:szCs w:val="26"/>
          <w:bdr w:val="none" w:sz="0" w:space="0" w:color="auto" w:frame="1"/>
          <w:shd w:val="clear" w:color="auto" w:fill="FFFFFF"/>
          <w:lang w:val="es-CO"/>
        </w:rPr>
        <w:t>, que privilegia</w:t>
      </w:r>
      <w:r w:rsidR="009C75AB" w:rsidRPr="003F6B95">
        <w:rPr>
          <w:rFonts w:cs="Arial"/>
          <w:iCs/>
          <w:color w:val="000000"/>
          <w:sz w:val="26"/>
          <w:szCs w:val="26"/>
          <w:bdr w:val="none" w:sz="0" w:space="0" w:color="auto" w:frame="1"/>
          <w:shd w:val="clear" w:color="auto" w:fill="FFFFFF"/>
          <w:lang w:val="es-CO"/>
        </w:rPr>
        <w:t xml:space="preserve"> llegar a un acuerdo resarcitorio</w:t>
      </w:r>
      <w:r w:rsidR="00E37F61">
        <w:rPr>
          <w:rFonts w:cs="Arial"/>
          <w:color w:val="000000"/>
          <w:sz w:val="26"/>
          <w:szCs w:val="26"/>
          <w:bdr w:val="none" w:sz="0" w:space="0" w:color="auto" w:frame="1"/>
          <w:shd w:val="clear" w:color="auto" w:fill="FFFFFF"/>
          <w:lang w:val="es-CO"/>
        </w:rPr>
        <w:t>.</w:t>
      </w:r>
      <w:r w:rsidR="009C75AB" w:rsidRPr="003F6B95">
        <w:rPr>
          <w:rFonts w:cs="Arial"/>
          <w:iCs/>
          <w:color w:val="000000"/>
          <w:sz w:val="26"/>
          <w:szCs w:val="26"/>
          <w:bdr w:val="none" w:sz="0" w:space="0" w:color="auto" w:frame="1"/>
          <w:shd w:val="clear" w:color="auto" w:fill="FFFFFF"/>
          <w:lang w:val="es-CO"/>
        </w:rPr>
        <w:t xml:space="preserve"> Se trata de un procedimiento </w:t>
      </w:r>
      <w:r w:rsidR="00132697">
        <w:rPr>
          <w:rFonts w:cs="Arial"/>
          <w:iCs/>
          <w:color w:val="000000"/>
          <w:sz w:val="26"/>
          <w:szCs w:val="26"/>
          <w:bdr w:val="none" w:sz="0" w:space="0" w:color="auto" w:frame="1"/>
          <w:shd w:val="clear" w:color="auto" w:fill="FFFFFF"/>
          <w:lang w:val="es-CO"/>
        </w:rPr>
        <w:t>distinto</w:t>
      </w:r>
      <w:r w:rsidR="009C75AB" w:rsidRPr="003F6B95">
        <w:rPr>
          <w:rFonts w:cs="Arial"/>
          <w:iCs/>
          <w:color w:val="000000"/>
          <w:sz w:val="26"/>
          <w:szCs w:val="26"/>
          <w:bdr w:val="none" w:sz="0" w:space="0" w:color="auto" w:frame="1"/>
          <w:shd w:val="clear" w:color="auto" w:fill="FFFFFF"/>
          <w:lang w:val="es-CO"/>
        </w:rPr>
        <w:t xml:space="preserve"> de un proceso judicial</w:t>
      </w:r>
      <w:r w:rsidR="000575A1" w:rsidRPr="003F6B95">
        <w:rPr>
          <w:rFonts w:cs="Arial"/>
          <w:iCs/>
          <w:color w:val="000000"/>
          <w:sz w:val="26"/>
          <w:szCs w:val="26"/>
          <w:bdr w:val="none" w:sz="0" w:space="0" w:color="auto" w:frame="1"/>
          <w:shd w:val="clear" w:color="auto" w:fill="FFFFFF"/>
          <w:lang w:val="es-CO"/>
        </w:rPr>
        <w:t>, en el que e</w:t>
      </w:r>
      <w:r w:rsidR="009C75AB" w:rsidRPr="003F6B95">
        <w:rPr>
          <w:rFonts w:cs="Arial"/>
          <w:iCs/>
          <w:color w:val="000000"/>
          <w:sz w:val="26"/>
          <w:szCs w:val="26"/>
          <w:bdr w:val="none" w:sz="0" w:space="0" w:color="auto" w:frame="1"/>
          <w:shd w:val="clear" w:color="auto" w:fill="FFFFFF"/>
          <w:lang w:val="es-CO"/>
        </w:rPr>
        <w:t>l personal del COPRED interviene como un mediador y propiamente no emite una resolución, sino que guía la negociación p</w:t>
      </w:r>
      <w:r w:rsidR="009C75AB" w:rsidRPr="00090C76">
        <w:rPr>
          <w:rFonts w:cs="Arial"/>
          <w:iCs/>
          <w:color w:val="000000"/>
          <w:sz w:val="26"/>
          <w:szCs w:val="26"/>
          <w:bdr w:val="none" w:sz="0" w:space="0" w:color="auto" w:frame="1"/>
          <w:shd w:val="clear" w:color="auto" w:fill="FFFFFF"/>
          <w:lang w:val="es-CO"/>
        </w:rPr>
        <w:t xml:space="preserve">ara que las partes involucradas lleguen a un acuerdo. En consecuencia, cuando </w:t>
      </w:r>
      <w:r w:rsidR="00781B85">
        <w:rPr>
          <w:rFonts w:cs="Arial"/>
          <w:iCs/>
          <w:color w:val="000000"/>
          <w:sz w:val="26"/>
          <w:szCs w:val="26"/>
          <w:bdr w:val="none" w:sz="0" w:space="0" w:color="auto" w:frame="1"/>
          <w:shd w:val="clear" w:color="auto" w:fill="FFFFFF"/>
          <w:lang w:val="es-CO"/>
        </w:rPr>
        <w:t xml:space="preserve">las partes </w:t>
      </w:r>
      <w:r w:rsidR="009C75AB" w:rsidRPr="00090C76">
        <w:rPr>
          <w:rFonts w:cs="Arial"/>
          <w:iCs/>
          <w:color w:val="000000"/>
          <w:sz w:val="26"/>
          <w:szCs w:val="26"/>
          <w:bdr w:val="none" w:sz="0" w:space="0" w:color="auto" w:frame="1"/>
          <w:shd w:val="clear" w:color="auto" w:fill="FFFFFF"/>
          <w:lang w:val="es-CO"/>
        </w:rPr>
        <w:t>llegan a un acuerdo</w:t>
      </w:r>
      <w:r w:rsidR="00781B85">
        <w:rPr>
          <w:rFonts w:cs="Arial"/>
          <w:iCs/>
          <w:color w:val="000000"/>
          <w:sz w:val="26"/>
          <w:szCs w:val="26"/>
          <w:bdr w:val="none" w:sz="0" w:space="0" w:color="auto" w:frame="1"/>
          <w:shd w:val="clear" w:color="auto" w:fill="FFFFFF"/>
          <w:lang w:val="es-CO"/>
        </w:rPr>
        <w:t>,</w:t>
      </w:r>
      <w:r w:rsidR="009C75AB" w:rsidRPr="00090C76">
        <w:rPr>
          <w:rFonts w:cs="Arial"/>
          <w:iCs/>
          <w:color w:val="000000"/>
          <w:sz w:val="26"/>
          <w:szCs w:val="26"/>
          <w:bdr w:val="none" w:sz="0" w:space="0" w:color="auto" w:frame="1"/>
          <w:shd w:val="clear" w:color="auto" w:fill="FFFFFF"/>
          <w:lang w:val="es-CO"/>
        </w:rPr>
        <w:t xml:space="preserve"> se celebra un convenio cuya validez es revisada por</w:t>
      </w:r>
      <w:r w:rsidR="009C75AB" w:rsidRPr="003F6B95">
        <w:rPr>
          <w:rFonts w:cs="Arial"/>
          <w:iCs/>
          <w:color w:val="000000"/>
          <w:sz w:val="26"/>
          <w:szCs w:val="26"/>
          <w:bdr w:val="none" w:sz="0" w:space="0" w:color="auto" w:frame="1"/>
          <w:shd w:val="clear" w:color="auto" w:fill="FFFFFF"/>
          <w:lang w:val="es-CO"/>
        </w:rPr>
        <w:t xml:space="preserve"> el propio COPRED y, una vez aprobado, se emite y adquiere la calidad de cosa juzgada</w:t>
      </w:r>
      <w:r w:rsidR="009C75AB" w:rsidRPr="003F6B95">
        <w:rPr>
          <w:rStyle w:val="Refdenotaalpie"/>
          <w:rFonts w:cs="Arial"/>
          <w:iCs/>
          <w:color w:val="000000"/>
          <w:sz w:val="26"/>
          <w:szCs w:val="26"/>
          <w:bdr w:val="none" w:sz="0" w:space="0" w:color="auto" w:frame="1"/>
          <w:shd w:val="clear" w:color="auto" w:fill="FFFFFF"/>
          <w:lang w:val="es-CO"/>
        </w:rPr>
        <w:footnoteReference w:id="50"/>
      </w:r>
      <w:r w:rsidR="009C75AB" w:rsidRPr="003F6B95">
        <w:rPr>
          <w:rFonts w:cs="Arial"/>
          <w:iCs/>
          <w:color w:val="000000"/>
          <w:sz w:val="26"/>
          <w:szCs w:val="26"/>
          <w:bdr w:val="none" w:sz="0" w:space="0" w:color="auto" w:frame="1"/>
          <w:shd w:val="clear" w:color="auto" w:fill="FFFFFF"/>
          <w:lang w:val="es-CO"/>
        </w:rPr>
        <w:t>.</w:t>
      </w:r>
      <w:r w:rsidR="009C75AB" w:rsidRPr="003F6B95">
        <w:rPr>
          <w:rStyle w:val="Refdenotaalpie"/>
          <w:rFonts w:cs="Arial"/>
          <w:iCs/>
          <w:color w:val="000000"/>
          <w:sz w:val="26"/>
          <w:szCs w:val="26"/>
          <w:bdr w:val="none" w:sz="0" w:space="0" w:color="auto" w:frame="1"/>
          <w:shd w:val="clear" w:color="auto" w:fill="FFFFFF"/>
          <w:lang w:val="es-CO"/>
        </w:rPr>
        <w:t xml:space="preserve"> </w:t>
      </w:r>
    </w:p>
    <w:p w14:paraId="406ACD9E" w14:textId="77777777" w:rsidR="009C75AB" w:rsidRPr="003F6B95" w:rsidRDefault="009C75AB" w:rsidP="009A2B2D">
      <w:pPr>
        <w:pStyle w:val="corte4fondo"/>
        <w:ind w:right="51" w:firstLine="0"/>
        <w:rPr>
          <w:rFonts w:cs="Arial"/>
          <w:iCs/>
          <w:color w:val="000000"/>
          <w:sz w:val="26"/>
          <w:szCs w:val="26"/>
          <w:bdr w:val="none" w:sz="0" w:space="0" w:color="auto" w:frame="1"/>
          <w:shd w:val="clear" w:color="auto" w:fill="FFFFFF"/>
          <w:lang w:val="es-CO"/>
        </w:rPr>
      </w:pPr>
    </w:p>
    <w:p w14:paraId="5C5F0123" w14:textId="77777777" w:rsidR="009C75AB" w:rsidRPr="003F6B95" w:rsidRDefault="00812A16" w:rsidP="009C75AB">
      <w:pPr>
        <w:pStyle w:val="corte4fondo"/>
        <w:numPr>
          <w:ilvl w:val="0"/>
          <w:numId w:val="2"/>
        </w:numPr>
        <w:tabs>
          <w:tab w:val="left" w:pos="0"/>
        </w:tabs>
        <w:ind w:left="0" w:right="51" w:hanging="567"/>
        <w:rPr>
          <w:rFonts w:cs="Arial"/>
          <w:iCs/>
          <w:color w:val="000000"/>
          <w:sz w:val="26"/>
          <w:szCs w:val="26"/>
          <w:bdr w:val="none" w:sz="0" w:space="0" w:color="auto" w:frame="1"/>
          <w:shd w:val="clear" w:color="auto" w:fill="FFFFFF"/>
          <w:lang w:val="es-CO"/>
        </w:rPr>
      </w:pPr>
      <w:r>
        <w:rPr>
          <w:rFonts w:cs="Arial"/>
          <w:iCs/>
          <w:color w:val="000000"/>
          <w:sz w:val="26"/>
          <w:szCs w:val="26"/>
          <w:bdr w:val="none" w:sz="0" w:space="0" w:color="auto" w:frame="1"/>
          <w:shd w:val="clear" w:color="auto" w:fill="FFFFFF"/>
          <w:lang w:val="es-CO"/>
        </w:rPr>
        <w:t>En ese sentido, c</w:t>
      </w:r>
      <w:r w:rsidR="009C75AB" w:rsidRPr="003F6B95">
        <w:rPr>
          <w:rFonts w:cs="Arial"/>
          <w:iCs/>
          <w:color w:val="000000"/>
          <w:sz w:val="26"/>
          <w:szCs w:val="26"/>
          <w:bdr w:val="none" w:sz="0" w:space="0" w:color="auto" w:frame="1"/>
          <w:shd w:val="clear" w:color="auto" w:fill="FFFFFF"/>
          <w:lang w:val="es-CO"/>
        </w:rPr>
        <w:t xml:space="preserve">uando las partes aceptan someterse a un proceso de conciliación para dirimir posibles diferencias en el que deliberan sobre la actualización de ciertos hechos, si dieron lugar a un acto de discriminación y sus posibles consecuencias, lo hacen sobre la base del principio de buena fe. En consecuencia, para este </w:t>
      </w:r>
      <w:r w:rsidR="00AE5D03" w:rsidRPr="003F6B95">
        <w:rPr>
          <w:rFonts w:cs="Arial"/>
          <w:iCs/>
          <w:color w:val="000000"/>
          <w:sz w:val="26"/>
          <w:szCs w:val="26"/>
          <w:bdr w:val="none" w:sz="0" w:space="0" w:color="auto" w:frame="1"/>
          <w:shd w:val="clear" w:color="auto" w:fill="FFFFFF"/>
          <w:lang w:val="es-CO"/>
        </w:rPr>
        <w:t>T</w:t>
      </w:r>
      <w:r w:rsidR="009C75AB" w:rsidRPr="003F6B95">
        <w:rPr>
          <w:rFonts w:cs="Arial"/>
          <w:iCs/>
          <w:color w:val="000000"/>
          <w:sz w:val="26"/>
          <w:szCs w:val="26"/>
          <w:bdr w:val="none" w:sz="0" w:space="0" w:color="auto" w:frame="1"/>
          <w:shd w:val="clear" w:color="auto" w:fill="FFFFFF"/>
          <w:lang w:val="es-CO"/>
        </w:rPr>
        <w:t>ribunal</w:t>
      </w:r>
      <w:r w:rsidR="00351937" w:rsidRPr="003F6B95">
        <w:rPr>
          <w:rFonts w:cs="Arial"/>
          <w:iCs/>
          <w:color w:val="000000"/>
          <w:sz w:val="26"/>
          <w:szCs w:val="26"/>
          <w:bdr w:val="none" w:sz="0" w:space="0" w:color="auto" w:frame="1"/>
          <w:shd w:val="clear" w:color="auto" w:fill="FFFFFF"/>
          <w:lang w:val="es-CO"/>
        </w:rPr>
        <w:t>,</w:t>
      </w:r>
      <w:r w:rsidR="009C75AB" w:rsidRPr="003F6B95">
        <w:rPr>
          <w:rFonts w:cs="Arial"/>
          <w:iCs/>
          <w:color w:val="000000"/>
          <w:sz w:val="26"/>
          <w:szCs w:val="26"/>
          <w:bdr w:val="none" w:sz="0" w:space="0" w:color="auto" w:frame="1"/>
          <w:shd w:val="clear" w:color="auto" w:fill="FFFFFF"/>
          <w:lang w:val="es-CO"/>
        </w:rPr>
        <w:t xml:space="preserve"> la manifestación de voluntad de las partes </w:t>
      </w:r>
      <w:r w:rsidR="00AD13B9">
        <w:rPr>
          <w:rFonts w:cs="Arial"/>
          <w:iCs/>
          <w:color w:val="000000"/>
          <w:sz w:val="26"/>
          <w:szCs w:val="26"/>
          <w:bdr w:val="none" w:sz="0" w:space="0" w:color="auto" w:frame="1"/>
          <w:shd w:val="clear" w:color="auto" w:fill="FFFFFF"/>
          <w:lang w:val="es-CO"/>
        </w:rPr>
        <w:t>para acordar ciertas medidas</w:t>
      </w:r>
      <w:r w:rsidR="009C75AB" w:rsidRPr="003F6B95">
        <w:rPr>
          <w:rFonts w:cs="Arial"/>
          <w:iCs/>
          <w:color w:val="000000"/>
          <w:sz w:val="26"/>
          <w:szCs w:val="26"/>
          <w:bdr w:val="none" w:sz="0" w:space="0" w:color="auto" w:frame="1"/>
          <w:shd w:val="clear" w:color="auto" w:fill="FFFFFF"/>
          <w:lang w:val="es-CO"/>
        </w:rPr>
        <w:t xml:space="preserve"> y cumplir con los acuerdos alcanzados no puede entenderse indefectiblemente como un reconocimiento de </w:t>
      </w:r>
      <w:r w:rsidR="009C75AB" w:rsidRPr="003F6B95">
        <w:rPr>
          <w:rFonts w:cs="Arial"/>
          <w:iCs/>
          <w:color w:val="000000"/>
          <w:sz w:val="26"/>
          <w:szCs w:val="26"/>
          <w:bdr w:val="none" w:sz="0" w:space="0" w:color="auto" w:frame="1"/>
          <w:shd w:val="clear" w:color="auto" w:fill="FFFFFF"/>
          <w:lang w:val="es-CO"/>
        </w:rPr>
        <w:lastRenderedPageBreak/>
        <w:t>responsabilidad en relación con un acto discriminatorio, particularmente para el efecto de adjudicación judicial en una instancia diversa</w:t>
      </w:r>
      <w:r w:rsidR="009C75AB" w:rsidRPr="003F6B95">
        <w:rPr>
          <w:rFonts w:cs="Arial"/>
          <w:iCs/>
          <w:color w:val="000000"/>
          <w:sz w:val="26"/>
          <w:szCs w:val="26"/>
          <w:bdr w:val="none" w:sz="0" w:space="0" w:color="auto" w:frame="1"/>
          <w:shd w:val="clear" w:color="auto" w:fill="FFFFFF"/>
          <w:vertAlign w:val="superscript"/>
          <w:lang w:val="es-CO"/>
        </w:rPr>
        <w:footnoteReference w:id="51"/>
      </w:r>
      <w:r w:rsidR="009C75AB" w:rsidRPr="003F6B95">
        <w:rPr>
          <w:rFonts w:cs="Arial"/>
          <w:iCs/>
          <w:color w:val="000000"/>
          <w:sz w:val="26"/>
          <w:szCs w:val="26"/>
          <w:bdr w:val="none" w:sz="0" w:space="0" w:color="auto" w:frame="1"/>
          <w:shd w:val="clear" w:color="auto" w:fill="FFFFFF"/>
          <w:lang w:val="es-CO"/>
        </w:rPr>
        <w:t>.</w:t>
      </w:r>
    </w:p>
    <w:p w14:paraId="43BB7448" w14:textId="77777777" w:rsidR="009C75AB" w:rsidRPr="003F6B95" w:rsidRDefault="009C75AB" w:rsidP="009A2B2D">
      <w:pPr>
        <w:pStyle w:val="corte4fondo"/>
        <w:ind w:right="51" w:firstLine="0"/>
        <w:rPr>
          <w:rFonts w:cs="Arial"/>
          <w:iCs/>
          <w:color w:val="000000"/>
          <w:sz w:val="26"/>
          <w:szCs w:val="26"/>
          <w:bdr w:val="none" w:sz="0" w:space="0" w:color="auto" w:frame="1"/>
          <w:shd w:val="clear" w:color="auto" w:fill="FFFFFF"/>
          <w:lang w:val="es-CO"/>
        </w:rPr>
      </w:pPr>
    </w:p>
    <w:p w14:paraId="0968BC76" w14:textId="77777777" w:rsidR="009C75AB" w:rsidRPr="003F6B95" w:rsidRDefault="009C75AB" w:rsidP="009A2B2D">
      <w:pPr>
        <w:pStyle w:val="corte4fondo"/>
        <w:numPr>
          <w:ilvl w:val="0"/>
          <w:numId w:val="2"/>
        </w:numPr>
        <w:tabs>
          <w:tab w:val="left" w:pos="0"/>
        </w:tabs>
        <w:ind w:left="0" w:right="51" w:hanging="567"/>
        <w:rPr>
          <w:rFonts w:cs="Arial"/>
          <w:iCs/>
          <w:color w:val="000000"/>
          <w:sz w:val="26"/>
          <w:szCs w:val="26"/>
          <w:bdr w:val="none" w:sz="0" w:space="0" w:color="auto" w:frame="1"/>
          <w:shd w:val="clear" w:color="auto" w:fill="FFFFFF"/>
          <w:lang w:val="es-CO"/>
        </w:rPr>
      </w:pPr>
      <w:r w:rsidRPr="003F6B95">
        <w:rPr>
          <w:rFonts w:cs="Arial"/>
          <w:iCs/>
          <w:color w:val="000000"/>
          <w:sz w:val="26"/>
          <w:szCs w:val="26"/>
          <w:bdr w:val="none" w:sz="0" w:space="0" w:color="auto" w:frame="1"/>
          <w:shd w:val="clear" w:color="auto" w:fill="FFFFFF"/>
          <w:lang w:val="es-CO"/>
        </w:rPr>
        <w:t xml:space="preserve">Ello se corrobora </w:t>
      </w:r>
      <w:r w:rsidR="00351937" w:rsidRPr="003F6B95">
        <w:rPr>
          <w:rFonts w:cs="Arial"/>
          <w:iCs/>
          <w:color w:val="000000"/>
          <w:sz w:val="26"/>
          <w:szCs w:val="26"/>
          <w:bdr w:val="none" w:sz="0" w:space="0" w:color="auto" w:frame="1"/>
          <w:shd w:val="clear" w:color="auto" w:fill="FFFFFF"/>
          <w:lang w:val="es-CO"/>
        </w:rPr>
        <w:t>con el hecho de que,</w:t>
      </w:r>
      <w:r w:rsidRPr="003F6B95">
        <w:rPr>
          <w:rFonts w:cs="Arial"/>
          <w:iCs/>
          <w:color w:val="000000"/>
          <w:sz w:val="26"/>
          <w:szCs w:val="26"/>
          <w:bdr w:val="none" w:sz="0" w:space="0" w:color="auto" w:frame="1"/>
          <w:shd w:val="clear" w:color="auto" w:fill="FFFFFF"/>
          <w:lang w:val="es-CO"/>
        </w:rPr>
        <w:t xml:space="preserve"> en la fase conciliatoria</w:t>
      </w:r>
      <w:r w:rsidR="00351937" w:rsidRPr="003F6B95">
        <w:rPr>
          <w:rFonts w:cs="Arial"/>
          <w:iCs/>
          <w:color w:val="000000"/>
          <w:sz w:val="26"/>
          <w:szCs w:val="26"/>
          <w:bdr w:val="none" w:sz="0" w:space="0" w:color="auto" w:frame="1"/>
          <w:shd w:val="clear" w:color="auto" w:fill="FFFFFF"/>
          <w:lang w:val="es-CO"/>
        </w:rPr>
        <w:t>,</w:t>
      </w:r>
      <w:r w:rsidRPr="003F6B95">
        <w:rPr>
          <w:rFonts w:cs="Arial"/>
          <w:iCs/>
          <w:color w:val="000000"/>
          <w:sz w:val="26"/>
          <w:szCs w:val="26"/>
          <w:bdr w:val="none" w:sz="0" w:space="0" w:color="auto" w:frame="1"/>
          <w:shd w:val="clear" w:color="auto" w:fill="FFFFFF"/>
          <w:lang w:val="es-CO"/>
        </w:rPr>
        <w:t xml:space="preserve"> </w:t>
      </w:r>
      <w:r w:rsidR="00D35DC8" w:rsidRPr="003F6B95">
        <w:rPr>
          <w:rFonts w:cs="Arial"/>
          <w:iCs/>
          <w:color w:val="000000"/>
          <w:sz w:val="26"/>
          <w:szCs w:val="26"/>
          <w:bdr w:val="none" w:sz="0" w:space="0" w:color="auto" w:frame="1"/>
          <w:shd w:val="clear" w:color="auto" w:fill="FFFFFF"/>
          <w:lang w:val="es-CO"/>
        </w:rPr>
        <w:t xml:space="preserve">el </w:t>
      </w:r>
      <w:r w:rsidRPr="003F6B95">
        <w:rPr>
          <w:rFonts w:cs="Arial"/>
          <w:iCs/>
          <w:color w:val="000000"/>
          <w:sz w:val="26"/>
          <w:szCs w:val="26"/>
          <w:bdr w:val="none" w:sz="0" w:space="0" w:color="auto" w:frame="1"/>
          <w:shd w:val="clear" w:color="auto" w:fill="FFFFFF"/>
          <w:lang w:val="es-CO"/>
        </w:rPr>
        <w:t>COPRED y su personal no despliegan atribuciones materialmente jurisdiccionales que l</w:t>
      </w:r>
      <w:r w:rsidR="00BE1678" w:rsidRPr="003F6B95">
        <w:rPr>
          <w:rFonts w:cs="Arial"/>
          <w:iCs/>
          <w:color w:val="000000"/>
          <w:sz w:val="26"/>
          <w:szCs w:val="26"/>
          <w:bdr w:val="none" w:sz="0" w:space="0" w:color="auto" w:frame="1"/>
          <w:shd w:val="clear" w:color="auto" w:fill="FFFFFF"/>
          <w:lang w:val="es-CO"/>
        </w:rPr>
        <w:t>o</w:t>
      </w:r>
      <w:r w:rsidRPr="003F6B95">
        <w:rPr>
          <w:rFonts w:cs="Arial"/>
          <w:iCs/>
          <w:color w:val="000000"/>
          <w:sz w:val="26"/>
          <w:szCs w:val="26"/>
          <w:bdr w:val="none" w:sz="0" w:space="0" w:color="auto" w:frame="1"/>
          <w:shd w:val="clear" w:color="auto" w:fill="FFFFFF"/>
          <w:lang w:val="es-CO"/>
        </w:rPr>
        <w:t xml:space="preserve">s lleven a decidir sobre la acreditación de determinados hechos, su calificación </w:t>
      </w:r>
      <w:r w:rsidR="00BE1678" w:rsidRPr="003F6B95">
        <w:rPr>
          <w:rFonts w:cs="Arial"/>
          <w:iCs/>
          <w:color w:val="000000"/>
          <w:sz w:val="26"/>
          <w:szCs w:val="26"/>
          <w:bdr w:val="none" w:sz="0" w:space="0" w:color="auto" w:frame="1"/>
          <w:shd w:val="clear" w:color="auto" w:fill="FFFFFF"/>
          <w:lang w:val="es-CO"/>
        </w:rPr>
        <w:t>o</w:t>
      </w:r>
      <w:r w:rsidRPr="003F6B95">
        <w:rPr>
          <w:rFonts w:cs="Arial"/>
          <w:iCs/>
          <w:color w:val="000000"/>
          <w:sz w:val="26"/>
          <w:szCs w:val="26"/>
          <w:bdr w:val="none" w:sz="0" w:space="0" w:color="auto" w:frame="1"/>
          <w:shd w:val="clear" w:color="auto" w:fill="FFFFFF"/>
          <w:lang w:val="es-CO"/>
        </w:rPr>
        <w:t xml:space="preserve"> la determinación de las consecuencias jurídicas correspondientes. Todo </w:t>
      </w:r>
      <w:r w:rsidR="00530227">
        <w:rPr>
          <w:rFonts w:cs="Arial"/>
          <w:iCs/>
          <w:color w:val="000000"/>
          <w:sz w:val="26"/>
          <w:szCs w:val="26"/>
          <w:bdr w:val="none" w:sz="0" w:space="0" w:color="auto" w:frame="1"/>
          <w:shd w:val="clear" w:color="auto" w:fill="FFFFFF"/>
          <w:lang w:val="es-CO"/>
        </w:rPr>
        <w:t>convenio</w:t>
      </w:r>
      <w:r w:rsidR="00530227" w:rsidRPr="003F6B95">
        <w:rPr>
          <w:rFonts w:cs="Arial"/>
          <w:iCs/>
          <w:color w:val="000000"/>
          <w:sz w:val="26"/>
          <w:szCs w:val="26"/>
          <w:bdr w:val="none" w:sz="0" w:space="0" w:color="auto" w:frame="1"/>
          <w:shd w:val="clear" w:color="auto" w:fill="FFFFFF"/>
          <w:lang w:val="es-CO"/>
        </w:rPr>
        <w:t xml:space="preserve"> </w:t>
      </w:r>
      <w:r w:rsidRPr="003F6B95">
        <w:rPr>
          <w:rFonts w:cs="Arial"/>
          <w:iCs/>
          <w:color w:val="000000"/>
          <w:sz w:val="26"/>
          <w:szCs w:val="26"/>
          <w:bdr w:val="none" w:sz="0" w:space="0" w:color="auto" w:frame="1"/>
          <w:shd w:val="clear" w:color="auto" w:fill="FFFFFF"/>
          <w:lang w:val="es-CO"/>
        </w:rPr>
        <w:t>presupone un diálogo</w:t>
      </w:r>
      <w:r w:rsidR="00530227">
        <w:rPr>
          <w:rFonts w:cs="Arial"/>
          <w:iCs/>
          <w:color w:val="000000"/>
          <w:sz w:val="26"/>
          <w:szCs w:val="26"/>
          <w:bdr w:val="none" w:sz="0" w:space="0" w:color="auto" w:frame="1"/>
          <w:shd w:val="clear" w:color="auto" w:fill="FFFFFF"/>
          <w:lang w:val="es-CO"/>
        </w:rPr>
        <w:t>, negociación</w:t>
      </w:r>
      <w:r w:rsidRPr="003F6B95">
        <w:rPr>
          <w:rFonts w:cs="Arial"/>
          <w:iCs/>
          <w:color w:val="000000"/>
          <w:sz w:val="26"/>
          <w:szCs w:val="26"/>
          <w:bdr w:val="none" w:sz="0" w:space="0" w:color="auto" w:frame="1"/>
          <w:shd w:val="clear" w:color="auto" w:fill="FFFFFF"/>
          <w:lang w:val="es-CO"/>
        </w:rPr>
        <w:t xml:space="preserve"> y acuerdo entre las personas involucradas.</w:t>
      </w:r>
    </w:p>
    <w:p w14:paraId="1212A73A" w14:textId="77777777" w:rsidR="009C75AB" w:rsidRPr="003F6B95" w:rsidRDefault="009C75AB" w:rsidP="009A2B2D">
      <w:pPr>
        <w:pStyle w:val="Prrafodelista"/>
        <w:spacing w:line="360" w:lineRule="auto"/>
        <w:rPr>
          <w:rFonts w:ascii="Arial" w:hAnsi="Arial" w:cs="Arial"/>
          <w:iCs/>
          <w:color w:val="000000"/>
          <w:sz w:val="26"/>
          <w:szCs w:val="26"/>
          <w:bdr w:val="none" w:sz="0" w:space="0" w:color="auto" w:frame="1"/>
          <w:shd w:val="clear" w:color="auto" w:fill="FFFFFF"/>
          <w:lang w:val="es-CO"/>
        </w:rPr>
      </w:pPr>
    </w:p>
    <w:p w14:paraId="4E9C652E" w14:textId="77777777" w:rsidR="00A863D7" w:rsidRDefault="009C75AB" w:rsidP="00A863D7">
      <w:pPr>
        <w:pStyle w:val="corte4fondo"/>
        <w:numPr>
          <w:ilvl w:val="0"/>
          <w:numId w:val="2"/>
        </w:numPr>
        <w:tabs>
          <w:tab w:val="left" w:pos="0"/>
        </w:tabs>
        <w:ind w:left="0" w:right="51" w:hanging="567"/>
        <w:rPr>
          <w:rFonts w:cs="Arial"/>
          <w:iCs/>
          <w:color w:val="000000"/>
          <w:sz w:val="26"/>
          <w:szCs w:val="26"/>
          <w:bdr w:val="none" w:sz="0" w:space="0" w:color="auto" w:frame="1"/>
          <w:shd w:val="clear" w:color="auto" w:fill="FFFFFF"/>
          <w:lang w:val="es-CO"/>
        </w:rPr>
      </w:pPr>
      <w:r w:rsidRPr="003F6B95">
        <w:rPr>
          <w:rFonts w:cs="Arial"/>
          <w:iCs/>
          <w:color w:val="000000"/>
          <w:sz w:val="26"/>
          <w:szCs w:val="26"/>
          <w:bdr w:val="none" w:sz="0" w:space="0" w:color="auto" w:frame="1"/>
          <w:shd w:val="clear" w:color="auto" w:fill="FFFFFF"/>
          <w:lang w:val="es-CO"/>
        </w:rPr>
        <w:t>En</w:t>
      </w:r>
      <w:r w:rsidR="00795479" w:rsidRPr="003F6B95">
        <w:rPr>
          <w:rFonts w:cs="Arial"/>
          <w:iCs/>
          <w:color w:val="000000"/>
          <w:sz w:val="26"/>
          <w:szCs w:val="26"/>
          <w:bdr w:val="none" w:sz="0" w:space="0" w:color="auto" w:frame="1"/>
          <w:shd w:val="clear" w:color="auto" w:fill="FFFFFF"/>
          <w:lang w:val="es-CO"/>
        </w:rPr>
        <w:t xml:space="preserve"> similar sentido, </w:t>
      </w:r>
      <w:r w:rsidRPr="003F6B95">
        <w:rPr>
          <w:rFonts w:cs="Arial"/>
          <w:iCs/>
          <w:color w:val="000000"/>
          <w:sz w:val="26"/>
          <w:szCs w:val="26"/>
          <w:bdr w:val="none" w:sz="0" w:space="0" w:color="auto" w:frame="1"/>
          <w:shd w:val="clear" w:color="auto" w:fill="FFFFFF"/>
          <w:lang w:val="es-CO"/>
        </w:rPr>
        <w:t>los artículos 72 y 73 de la Ley para Prevenir y Eliminar la Discriminación del Distrito Federal</w:t>
      </w:r>
      <w:r w:rsidR="00795479" w:rsidRPr="003F6B95">
        <w:rPr>
          <w:rFonts w:cs="Arial"/>
          <w:iCs/>
          <w:color w:val="000000"/>
          <w:sz w:val="26"/>
          <w:szCs w:val="26"/>
          <w:bdr w:val="none" w:sz="0" w:space="0" w:color="auto" w:frame="1"/>
          <w:shd w:val="clear" w:color="auto" w:fill="FFFFFF"/>
          <w:lang w:val="es-CO"/>
        </w:rPr>
        <w:t xml:space="preserve"> refieren a</w:t>
      </w:r>
      <w:r w:rsidRPr="003F6B95">
        <w:rPr>
          <w:rFonts w:cs="Arial"/>
          <w:iCs/>
          <w:color w:val="000000"/>
          <w:sz w:val="26"/>
          <w:szCs w:val="26"/>
          <w:bdr w:val="none" w:sz="0" w:space="0" w:color="auto" w:frame="1"/>
          <w:shd w:val="clear" w:color="auto" w:fill="FFFFFF"/>
          <w:lang w:val="es-CO"/>
        </w:rPr>
        <w:t xml:space="preserve"> una queja inicia</w:t>
      </w:r>
      <w:r w:rsidR="008E684D" w:rsidRPr="003F6B95">
        <w:rPr>
          <w:rFonts w:cs="Arial"/>
          <w:iCs/>
          <w:color w:val="000000"/>
          <w:sz w:val="26"/>
          <w:szCs w:val="26"/>
          <w:bdr w:val="none" w:sz="0" w:space="0" w:color="auto" w:frame="1"/>
          <w:shd w:val="clear" w:color="auto" w:fill="FFFFFF"/>
          <w:lang w:val="es-CO"/>
        </w:rPr>
        <w:t>l</w:t>
      </w:r>
      <w:r w:rsidRPr="003F6B95">
        <w:rPr>
          <w:rFonts w:cs="Arial"/>
          <w:iCs/>
          <w:color w:val="000000"/>
          <w:sz w:val="26"/>
          <w:szCs w:val="26"/>
          <w:bdr w:val="none" w:sz="0" w:space="0" w:color="auto" w:frame="1"/>
          <w:shd w:val="clear" w:color="auto" w:fill="FFFFFF"/>
          <w:lang w:val="es-CO"/>
        </w:rPr>
        <w:t xml:space="preserve"> por la denuncia </w:t>
      </w:r>
      <w:r w:rsidR="008E684D" w:rsidRPr="003F6B95">
        <w:rPr>
          <w:rFonts w:cs="Arial"/>
          <w:iCs/>
          <w:color w:val="000000"/>
          <w:sz w:val="26"/>
          <w:szCs w:val="26"/>
          <w:bdr w:val="none" w:sz="0" w:space="0" w:color="auto" w:frame="1"/>
          <w:shd w:val="clear" w:color="auto" w:fill="FFFFFF"/>
          <w:lang w:val="es-CO"/>
        </w:rPr>
        <w:t xml:space="preserve">de </w:t>
      </w:r>
      <w:r w:rsidRPr="003F6B95">
        <w:rPr>
          <w:rFonts w:cs="Arial"/>
          <w:iCs/>
          <w:color w:val="000000"/>
          <w:sz w:val="26"/>
          <w:szCs w:val="26"/>
          <w:bdr w:val="none" w:sz="0" w:space="0" w:color="auto" w:frame="1"/>
          <w:shd w:val="clear" w:color="auto" w:fill="FFFFFF"/>
          <w:lang w:val="es-CO"/>
        </w:rPr>
        <w:t>“presuntas conductas discriminatorias”</w:t>
      </w:r>
      <w:r w:rsidR="00795479" w:rsidRPr="003F6B95">
        <w:rPr>
          <w:rFonts w:cs="Arial"/>
          <w:iCs/>
          <w:color w:val="000000"/>
          <w:sz w:val="26"/>
          <w:szCs w:val="26"/>
          <w:bdr w:val="none" w:sz="0" w:space="0" w:color="auto" w:frame="1"/>
          <w:shd w:val="clear" w:color="auto" w:fill="FFFFFF"/>
          <w:lang w:val="es-CO"/>
        </w:rPr>
        <w:t xml:space="preserve"> y, a </w:t>
      </w:r>
      <w:r w:rsidRPr="003F6B95">
        <w:rPr>
          <w:rFonts w:cs="Arial"/>
          <w:iCs/>
          <w:color w:val="000000"/>
          <w:sz w:val="26"/>
          <w:szCs w:val="26"/>
          <w:bdr w:val="none" w:sz="0" w:space="0" w:color="auto" w:frame="1"/>
          <w:shd w:val="clear" w:color="auto" w:fill="FFFFFF"/>
          <w:lang w:val="es-CO"/>
        </w:rPr>
        <w:t>que en la audiencia de conciliación participan la parte peticionaria y la “parte presuntamente responsable de prácticas discriminatorias”</w:t>
      </w:r>
      <w:r w:rsidR="00C67762" w:rsidRPr="003F6B95">
        <w:rPr>
          <w:rStyle w:val="Refdenotaalpie"/>
          <w:rFonts w:cs="Arial"/>
          <w:iCs/>
          <w:color w:val="000000"/>
          <w:sz w:val="26"/>
          <w:szCs w:val="26"/>
          <w:bdr w:val="none" w:sz="0" w:space="0" w:color="auto" w:frame="1"/>
          <w:shd w:val="clear" w:color="auto" w:fill="FFFFFF"/>
          <w:lang w:val="es-CO"/>
        </w:rPr>
        <w:footnoteReference w:id="52"/>
      </w:r>
      <w:r w:rsidRPr="003F6B95">
        <w:rPr>
          <w:rFonts w:cs="Arial"/>
          <w:iCs/>
          <w:color w:val="000000"/>
          <w:sz w:val="26"/>
          <w:szCs w:val="26"/>
          <w:bdr w:val="none" w:sz="0" w:space="0" w:color="auto" w:frame="1"/>
          <w:shd w:val="clear" w:color="auto" w:fill="FFFFFF"/>
          <w:lang w:val="es-CO"/>
        </w:rPr>
        <w:t xml:space="preserve">. Esta formulación corrobora que lo </w:t>
      </w:r>
      <w:r w:rsidR="00A46661">
        <w:rPr>
          <w:rFonts w:cs="Arial"/>
          <w:iCs/>
          <w:color w:val="000000"/>
          <w:sz w:val="26"/>
          <w:szCs w:val="26"/>
          <w:bdr w:val="none" w:sz="0" w:space="0" w:color="auto" w:frame="1"/>
          <w:shd w:val="clear" w:color="auto" w:fill="FFFFFF"/>
          <w:lang w:val="es-CO"/>
        </w:rPr>
        <w:t xml:space="preserve">acordado </w:t>
      </w:r>
      <w:r w:rsidRPr="003F6B95">
        <w:rPr>
          <w:rFonts w:cs="Arial"/>
          <w:iCs/>
          <w:color w:val="000000"/>
          <w:sz w:val="26"/>
          <w:szCs w:val="26"/>
          <w:bdr w:val="none" w:sz="0" w:space="0" w:color="auto" w:frame="1"/>
          <w:shd w:val="clear" w:color="auto" w:fill="FFFFFF"/>
          <w:lang w:val="es-CO"/>
        </w:rPr>
        <w:t>en un procedimiento conciliatorio no implica</w:t>
      </w:r>
      <w:r w:rsidR="00530227">
        <w:rPr>
          <w:rFonts w:cs="Arial"/>
          <w:iCs/>
          <w:color w:val="000000"/>
          <w:sz w:val="26"/>
          <w:szCs w:val="26"/>
          <w:bdr w:val="none" w:sz="0" w:space="0" w:color="auto" w:frame="1"/>
          <w:shd w:val="clear" w:color="auto" w:fill="FFFFFF"/>
          <w:lang w:val="es-CO"/>
        </w:rPr>
        <w:t xml:space="preserve"> necesariamente</w:t>
      </w:r>
      <w:r w:rsidRPr="003F6B95">
        <w:rPr>
          <w:rFonts w:cs="Arial"/>
          <w:iCs/>
          <w:color w:val="000000"/>
          <w:sz w:val="26"/>
          <w:szCs w:val="26"/>
          <w:bdr w:val="none" w:sz="0" w:space="0" w:color="auto" w:frame="1"/>
          <w:shd w:val="clear" w:color="auto" w:fill="FFFFFF"/>
          <w:lang w:val="es-CO"/>
        </w:rPr>
        <w:t xml:space="preserve"> un reconocimiento o determinación </w:t>
      </w:r>
      <w:r w:rsidR="00884B17" w:rsidRPr="003F6B95">
        <w:rPr>
          <w:rFonts w:cs="Arial"/>
          <w:iCs/>
          <w:color w:val="000000"/>
          <w:sz w:val="26"/>
          <w:szCs w:val="26"/>
          <w:bdr w:val="none" w:sz="0" w:space="0" w:color="auto" w:frame="1"/>
          <w:shd w:val="clear" w:color="auto" w:fill="FFFFFF"/>
          <w:lang w:val="es-CO"/>
        </w:rPr>
        <w:t>de</w:t>
      </w:r>
      <w:r w:rsidRPr="003F6B95">
        <w:rPr>
          <w:rFonts w:cs="Arial"/>
          <w:iCs/>
          <w:color w:val="000000"/>
          <w:sz w:val="26"/>
          <w:szCs w:val="26"/>
          <w:bdr w:val="none" w:sz="0" w:space="0" w:color="auto" w:frame="1"/>
          <w:shd w:val="clear" w:color="auto" w:fill="FFFFFF"/>
          <w:lang w:val="es-CO"/>
        </w:rPr>
        <w:t xml:space="preserve"> que la parte señalada como responsable efectivamente cometió </w:t>
      </w:r>
      <w:r w:rsidR="009E4C20">
        <w:rPr>
          <w:rFonts w:cs="Arial"/>
          <w:iCs/>
          <w:color w:val="000000"/>
          <w:sz w:val="26"/>
          <w:szCs w:val="26"/>
          <w:bdr w:val="none" w:sz="0" w:space="0" w:color="auto" w:frame="1"/>
          <w:shd w:val="clear" w:color="auto" w:fill="FFFFFF"/>
          <w:lang w:val="es-CO"/>
        </w:rPr>
        <w:t xml:space="preserve">el </w:t>
      </w:r>
      <w:r w:rsidRPr="003F6B95">
        <w:rPr>
          <w:rFonts w:cs="Arial"/>
          <w:iCs/>
          <w:color w:val="000000"/>
          <w:sz w:val="26"/>
          <w:szCs w:val="26"/>
          <w:bdr w:val="none" w:sz="0" w:space="0" w:color="auto" w:frame="1"/>
          <w:shd w:val="clear" w:color="auto" w:fill="FFFFFF"/>
          <w:lang w:val="es-CO"/>
        </w:rPr>
        <w:t>acto discriminatorio en perjuicio de la peticionaria.</w:t>
      </w:r>
    </w:p>
    <w:p w14:paraId="36E63CBE" w14:textId="77777777" w:rsidR="00A863D7" w:rsidRPr="00A863D7" w:rsidRDefault="00A863D7" w:rsidP="00A863D7">
      <w:pPr>
        <w:pStyle w:val="corte4fondo"/>
        <w:tabs>
          <w:tab w:val="left" w:pos="0"/>
        </w:tabs>
        <w:ind w:right="51" w:firstLine="0"/>
        <w:rPr>
          <w:rFonts w:cs="Arial"/>
          <w:iCs/>
          <w:color w:val="000000"/>
          <w:sz w:val="26"/>
          <w:szCs w:val="26"/>
          <w:bdr w:val="none" w:sz="0" w:space="0" w:color="auto" w:frame="1"/>
          <w:shd w:val="clear" w:color="auto" w:fill="FFFFFF"/>
          <w:lang w:val="es-CO"/>
        </w:rPr>
      </w:pPr>
    </w:p>
    <w:p w14:paraId="61F5A034" w14:textId="293D7CB7" w:rsidR="009C75AB" w:rsidRPr="00A863D7" w:rsidRDefault="009C75AB" w:rsidP="00A863D7">
      <w:pPr>
        <w:pStyle w:val="corte4fondo"/>
        <w:numPr>
          <w:ilvl w:val="0"/>
          <w:numId w:val="2"/>
        </w:numPr>
        <w:tabs>
          <w:tab w:val="left" w:pos="0"/>
        </w:tabs>
        <w:ind w:left="0" w:right="51" w:hanging="567"/>
        <w:rPr>
          <w:rFonts w:cs="Arial"/>
          <w:iCs/>
          <w:color w:val="000000"/>
          <w:sz w:val="26"/>
          <w:szCs w:val="26"/>
          <w:bdr w:val="none" w:sz="0" w:space="0" w:color="auto" w:frame="1"/>
          <w:shd w:val="clear" w:color="auto" w:fill="FFFFFF"/>
          <w:lang w:val="es-CO"/>
        </w:rPr>
      </w:pPr>
      <w:r w:rsidRPr="00A863D7">
        <w:rPr>
          <w:rFonts w:cs="Arial"/>
          <w:color w:val="000000"/>
          <w:sz w:val="26"/>
          <w:szCs w:val="26"/>
          <w:bdr w:val="none" w:sz="0" w:space="0" w:color="auto" w:frame="1"/>
          <w:shd w:val="clear" w:color="auto" w:fill="FFFFFF"/>
          <w:lang w:val="es-CO"/>
        </w:rPr>
        <w:t xml:space="preserve">Por </w:t>
      </w:r>
      <w:r w:rsidR="004A37BC" w:rsidRPr="00A863D7">
        <w:rPr>
          <w:rFonts w:cs="Arial"/>
          <w:iCs/>
          <w:color w:val="000000"/>
          <w:sz w:val="26"/>
          <w:szCs w:val="26"/>
          <w:bdr w:val="none" w:sz="0" w:space="0" w:color="auto" w:frame="1"/>
          <w:shd w:val="clear" w:color="auto" w:fill="FFFFFF"/>
          <w:lang w:val="es-CO"/>
        </w:rPr>
        <w:t>tanto</w:t>
      </w:r>
      <w:r w:rsidR="00195F77" w:rsidRPr="00A863D7">
        <w:rPr>
          <w:rFonts w:cs="Arial"/>
          <w:iCs/>
          <w:color w:val="000000"/>
          <w:sz w:val="26"/>
          <w:szCs w:val="26"/>
          <w:bdr w:val="none" w:sz="0" w:space="0" w:color="auto" w:frame="1"/>
          <w:shd w:val="clear" w:color="auto" w:fill="FFFFFF"/>
          <w:lang w:val="es-CO"/>
        </w:rPr>
        <w:t>, e</w:t>
      </w:r>
      <w:r w:rsidRPr="00A863D7">
        <w:rPr>
          <w:rFonts w:cs="Arial"/>
          <w:iCs/>
          <w:color w:val="000000"/>
          <w:sz w:val="26"/>
          <w:szCs w:val="26"/>
          <w:bdr w:val="none" w:sz="0" w:space="0" w:color="auto" w:frame="1"/>
          <w:shd w:val="clear" w:color="auto" w:fill="FFFFFF"/>
          <w:lang w:val="es-CO"/>
        </w:rPr>
        <w:t>n los procedimientos de conciliación seguidos ante el COPRED</w:t>
      </w:r>
      <w:r w:rsidR="008D037B" w:rsidRPr="00A863D7">
        <w:rPr>
          <w:rFonts w:cs="Arial"/>
          <w:iCs/>
          <w:color w:val="000000"/>
          <w:sz w:val="26"/>
          <w:szCs w:val="26"/>
          <w:bdr w:val="none" w:sz="0" w:space="0" w:color="auto" w:frame="1"/>
          <w:shd w:val="clear" w:color="auto" w:fill="FFFFFF"/>
          <w:lang w:val="es-CO"/>
        </w:rPr>
        <w:t>,</w:t>
      </w:r>
      <w:r w:rsidRPr="00A863D7">
        <w:rPr>
          <w:rFonts w:cs="Arial"/>
          <w:iCs/>
          <w:color w:val="000000"/>
          <w:sz w:val="26"/>
          <w:szCs w:val="26"/>
          <w:bdr w:val="none" w:sz="0" w:space="0" w:color="auto" w:frame="1"/>
          <w:shd w:val="clear" w:color="auto" w:fill="FFFFFF"/>
          <w:lang w:val="es-CO"/>
        </w:rPr>
        <w:t xml:space="preserve"> los hechos señalados constituyen una narración que plantea la parte peticionaria y que no es sometida a comprobación y adjudicación posterior por parte de una autoridad, sino que es la base para entablar una negociación y, en su caso, llegar a un acuerdo.</w:t>
      </w:r>
      <w:r w:rsidR="001E15AD" w:rsidRPr="00A863D7">
        <w:rPr>
          <w:rFonts w:cs="Arial"/>
          <w:iCs/>
          <w:color w:val="000000"/>
          <w:sz w:val="26"/>
          <w:szCs w:val="26"/>
          <w:bdr w:val="none" w:sz="0" w:space="0" w:color="auto" w:frame="1"/>
          <w:shd w:val="clear" w:color="auto" w:fill="FFFFFF"/>
          <w:lang w:val="es-CO"/>
        </w:rPr>
        <w:t xml:space="preserve"> </w:t>
      </w:r>
      <w:r w:rsidR="000102F9" w:rsidRPr="00A863D7">
        <w:rPr>
          <w:rFonts w:cs="Arial"/>
          <w:iCs/>
          <w:color w:val="000000"/>
          <w:sz w:val="26"/>
          <w:szCs w:val="26"/>
          <w:bdr w:val="none" w:sz="0" w:space="0" w:color="auto" w:frame="1"/>
          <w:shd w:val="clear" w:color="auto" w:fill="FFFFFF"/>
          <w:lang w:val="es-CO"/>
        </w:rPr>
        <w:t xml:space="preserve">Como </w:t>
      </w:r>
      <w:r w:rsidRPr="00A863D7">
        <w:rPr>
          <w:rFonts w:cs="Arial"/>
          <w:iCs/>
          <w:color w:val="000000"/>
          <w:sz w:val="26"/>
          <w:szCs w:val="26"/>
          <w:bdr w:val="none" w:sz="0" w:space="0" w:color="auto" w:frame="1"/>
          <w:shd w:val="clear" w:color="auto" w:fill="FFFFFF"/>
          <w:lang w:val="es-CO"/>
        </w:rPr>
        <w:t>dispone el artículo 79 de la ley</w:t>
      </w:r>
      <w:r w:rsidRPr="003F6B95">
        <w:rPr>
          <w:rStyle w:val="Refdenotaalpie"/>
          <w:rFonts w:cs="Arial"/>
          <w:iCs/>
          <w:color w:val="000000"/>
          <w:sz w:val="26"/>
          <w:szCs w:val="26"/>
          <w:bdr w:val="none" w:sz="0" w:space="0" w:color="auto" w:frame="1"/>
          <w:shd w:val="clear" w:color="auto" w:fill="FFFFFF"/>
          <w:lang w:val="es-CO"/>
        </w:rPr>
        <w:footnoteReference w:id="53"/>
      </w:r>
      <w:r w:rsidRPr="00A863D7">
        <w:rPr>
          <w:rFonts w:cs="Arial"/>
          <w:iCs/>
          <w:color w:val="000000"/>
          <w:sz w:val="26"/>
          <w:szCs w:val="26"/>
          <w:bdr w:val="none" w:sz="0" w:space="0" w:color="auto" w:frame="1"/>
          <w:shd w:val="clear" w:color="auto" w:fill="FFFFFF"/>
          <w:lang w:val="es-CO"/>
        </w:rPr>
        <w:t xml:space="preserve">, </w:t>
      </w:r>
      <w:r w:rsidRPr="00A863D7">
        <w:rPr>
          <w:rFonts w:cs="Arial"/>
          <w:iCs/>
          <w:color w:val="000000"/>
          <w:sz w:val="26"/>
          <w:szCs w:val="26"/>
          <w:bdr w:val="none" w:sz="0" w:space="0" w:color="auto" w:frame="1"/>
          <w:shd w:val="clear" w:color="auto" w:fill="FFFFFF"/>
          <w:lang w:val="es-CO"/>
        </w:rPr>
        <w:lastRenderedPageBreak/>
        <w:t>únicamente cuando la queja promovida por la posible comisión de actos discriminatorios no haya podido</w:t>
      </w:r>
      <w:r w:rsidR="000102F9" w:rsidRPr="00A863D7">
        <w:rPr>
          <w:rFonts w:cs="Arial"/>
          <w:iCs/>
          <w:color w:val="000000"/>
          <w:sz w:val="26"/>
          <w:szCs w:val="26"/>
          <w:bdr w:val="none" w:sz="0" w:space="0" w:color="auto" w:frame="1"/>
          <w:shd w:val="clear" w:color="auto" w:fill="FFFFFF"/>
          <w:lang w:val="es-CO"/>
        </w:rPr>
        <w:t xml:space="preserve"> resolverse </w:t>
      </w:r>
      <w:r w:rsidRPr="00A863D7">
        <w:rPr>
          <w:rFonts w:cs="Arial"/>
          <w:iCs/>
          <w:color w:val="000000"/>
          <w:sz w:val="26"/>
          <w:szCs w:val="26"/>
          <w:bdr w:val="none" w:sz="0" w:space="0" w:color="auto" w:frame="1"/>
          <w:shd w:val="clear" w:color="auto" w:fill="FFFFFF"/>
          <w:lang w:val="es-CO"/>
        </w:rPr>
        <w:t xml:space="preserve">en la etapa de conciliación, el COPRED podrá iniciar las investigaciones que considere pertinentes en el marco de las facultades que la misma ley prevé, entre las que se encuentran la solicitud de información a personas e instituciones públicas y privadas, la realización de inspecciones y diligencias, la citación y entrevista a testigos, entre otras. </w:t>
      </w:r>
    </w:p>
    <w:p w14:paraId="270FE03B" w14:textId="77777777" w:rsidR="009C75AB" w:rsidRPr="003F6B95" w:rsidRDefault="009C75AB" w:rsidP="009A2B2D">
      <w:pPr>
        <w:spacing w:line="360" w:lineRule="auto"/>
        <w:rPr>
          <w:rFonts w:ascii="Arial" w:hAnsi="Arial" w:cs="Arial"/>
          <w:iCs/>
          <w:color w:val="000000"/>
          <w:sz w:val="26"/>
          <w:szCs w:val="26"/>
          <w:bdr w:val="none" w:sz="0" w:space="0" w:color="auto" w:frame="1"/>
          <w:shd w:val="clear" w:color="auto" w:fill="FFFFFF"/>
          <w:lang w:val="es-CO"/>
        </w:rPr>
      </w:pPr>
    </w:p>
    <w:p w14:paraId="2719FC25" w14:textId="77777777" w:rsidR="009C75AB" w:rsidRPr="003F6B95" w:rsidRDefault="009C75AB" w:rsidP="009A2B2D">
      <w:pPr>
        <w:pStyle w:val="corte4fondo"/>
        <w:numPr>
          <w:ilvl w:val="0"/>
          <w:numId w:val="2"/>
        </w:numPr>
        <w:tabs>
          <w:tab w:val="left" w:pos="0"/>
        </w:tabs>
        <w:ind w:left="0" w:right="51" w:hanging="567"/>
        <w:rPr>
          <w:rFonts w:cs="Arial"/>
          <w:iCs/>
          <w:color w:val="000000"/>
          <w:sz w:val="26"/>
          <w:szCs w:val="26"/>
          <w:bdr w:val="none" w:sz="0" w:space="0" w:color="auto" w:frame="1"/>
          <w:shd w:val="clear" w:color="auto" w:fill="FFFFFF"/>
          <w:lang w:val="es-CO"/>
        </w:rPr>
      </w:pPr>
      <w:r w:rsidRPr="003F6B95">
        <w:rPr>
          <w:rFonts w:cs="Arial"/>
          <w:iCs/>
          <w:color w:val="000000"/>
          <w:sz w:val="26"/>
          <w:szCs w:val="26"/>
          <w:bdr w:val="none" w:sz="0" w:space="0" w:color="auto" w:frame="1"/>
          <w:shd w:val="clear" w:color="auto" w:fill="FFFFFF"/>
          <w:lang w:val="es-CO"/>
        </w:rPr>
        <w:t>E</w:t>
      </w:r>
      <w:r w:rsidR="00A23286" w:rsidRPr="003F6B95">
        <w:rPr>
          <w:rFonts w:cs="Arial"/>
          <w:iCs/>
          <w:color w:val="000000"/>
          <w:sz w:val="26"/>
          <w:szCs w:val="26"/>
          <w:bdr w:val="none" w:sz="0" w:space="0" w:color="auto" w:frame="1"/>
          <w:shd w:val="clear" w:color="auto" w:fill="FFFFFF"/>
          <w:lang w:val="es-CO"/>
        </w:rPr>
        <w:t>n atención a lo anterior, e</w:t>
      </w:r>
      <w:r w:rsidRPr="003F6B95">
        <w:rPr>
          <w:rFonts w:cs="Arial"/>
          <w:iCs/>
          <w:color w:val="000000"/>
          <w:sz w:val="26"/>
          <w:szCs w:val="26"/>
          <w:bdr w:val="none" w:sz="0" w:space="0" w:color="auto" w:frame="1"/>
          <w:shd w:val="clear" w:color="auto" w:fill="FFFFFF"/>
          <w:lang w:val="es-CO"/>
        </w:rPr>
        <w:t>sta Primera Sala advierte que</w:t>
      </w:r>
      <w:r w:rsidR="00A23286" w:rsidRPr="003F6B95">
        <w:rPr>
          <w:rFonts w:cs="Arial"/>
          <w:iCs/>
          <w:color w:val="000000"/>
          <w:sz w:val="26"/>
          <w:szCs w:val="26"/>
          <w:bdr w:val="none" w:sz="0" w:space="0" w:color="auto" w:frame="1"/>
          <w:shd w:val="clear" w:color="auto" w:fill="FFFFFF"/>
          <w:lang w:val="es-CO"/>
        </w:rPr>
        <w:t>,</w:t>
      </w:r>
      <w:r w:rsidRPr="003F6B95">
        <w:rPr>
          <w:rFonts w:cs="Arial"/>
          <w:iCs/>
          <w:color w:val="000000"/>
          <w:sz w:val="26"/>
          <w:szCs w:val="26"/>
          <w:bdr w:val="none" w:sz="0" w:space="0" w:color="auto" w:frame="1"/>
          <w:shd w:val="clear" w:color="auto" w:fill="FFFFFF"/>
          <w:lang w:val="es-CO"/>
        </w:rPr>
        <w:t xml:space="preserve"> aceptar la premisa de </w:t>
      </w:r>
      <w:r w:rsidR="00A23286" w:rsidRPr="003F6B95">
        <w:rPr>
          <w:rFonts w:cs="Arial"/>
          <w:iCs/>
          <w:color w:val="000000"/>
          <w:sz w:val="26"/>
          <w:szCs w:val="26"/>
          <w:bdr w:val="none" w:sz="0" w:space="0" w:color="auto" w:frame="1"/>
          <w:shd w:val="clear" w:color="auto" w:fill="FFFFFF"/>
          <w:lang w:val="es-CO"/>
        </w:rPr>
        <w:t xml:space="preserve">las quejosas y </w:t>
      </w:r>
      <w:r w:rsidRPr="003F6B95">
        <w:rPr>
          <w:rFonts w:cs="Arial"/>
          <w:iCs/>
          <w:color w:val="000000"/>
          <w:sz w:val="26"/>
          <w:szCs w:val="26"/>
          <w:bdr w:val="none" w:sz="0" w:space="0" w:color="auto" w:frame="1"/>
          <w:shd w:val="clear" w:color="auto" w:fill="FFFFFF"/>
          <w:lang w:val="es-CO"/>
        </w:rPr>
        <w:t xml:space="preserve">la </w:t>
      </w:r>
      <w:r w:rsidR="00011549" w:rsidRPr="003F6B95">
        <w:rPr>
          <w:rFonts w:cs="Arial"/>
          <w:iCs/>
          <w:color w:val="000000"/>
          <w:sz w:val="26"/>
          <w:szCs w:val="26"/>
          <w:bdr w:val="none" w:sz="0" w:space="0" w:color="auto" w:frame="1"/>
          <w:shd w:val="clear" w:color="auto" w:fill="FFFFFF"/>
          <w:lang w:val="es-CO"/>
        </w:rPr>
        <w:t>s</w:t>
      </w:r>
      <w:r w:rsidRPr="003F6B95">
        <w:rPr>
          <w:rFonts w:cs="Arial"/>
          <w:iCs/>
          <w:color w:val="000000"/>
          <w:sz w:val="26"/>
          <w:szCs w:val="26"/>
          <w:bdr w:val="none" w:sz="0" w:space="0" w:color="auto" w:frame="1"/>
          <w:shd w:val="clear" w:color="auto" w:fill="FFFFFF"/>
          <w:lang w:val="es-CO"/>
        </w:rPr>
        <w:t xml:space="preserve">ala </w:t>
      </w:r>
      <w:r w:rsidR="00A23286" w:rsidRPr="003F6B95">
        <w:rPr>
          <w:rFonts w:cs="Arial"/>
          <w:iCs/>
          <w:color w:val="000000"/>
          <w:sz w:val="26"/>
          <w:szCs w:val="26"/>
          <w:bdr w:val="none" w:sz="0" w:space="0" w:color="auto" w:frame="1"/>
          <w:shd w:val="clear" w:color="auto" w:fill="FFFFFF"/>
          <w:lang w:val="es-CO"/>
        </w:rPr>
        <w:t>de apelación (</w:t>
      </w:r>
      <w:r w:rsidRPr="003F6B95">
        <w:rPr>
          <w:rFonts w:cs="Arial"/>
          <w:iCs/>
          <w:color w:val="000000"/>
          <w:sz w:val="26"/>
          <w:szCs w:val="26"/>
          <w:bdr w:val="none" w:sz="0" w:space="0" w:color="auto" w:frame="1"/>
          <w:shd w:val="clear" w:color="auto" w:fill="FFFFFF"/>
          <w:lang w:val="es-CO"/>
        </w:rPr>
        <w:t xml:space="preserve">en cuanto a que lo convenido en </w:t>
      </w:r>
      <w:r w:rsidR="002C3D2C" w:rsidRPr="003F6B95">
        <w:rPr>
          <w:rFonts w:cs="Arial"/>
          <w:iCs/>
          <w:color w:val="000000"/>
          <w:sz w:val="26"/>
          <w:szCs w:val="26"/>
          <w:bdr w:val="none" w:sz="0" w:space="0" w:color="auto" w:frame="1"/>
          <w:shd w:val="clear" w:color="auto" w:fill="FFFFFF"/>
          <w:lang w:val="es-CO"/>
        </w:rPr>
        <w:t xml:space="preserve">el </w:t>
      </w:r>
      <w:r w:rsidRPr="003F6B95">
        <w:rPr>
          <w:rFonts w:cs="Arial"/>
          <w:iCs/>
          <w:color w:val="000000"/>
          <w:sz w:val="26"/>
          <w:szCs w:val="26"/>
          <w:bdr w:val="none" w:sz="0" w:space="0" w:color="auto" w:frame="1"/>
          <w:shd w:val="clear" w:color="auto" w:fill="FFFFFF"/>
          <w:lang w:val="es-CO"/>
        </w:rPr>
        <w:t>procedimiento conciliatorio ante el COPRED</w:t>
      </w:r>
      <w:r w:rsidR="000A3A44" w:rsidRPr="003F6B95">
        <w:rPr>
          <w:rFonts w:cs="Arial"/>
          <w:iCs/>
          <w:color w:val="000000"/>
          <w:sz w:val="26"/>
          <w:szCs w:val="26"/>
          <w:bdr w:val="none" w:sz="0" w:space="0" w:color="auto" w:frame="1"/>
          <w:shd w:val="clear" w:color="auto" w:fill="FFFFFF"/>
          <w:lang w:val="es-CO"/>
        </w:rPr>
        <w:t xml:space="preserve"> </w:t>
      </w:r>
      <w:r w:rsidR="0080028F" w:rsidRPr="003F6B95">
        <w:rPr>
          <w:rFonts w:cs="Arial"/>
          <w:iCs/>
          <w:color w:val="000000"/>
          <w:sz w:val="26"/>
          <w:szCs w:val="26"/>
          <w:bdr w:val="none" w:sz="0" w:space="0" w:color="auto" w:frame="1"/>
          <w:shd w:val="clear" w:color="auto" w:fill="FFFFFF"/>
          <w:lang w:val="es-CO"/>
        </w:rPr>
        <w:t>es suficiente</w:t>
      </w:r>
      <w:r w:rsidRPr="003F6B95">
        <w:rPr>
          <w:rFonts w:cs="Arial"/>
          <w:iCs/>
          <w:color w:val="000000"/>
          <w:sz w:val="26"/>
          <w:szCs w:val="26"/>
          <w:bdr w:val="none" w:sz="0" w:space="0" w:color="auto" w:frame="1"/>
          <w:shd w:val="clear" w:color="auto" w:fill="FFFFFF"/>
          <w:lang w:val="es-CO"/>
        </w:rPr>
        <w:t xml:space="preserve"> para demostrar las conductas discriminatorias que motivaron la queja inicial</w:t>
      </w:r>
      <w:r w:rsidR="00A23286" w:rsidRPr="003F6B95">
        <w:rPr>
          <w:rFonts w:cs="Arial"/>
          <w:iCs/>
          <w:color w:val="000000"/>
          <w:sz w:val="26"/>
          <w:szCs w:val="26"/>
          <w:bdr w:val="none" w:sz="0" w:space="0" w:color="auto" w:frame="1"/>
          <w:shd w:val="clear" w:color="auto" w:fill="FFFFFF"/>
          <w:lang w:val="es-CO"/>
        </w:rPr>
        <w:t>)</w:t>
      </w:r>
      <w:r w:rsidRPr="003F6B95">
        <w:rPr>
          <w:rFonts w:cs="Arial"/>
          <w:iCs/>
          <w:color w:val="000000"/>
          <w:sz w:val="26"/>
          <w:szCs w:val="26"/>
          <w:bdr w:val="none" w:sz="0" w:space="0" w:color="auto" w:frame="1"/>
          <w:shd w:val="clear" w:color="auto" w:fill="FFFFFF"/>
          <w:lang w:val="es-CO"/>
        </w:rPr>
        <w:t xml:space="preserve"> desvirtuaría el objetivo de dicho mecanismo alterno de solución de conflictos</w:t>
      </w:r>
      <w:r w:rsidR="00613C59" w:rsidRPr="003F6B95">
        <w:rPr>
          <w:rFonts w:cs="Arial"/>
          <w:iCs/>
          <w:color w:val="000000"/>
          <w:sz w:val="26"/>
          <w:szCs w:val="26"/>
          <w:bdr w:val="none" w:sz="0" w:space="0" w:color="auto" w:frame="1"/>
          <w:shd w:val="clear" w:color="auto" w:fill="FFFFFF"/>
          <w:lang w:val="es-CO"/>
        </w:rPr>
        <w:t>. Esto, pues se</w:t>
      </w:r>
      <w:r w:rsidRPr="003F6B95">
        <w:rPr>
          <w:rFonts w:cs="Arial"/>
          <w:iCs/>
          <w:color w:val="000000"/>
          <w:sz w:val="26"/>
          <w:szCs w:val="26"/>
          <w:bdr w:val="none" w:sz="0" w:space="0" w:color="auto" w:frame="1"/>
          <w:shd w:val="clear" w:color="auto" w:fill="FFFFFF"/>
          <w:lang w:val="es-CO"/>
        </w:rPr>
        <w:t xml:space="preserve"> desincentivaría a las autoridades o personas señaladas como responsables de llegar a un acuerdo, derivado de la posibilidad de que se califique como un reconocimiento de responsabilidad por discriminación.</w:t>
      </w:r>
    </w:p>
    <w:p w14:paraId="2AEAE093" w14:textId="77777777" w:rsidR="009C75AB" w:rsidRPr="003F6B95" w:rsidRDefault="009C75AB" w:rsidP="009A2B2D">
      <w:pPr>
        <w:spacing w:line="360" w:lineRule="auto"/>
        <w:rPr>
          <w:rFonts w:ascii="Arial" w:hAnsi="Arial" w:cs="Arial"/>
          <w:iCs/>
          <w:color w:val="000000"/>
          <w:sz w:val="26"/>
          <w:szCs w:val="26"/>
          <w:bdr w:val="none" w:sz="0" w:space="0" w:color="auto" w:frame="1"/>
          <w:shd w:val="clear" w:color="auto" w:fill="FFFFFF"/>
          <w:lang w:val="es-CO"/>
        </w:rPr>
      </w:pPr>
    </w:p>
    <w:p w14:paraId="0FB625AC" w14:textId="77777777" w:rsidR="009C75AB" w:rsidRPr="003F6B95" w:rsidRDefault="009C75AB" w:rsidP="009A2B2D">
      <w:pPr>
        <w:pStyle w:val="corte4fondo"/>
        <w:numPr>
          <w:ilvl w:val="0"/>
          <w:numId w:val="2"/>
        </w:numPr>
        <w:tabs>
          <w:tab w:val="left" w:pos="0"/>
        </w:tabs>
        <w:ind w:left="0" w:right="51" w:hanging="567"/>
        <w:rPr>
          <w:rFonts w:cs="Arial"/>
          <w:iCs/>
          <w:color w:val="000000"/>
          <w:sz w:val="26"/>
          <w:szCs w:val="26"/>
          <w:bdr w:val="none" w:sz="0" w:space="0" w:color="auto" w:frame="1"/>
          <w:shd w:val="clear" w:color="auto" w:fill="FFFFFF"/>
          <w:lang w:val="es-CO"/>
        </w:rPr>
      </w:pPr>
      <w:r w:rsidRPr="003F6B95">
        <w:rPr>
          <w:rFonts w:cs="Arial"/>
          <w:iCs/>
          <w:color w:val="000000"/>
          <w:sz w:val="26"/>
          <w:szCs w:val="26"/>
          <w:bdr w:val="none" w:sz="0" w:space="0" w:color="auto" w:frame="1"/>
          <w:shd w:val="clear" w:color="auto" w:fill="FFFFFF"/>
          <w:lang w:val="es-CO"/>
        </w:rPr>
        <w:t xml:space="preserve">En el caso, la </w:t>
      </w:r>
      <w:r w:rsidR="000368B8" w:rsidRPr="003F6B95">
        <w:rPr>
          <w:rFonts w:cs="Arial"/>
          <w:iCs/>
          <w:color w:val="000000"/>
          <w:sz w:val="26"/>
          <w:szCs w:val="26"/>
          <w:bdr w:val="none" w:sz="0" w:space="0" w:color="auto" w:frame="1"/>
          <w:shd w:val="clear" w:color="auto" w:fill="FFFFFF"/>
          <w:lang w:val="es-CO"/>
        </w:rPr>
        <w:t>s</w:t>
      </w:r>
      <w:r w:rsidRPr="003F6B95">
        <w:rPr>
          <w:rFonts w:cs="Arial"/>
          <w:iCs/>
          <w:color w:val="000000"/>
          <w:sz w:val="26"/>
          <w:szCs w:val="26"/>
          <w:bdr w:val="none" w:sz="0" w:space="0" w:color="auto" w:frame="1"/>
          <w:shd w:val="clear" w:color="auto" w:fill="FFFFFF"/>
          <w:lang w:val="es-CO"/>
        </w:rPr>
        <w:t xml:space="preserve">ala </w:t>
      </w:r>
      <w:r w:rsidR="000368B8" w:rsidRPr="003F6B95">
        <w:rPr>
          <w:rFonts w:cs="Arial"/>
          <w:iCs/>
          <w:color w:val="000000"/>
          <w:sz w:val="26"/>
          <w:szCs w:val="26"/>
          <w:bdr w:val="none" w:sz="0" w:space="0" w:color="auto" w:frame="1"/>
          <w:shd w:val="clear" w:color="auto" w:fill="FFFFFF"/>
          <w:lang w:val="es-CO"/>
        </w:rPr>
        <w:t xml:space="preserve">de apelación </w:t>
      </w:r>
      <w:r w:rsidRPr="003F6B95">
        <w:rPr>
          <w:rFonts w:cs="Arial"/>
          <w:iCs/>
          <w:color w:val="000000"/>
          <w:sz w:val="26"/>
          <w:szCs w:val="26"/>
          <w:bdr w:val="none" w:sz="0" w:space="0" w:color="auto" w:frame="1"/>
          <w:shd w:val="clear" w:color="auto" w:fill="FFFFFF"/>
          <w:lang w:val="es-CO"/>
        </w:rPr>
        <w:t>caracterizó las diligencias realizadas en el marco del procedimiento conciliatorio como “actuaciones judiciales”, lo cual resulta impreciso por las razones ya expuestas. Asimismo, respaldó su pronunciamiento en lo dispuesto en el artículo 78 de la</w:t>
      </w:r>
      <w:r w:rsidR="00357FBF" w:rsidRPr="003F6B95">
        <w:rPr>
          <w:rFonts w:cs="Arial"/>
          <w:iCs/>
          <w:color w:val="000000"/>
          <w:sz w:val="26"/>
          <w:szCs w:val="26"/>
          <w:bdr w:val="none" w:sz="0" w:space="0" w:color="auto" w:frame="1"/>
          <w:shd w:val="clear" w:color="auto" w:fill="FFFFFF"/>
          <w:lang w:val="es-CO"/>
        </w:rPr>
        <w:t xml:space="preserve"> ley citada</w:t>
      </w:r>
      <w:r w:rsidRPr="003F6B95">
        <w:rPr>
          <w:rFonts w:cs="Arial"/>
          <w:iCs/>
          <w:color w:val="000000"/>
          <w:sz w:val="26"/>
          <w:szCs w:val="26"/>
          <w:bdr w:val="none" w:sz="0" w:space="0" w:color="auto" w:frame="1"/>
          <w:shd w:val="clear" w:color="auto" w:fill="FFFFFF"/>
          <w:lang w:val="es-CO"/>
        </w:rPr>
        <w:t>, en el sentido de que los convenios suscritos por las partes y aprobados por el COPRED tienen “fuerza de cosa juzgada”</w:t>
      </w:r>
      <w:r w:rsidR="00357FBF" w:rsidRPr="003F6B95">
        <w:rPr>
          <w:rFonts w:cs="Arial"/>
          <w:iCs/>
          <w:color w:val="000000"/>
          <w:sz w:val="26"/>
          <w:szCs w:val="26"/>
          <w:bdr w:val="none" w:sz="0" w:space="0" w:color="auto" w:frame="1"/>
          <w:shd w:val="clear" w:color="auto" w:fill="FFFFFF"/>
          <w:lang w:val="es-CO"/>
        </w:rPr>
        <w:t xml:space="preserve">. Esta afirmación </w:t>
      </w:r>
      <w:r w:rsidRPr="003F6B95">
        <w:rPr>
          <w:rFonts w:cs="Arial"/>
          <w:iCs/>
          <w:color w:val="000000"/>
          <w:sz w:val="26"/>
          <w:szCs w:val="26"/>
          <w:bdr w:val="none" w:sz="0" w:space="0" w:color="auto" w:frame="1"/>
          <w:shd w:val="clear" w:color="auto" w:fill="FFFFFF"/>
          <w:lang w:val="es-CO"/>
        </w:rPr>
        <w:t xml:space="preserve">también parte de una lectura errada, </w:t>
      </w:r>
      <w:r w:rsidR="000368B8" w:rsidRPr="003F6B95">
        <w:rPr>
          <w:rFonts w:cs="Arial"/>
          <w:iCs/>
          <w:color w:val="000000"/>
          <w:sz w:val="26"/>
          <w:szCs w:val="26"/>
          <w:bdr w:val="none" w:sz="0" w:space="0" w:color="auto" w:frame="1"/>
          <w:shd w:val="clear" w:color="auto" w:fill="FFFFFF"/>
          <w:lang w:val="es-CO"/>
        </w:rPr>
        <w:t xml:space="preserve">pues tal </w:t>
      </w:r>
      <w:r w:rsidRPr="003F6B95">
        <w:rPr>
          <w:rFonts w:cs="Arial"/>
          <w:iCs/>
          <w:color w:val="000000"/>
          <w:sz w:val="26"/>
          <w:szCs w:val="26"/>
          <w:bdr w:val="none" w:sz="0" w:space="0" w:color="auto" w:frame="1"/>
          <w:shd w:val="clear" w:color="auto" w:fill="FFFFFF"/>
          <w:lang w:val="es-CO"/>
        </w:rPr>
        <w:t xml:space="preserve">vinculatoriedad se constriñe a los puntos de acuerdo que integran el convenio, de modo que no </w:t>
      </w:r>
      <w:r w:rsidR="006D15F9">
        <w:rPr>
          <w:rFonts w:cs="Arial"/>
          <w:iCs/>
          <w:color w:val="000000"/>
          <w:sz w:val="26"/>
          <w:szCs w:val="26"/>
          <w:bdr w:val="none" w:sz="0" w:space="0" w:color="auto" w:frame="1"/>
          <w:shd w:val="clear" w:color="auto" w:fill="FFFFFF"/>
          <w:lang w:val="es-CO"/>
        </w:rPr>
        <w:t xml:space="preserve">necesariamente </w:t>
      </w:r>
      <w:r w:rsidRPr="003F6B95">
        <w:rPr>
          <w:rFonts w:cs="Arial"/>
          <w:iCs/>
          <w:color w:val="000000"/>
          <w:sz w:val="26"/>
          <w:szCs w:val="26"/>
          <w:bdr w:val="none" w:sz="0" w:space="0" w:color="auto" w:frame="1"/>
          <w:shd w:val="clear" w:color="auto" w:fill="FFFFFF"/>
          <w:lang w:val="es-CO"/>
        </w:rPr>
        <w:t>implican una declaración de autoridad o reconocimiento de la parte presuntamente responsable en cuanto a que efectivamente tuvo lugar la conducta discriminatoria imputada.</w:t>
      </w:r>
    </w:p>
    <w:p w14:paraId="59CFE8C9" w14:textId="77777777" w:rsidR="009C75AB" w:rsidRPr="003F6B95" w:rsidRDefault="009C75AB" w:rsidP="00791AB7">
      <w:pPr>
        <w:spacing w:line="360" w:lineRule="auto"/>
        <w:rPr>
          <w:rFonts w:ascii="Arial" w:hAnsi="Arial" w:cs="Arial"/>
          <w:iCs/>
          <w:color w:val="000000"/>
          <w:sz w:val="26"/>
          <w:szCs w:val="26"/>
          <w:bdr w:val="none" w:sz="0" w:space="0" w:color="auto" w:frame="1"/>
          <w:shd w:val="clear" w:color="auto" w:fill="FFFFFF"/>
          <w:lang w:val="es-CO"/>
        </w:rPr>
      </w:pPr>
    </w:p>
    <w:p w14:paraId="182254CB" w14:textId="7CA09D8D" w:rsidR="009C75AB" w:rsidRPr="003F6B95" w:rsidRDefault="009C75AB" w:rsidP="009A2B2D">
      <w:pPr>
        <w:pStyle w:val="corte4fondo"/>
        <w:numPr>
          <w:ilvl w:val="0"/>
          <w:numId w:val="2"/>
        </w:numPr>
        <w:tabs>
          <w:tab w:val="left" w:pos="0"/>
        </w:tabs>
        <w:ind w:left="0" w:right="51" w:hanging="567"/>
        <w:rPr>
          <w:rFonts w:cs="Arial"/>
          <w:iCs/>
          <w:color w:val="000000"/>
          <w:sz w:val="26"/>
          <w:szCs w:val="26"/>
          <w:bdr w:val="none" w:sz="0" w:space="0" w:color="auto" w:frame="1"/>
          <w:shd w:val="clear" w:color="auto" w:fill="FFFFFF"/>
          <w:lang w:val="es-CO"/>
        </w:rPr>
      </w:pPr>
      <w:r w:rsidRPr="003F6B95">
        <w:rPr>
          <w:rFonts w:cs="Arial"/>
          <w:iCs/>
          <w:color w:val="000000"/>
          <w:sz w:val="26"/>
          <w:szCs w:val="26"/>
          <w:bdr w:val="none" w:sz="0" w:space="0" w:color="auto" w:frame="1"/>
          <w:shd w:val="clear" w:color="auto" w:fill="FFFFFF"/>
          <w:lang w:val="es-CO"/>
        </w:rPr>
        <w:t xml:space="preserve">Asimismo, la </w:t>
      </w:r>
      <w:r w:rsidR="001D2751" w:rsidRPr="003F6B95">
        <w:rPr>
          <w:rFonts w:cs="Arial"/>
          <w:iCs/>
          <w:color w:val="000000"/>
          <w:sz w:val="26"/>
          <w:szCs w:val="26"/>
          <w:bdr w:val="none" w:sz="0" w:space="0" w:color="auto" w:frame="1"/>
          <w:shd w:val="clear" w:color="auto" w:fill="FFFFFF"/>
          <w:lang w:val="es-CO"/>
        </w:rPr>
        <w:t>s</w:t>
      </w:r>
      <w:r w:rsidRPr="003F6B95">
        <w:rPr>
          <w:rFonts w:cs="Arial"/>
          <w:iCs/>
          <w:color w:val="000000"/>
          <w:sz w:val="26"/>
          <w:szCs w:val="26"/>
          <w:bdr w:val="none" w:sz="0" w:space="0" w:color="auto" w:frame="1"/>
          <w:shd w:val="clear" w:color="auto" w:fill="FFFFFF"/>
          <w:lang w:val="es-CO"/>
        </w:rPr>
        <w:t xml:space="preserve">ala </w:t>
      </w:r>
      <w:r w:rsidR="001D2751" w:rsidRPr="003F6B95">
        <w:rPr>
          <w:rFonts w:cs="Arial"/>
          <w:iCs/>
          <w:color w:val="000000"/>
          <w:sz w:val="26"/>
          <w:szCs w:val="26"/>
          <w:bdr w:val="none" w:sz="0" w:space="0" w:color="auto" w:frame="1"/>
          <w:shd w:val="clear" w:color="auto" w:fill="FFFFFF"/>
          <w:lang w:val="es-CO"/>
        </w:rPr>
        <w:t xml:space="preserve">sostuvo </w:t>
      </w:r>
      <w:r w:rsidRPr="003F6B95">
        <w:rPr>
          <w:rFonts w:cs="Arial"/>
          <w:iCs/>
          <w:color w:val="000000"/>
          <w:sz w:val="26"/>
          <w:szCs w:val="26"/>
          <w:bdr w:val="none" w:sz="0" w:space="0" w:color="auto" w:frame="1"/>
          <w:shd w:val="clear" w:color="auto" w:fill="FFFFFF"/>
          <w:lang w:val="es-CO"/>
        </w:rPr>
        <w:t xml:space="preserve">que lo actuado en el procedimiento conciliatorio era apto para demostrar un acto discriminatorio por parte </w:t>
      </w:r>
      <w:r w:rsidRPr="00453D61">
        <w:rPr>
          <w:rFonts w:cs="Arial"/>
          <w:iCs/>
          <w:sz w:val="26"/>
          <w:szCs w:val="26"/>
          <w:bdr w:val="none" w:sz="0" w:space="0" w:color="auto" w:frame="1"/>
          <w:shd w:val="clear" w:color="auto" w:fill="FFFFFF"/>
          <w:lang w:val="es-CO"/>
        </w:rPr>
        <w:t xml:space="preserve">de </w:t>
      </w:r>
      <w:r w:rsidR="006A2FEC" w:rsidRPr="00453D61">
        <w:rPr>
          <w:rFonts w:cs="Arial"/>
          <w:iCs/>
          <w:sz w:val="26"/>
          <w:szCs w:val="26"/>
          <w:bdr w:val="none" w:sz="0" w:space="0" w:color="auto" w:frame="1"/>
          <w:shd w:val="clear" w:color="auto" w:fill="FFFFFF"/>
          <w:lang w:val="es-CO"/>
        </w:rPr>
        <w:t xml:space="preserve">Protección </w:t>
      </w:r>
      <w:r w:rsidR="006A2FEC" w:rsidRPr="00453D61">
        <w:rPr>
          <w:rFonts w:cs="Arial"/>
          <w:iCs/>
          <w:sz w:val="26"/>
          <w:szCs w:val="26"/>
          <w:bdr w:val="none" w:sz="0" w:space="0" w:color="auto" w:frame="1"/>
          <w:shd w:val="clear" w:color="auto" w:fill="FFFFFF"/>
          <w:lang w:val="es-CO"/>
        </w:rPr>
        <w:lastRenderedPageBreak/>
        <w:t>Privada 2010 y Reforma 222</w:t>
      </w:r>
      <w:r w:rsidRPr="00453D61">
        <w:rPr>
          <w:rFonts w:cs="Arial"/>
          <w:iCs/>
          <w:sz w:val="26"/>
          <w:szCs w:val="26"/>
          <w:bdr w:val="none" w:sz="0" w:space="0" w:color="auto" w:frame="1"/>
          <w:shd w:val="clear" w:color="auto" w:fill="FFFFFF"/>
          <w:lang w:val="es-CO"/>
        </w:rPr>
        <w:t xml:space="preserve"> </w:t>
      </w:r>
      <w:r w:rsidR="000B577B" w:rsidRPr="003F6B95">
        <w:rPr>
          <w:rFonts w:cs="Arial"/>
          <w:iCs/>
          <w:color w:val="000000"/>
          <w:sz w:val="26"/>
          <w:szCs w:val="26"/>
          <w:bdr w:val="none" w:sz="0" w:space="0" w:color="auto" w:frame="1"/>
          <w:shd w:val="clear" w:color="auto" w:fill="FFFFFF"/>
          <w:lang w:val="es-CO"/>
        </w:rPr>
        <w:t>frente a</w:t>
      </w:r>
      <w:r w:rsidRPr="003F6B95">
        <w:rPr>
          <w:rFonts w:cs="Arial"/>
          <w:iCs/>
          <w:color w:val="000000"/>
          <w:sz w:val="26"/>
          <w:szCs w:val="26"/>
          <w:bdr w:val="none" w:sz="0" w:space="0" w:color="auto" w:frame="1"/>
          <w:shd w:val="clear" w:color="auto" w:fill="FFFFFF"/>
          <w:lang w:val="es-CO"/>
        </w:rPr>
        <w:t xml:space="preserve"> </w:t>
      </w:r>
      <w:r w:rsidRPr="003F6B95">
        <w:rPr>
          <w:rFonts w:cs="Arial"/>
          <w:color w:val="FF0000"/>
          <w:sz w:val="26"/>
          <w:szCs w:val="26"/>
          <w:lang w:val="es-MX"/>
        </w:rPr>
        <w:t>JMDF</w:t>
      </w:r>
      <w:r w:rsidRPr="003F6B95">
        <w:rPr>
          <w:rFonts w:cs="Arial"/>
          <w:iCs/>
          <w:color w:val="000000"/>
          <w:sz w:val="26"/>
          <w:szCs w:val="26"/>
          <w:bdr w:val="none" w:sz="0" w:space="0" w:color="auto" w:frame="1"/>
          <w:shd w:val="clear" w:color="auto" w:fill="FFFFFF"/>
          <w:lang w:val="es-CO"/>
        </w:rPr>
        <w:t xml:space="preserve">, </w:t>
      </w:r>
      <w:r w:rsidR="001D2751" w:rsidRPr="003F6B95">
        <w:rPr>
          <w:rFonts w:cs="Arial"/>
          <w:iCs/>
          <w:color w:val="000000"/>
          <w:sz w:val="26"/>
          <w:szCs w:val="26"/>
          <w:bdr w:val="none" w:sz="0" w:space="0" w:color="auto" w:frame="1"/>
          <w:shd w:val="clear" w:color="auto" w:fill="FFFFFF"/>
          <w:lang w:val="es-CO"/>
        </w:rPr>
        <w:t>pues,</w:t>
      </w:r>
      <w:r w:rsidRPr="003F6B95">
        <w:rPr>
          <w:rFonts w:cs="Arial"/>
          <w:iCs/>
          <w:color w:val="000000"/>
          <w:sz w:val="26"/>
          <w:szCs w:val="26"/>
          <w:bdr w:val="none" w:sz="0" w:space="0" w:color="auto" w:frame="1"/>
          <w:shd w:val="clear" w:color="auto" w:fill="FFFFFF"/>
          <w:lang w:val="es-CO"/>
        </w:rPr>
        <w:t xml:space="preserve"> de lo contrario</w:t>
      </w:r>
      <w:r w:rsidR="001D2751" w:rsidRPr="003F6B95">
        <w:rPr>
          <w:rFonts w:cs="Arial"/>
          <w:iCs/>
          <w:color w:val="000000"/>
          <w:sz w:val="26"/>
          <w:szCs w:val="26"/>
          <w:bdr w:val="none" w:sz="0" w:space="0" w:color="auto" w:frame="1"/>
          <w:shd w:val="clear" w:color="auto" w:fill="FFFFFF"/>
          <w:lang w:val="es-CO"/>
        </w:rPr>
        <w:t>,</w:t>
      </w:r>
      <w:r w:rsidRPr="003F6B95">
        <w:rPr>
          <w:rFonts w:cs="Arial"/>
          <w:iCs/>
          <w:color w:val="000000"/>
          <w:sz w:val="26"/>
          <w:szCs w:val="26"/>
          <w:bdr w:val="none" w:sz="0" w:space="0" w:color="auto" w:frame="1"/>
          <w:shd w:val="clear" w:color="auto" w:fill="FFFFFF"/>
          <w:lang w:val="es-CO"/>
        </w:rPr>
        <w:t xml:space="preserve"> </w:t>
      </w:r>
      <w:r w:rsidR="001D2751" w:rsidRPr="003F6B95">
        <w:rPr>
          <w:rFonts w:cs="Arial"/>
          <w:iCs/>
          <w:color w:val="000000"/>
          <w:sz w:val="26"/>
          <w:szCs w:val="26"/>
          <w:bdr w:val="none" w:sz="0" w:space="0" w:color="auto" w:frame="1"/>
          <w:shd w:val="clear" w:color="auto" w:fill="FFFFFF"/>
          <w:lang w:val="es-CO"/>
        </w:rPr>
        <w:t xml:space="preserve">las personas morales </w:t>
      </w:r>
      <w:r w:rsidRPr="003F6B95">
        <w:rPr>
          <w:rFonts w:cs="Arial"/>
          <w:iCs/>
          <w:color w:val="000000"/>
          <w:sz w:val="26"/>
          <w:szCs w:val="26"/>
          <w:bdr w:val="none" w:sz="0" w:space="0" w:color="auto" w:frame="1"/>
          <w:shd w:val="clear" w:color="auto" w:fill="FFFFFF"/>
          <w:lang w:val="es-CO"/>
        </w:rPr>
        <w:t>no habrían acordado y realizado las medidas de reparación. Es</w:t>
      </w:r>
      <w:r w:rsidR="001D2751" w:rsidRPr="003F6B95">
        <w:rPr>
          <w:rFonts w:cs="Arial"/>
          <w:iCs/>
          <w:color w:val="000000"/>
          <w:sz w:val="26"/>
          <w:szCs w:val="26"/>
          <w:bdr w:val="none" w:sz="0" w:space="0" w:color="auto" w:frame="1"/>
          <w:shd w:val="clear" w:color="auto" w:fill="FFFFFF"/>
          <w:lang w:val="es-CO"/>
        </w:rPr>
        <w:t>t</w:t>
      </w:r>
      <w:r w:rsidRPr="003F6B95">
        <w:rPr>
          <w:rFonts w:cs="Arial"/>
          <w:iCs/>
          <w:color w:val="000000"/>
          <w:sz w:val="26"/>
          <w:szCs w:val="26"/>
          <w:bdr w:val="none" w:sz="0" w:space="0" w:color="auto" w:frame="1"/>
          <w:shd w:val="clear" w:color="auto" w:fill="FFFFFF"/>
          <w:lang w:val="es-CO"/>
        </w:rPr>
        <w:t xml:space="preserve">a consideración pierde de vista </w:t>
      </w:r>
      <w:r w:rsidR="0013698C">
        <w:rPr>
          <w:rFonts w:cs="Arial"/>
          <w:iCs/>
          <w:color w:val="000000"/>
          <w:sz w:val="26"/>
          <w:szCs w:val="26"/>
          <w:bdr w:val="none" w:sz="0" w:space="0" w:color="auto" w:frame="1"/>
          <w:shd w:val="clear" w:color="auto" w:fill="FFFFFF"/>
          <w:lang w:val="es-CO"/>
        </w:rPr>
        <w:t xml:space="preserve">el objetivo </w:t>
      </w:r>
      <w:r w:rsidRPr="003F6B95">
        <w:rPr>
          <w:rFonts w:cs="Arial"/>
          <w:iCs/>
          <w:color w:val="000000"/>
          <w:sz w:val="26"/>
          <w:szCs w:val="26"/>
          <w:bdr w:val="none" w:sz="0" w:space="0" w:color="auto" w:frame="1"/>
          <w:shd w:val="clear" w:color="auto" w:fill="FFFFFF"/>
          <w:lang w:val="es-CO"/>
        </w:rPr>
        <w:t>de la conciliación y que los acuerdos se adoptaron de buena fe, por lo que era inviable calificarlos como un reconocimiento de que los hechos reclamados sucedieron exactamente de la forma como los plantearon las quejosas.</w:t>
      </w:r>
    </w:p>
    <w:p w14:paraId="781BA731" w14:textId="77777777" w:rsidR="009C75AB" w:rsidRPr="003F6B95" w:rsidRDefault="009C75AB" w:rsidP="00791AB7">
      <w:pPr>
        <w:spacing w:line="360" w:lineRule="auto"/>
        <w:rPr>
          <w:rFonts w:ascii="Arial" w:hAnsi="Arial" w:cs="Arial"/>
          <w:iCs/>
          <w:color w:val="000000"/>
          <w:sz w:val="26"/>
          <w:szCs w:val="26"/>
          <w:bdr w:val="none" w:sz="0" w:space="0" w:color="auto" w:frame="1"/>
          <w:shd w:val="clear" w:color="auto" w:fill="FFFFFF"/>
          <w:lang w:val="es-CO"/>
        </w:rPr>
      </w:pPr>
    </w:p>
    <w:p w14:paraId="57E9EC86" w14:textId="3E2B9020" w:rsidR="009C75AB" w:rsidRPr="003F6B95" w:rsidRDefault="009C75AB" w:rsidP="009A2B2D">
      <w:pPr>
        <w:pStyle w:val="corte4fondo"/>
        <w:numPr>
          <w:ilvl w:val="0"/>
          <w:numId w:val="2"/>
        </w:numPr>
        <w:tabs>
          <w:tab w:val="left" w:pos="0"/>
        </w:tabs>
        <w:ind w:left="0" w:right="51" w:hanging="567"/>
        <w:rPr>
          <w:rFonts w:cs="Arial"/>
          <w:iCs/>
          <w:color w:val="000000"/>
          <w:sz w:val="26"/>
          <w:szCs w:val="26"/>
          <w:bdr w:val="none" w:sz="0" w:space="0" w:color="auto" w:frame="1"/>
          <w:shd w:val="clear" w:color="auto" w:fill="FFFFFF"/>
          <w:lang w:val="es-CO"/>
        </w:rPr>
      </w:pPr>
      <w:r w:rsidRPr="003F6B95">
        <w:rPr>
          <w:rFonts w:cs="Arial"/>
          <w:iCs/>
          <w:color w:val="000000"/>
          <w:sz w:val="26"/>
          <w:szCs w:val="26"/>
          <w:bdr w:val="none" w:sz="0" w:space="0" w:color="auto" w:frame="1"/>
          <w:shd w:val="clear" w:color="auto" w:fill="FFFFFF"/>
          <w:lang w:val="es-CO"/>
        </w:rPr>
        <w:t xml:space="preserve">La valoración de la </w:t>
      </w:r>
      <w:r w:rsidR="002C121D" w:rsidRPr="003F6B95">
        <w:rPr>
          <w:rFonts w:cs="Arial"/>
          <w:iCs/>
          <w:color w:val="000000"/>
          <w:sz w:val="26"/>
          <w:szCs w:val="26"/>
          <w:bdr w:val="none" w:sz="0" w:space="0" w:color="auto" w:frame="1"/>
          <w:shd w:val="clear" w:color="auto" w:fill="FFFFFF"/>
          <w:lang w:val="es-CO"/>
        </w:rPr>
        <w:t>s</w:t>
      </w:r>
      <w:r w:rsidRPr="003F6B95">
        <w:rPr>
          <w:rFonts w:cs="Arial"/>
          <w:iCs/>
          <w:color w:val="000000"/>
          <w:sz w:val="26"/>
          <w:szCs w:val="26"/>
          <w:bdr w:val="none" w:sz="0" w:space="0" w:color="auto" w:frame="1"/>
          <w:shd w:val="clear" w:color="auto" w:fill="FFFFFF"/>
          <w:lang w:val="es-CO"/>
        </w:rPr>
        <w:t xml:space="preserve">ala </w:t>
      </w:r>
      <w:r w:rsidR="00196A13" w:rsidRPr="003F6B95">
        <w:rPr>
          <w:rFonts w:cs="Arial"/>
          <w:iCs/>
          <w:color w:val="000000"/>
          <w:sz w:val="26"/>
          <w:szCs w:val="26"/>
          <w:bdr w:val="none" w:sz="0" w:space="0" w:color="auto" w:frame="1"/>
          <w:shd w:val="clear" w:color="auto" w:fill="FFFFFF"/>
          <w:lang w:val="es-CO"/>
        </w:rPr>
        <w:t xml:space="preserve">también </w:t>
      </w:r>
      <w:r w:rsidR="002C121D" w:rsidRPr="003F6B95">
        <w:rPr>
          <w:rFonts w:cs="Arial"/>
          <w:iCs/>
          <w:color w:val="000000"/>
          <w:sz w:val="26"/>
          <w:szCs w:val="26"/>
          <w:bdr w:val="none" w:sz="0" w:space="0" w:color="auto" w:frame="1"/>
          <w:shd w:val="clear" w:color="auto" w:fill="FFFFFF"/>
          <w:lang w:val="es-CO"/>
        </w:rPr>
        <w:t xml:space="preserve">ignora que </w:t>
      </w:r>
      <w:r w:rsidRPr="003F6B95">
        <w:rPr>
          <w:rFonts w:cs="Arial"/>
          <w:iCs/>
          <w:color w:val="000000"/>
          <w:sz w:val="26"/>
          <w:szCs w:val="26"/>
          <w:bdr w:val="none" w:sz="0" w:space="0" w:color="auto" w:frame="1"/>
          <w:shd w:val="clear" w:color="auto" w:fill="FFFFFF"/>
          <w:lang w:val="es-CO"/>
        </w:rPr>
        <w:t xml:space="preserve">pueden presentarse diversas razones por las que una persona señalada como responsable opte por llegar a un acuerdo conciliatorio, y no necesariamente porque acepte que cometió el </w:t>
      </w:r>
      <w:r w:rsidR="004A37BC">
        <w:rPr>
          <w:rFonts w:cs="Arial"/>
          <w:iCs/>
          <w:color w:val="000000"/>
          <w:sz w:val="26"/>
          <w:szCs w:val="26"/>
          <w:bdr w:val="none" w:sz="0" w:space="0" w:color="auto" w:frame="1"/>
          <w:shd w:val="clear" w:color="auto" w:fill="FFFFFF"/>
          <w:lang w:val="es-CO"/>
        </w:rPr>
        <w:t>acto</w:t>
      </w:r>
      <w:r w:rsidR="004A37BC" w:rsidRPr="003F6B95">
        <w:rPr>
          <w:rFonts w:cs="Arial"/>
          <w:iCs/>
          <w:color w:val="000000"/>
          <w:sz w:val="26"/>
          <w:szCs w:val="26"/>
          <w:bdr w:val="none" w:sz="0" w:space="0" w:color="auto" w:frame="1"/>
          <w:shd w:val="clear" w:color="auto" w:fill="FFFFFF"/>
          <w:lang w:val="es-CO"/>
        </w:rPr>
        <w:t xml:space="preserve"> que se le imputa.</w:t>
      </w:r>
      <w:r w:rsidRPr="003F6B95">
        <w:rPr>
          <w:rFonts w:cs="Arial"/>
          <w:iCs/>
          <w:color w:val="000000"/>
          <w:sz w:val="26"/>
          <w:szCs w:val="26"/>
          <w:bdr w:val="none" w:sz="0" w:space="0" w:color="auto" w:frame="1"/>
          <w:shd w:val="clear" w:color="auto" w:fill="FFFFFF"/>
          <w:lang w:val="es-CO"/>
        </w:rPr>
        <w:t xml:space="preserve"> De hecho, esa es precisamente la lógica de los mecanismos de negociación: </w:t>
      </w:r>
      <w:r w:rsidRPr="008C5C84">
        <w:rPr>
          <w:rFonts w:cs="Arial"/>
          <w:color w:val="000000"/>
          <w:sz w:val="26"/>
          <w:szCs w:val="26"/>
          <w:bdr w:val="none" w:sz="0" w:space="0" w:color="auto" w:frame="1"/>
          <w:shd w:val="clear" w:color="auto" w:fill="FFFFFF"/>
          <w:lang w:val="es-CO"/>
        </w:rPr>
        <w:t xml:space="preserve">que cada </w:t>
      </w:r>
      <w:r w:rsidR="004B6FAC">
        <w:rPr>
          <w:rFonts w:cs="Arial"/>
          <w:iCs/>
          <w:color w:val="000000"/>
          <w:sz w:val="26"/>
          <w:szCs w:val="26"/>
          <w:bdr w:val="none" w:sz="0" w:space="0" w:color="auto" w:frame="1"/>
          <w:shd w:val="clear" w:color="auto" w:fill="FFFFFF"/>
          <w:lang w:val="es-CO"/>
        </w:rPr>
        <w:t>uno</w:t>
      </w:r>
      <w:r w:rsidRPr="008C5C84">
        <w:rPr>
          <w:rFonts w:cs="Arial"/>
          <w:color w:val="000000"/>
          <w:sz w:val="26"/>
          <w:szCs w:val="26"/>
          <w:bdr w:val="none" w:sz="0" w:space="0" w:color="auto" w:frame="1"/>
          <w:shd w:val="clear" w:color="auto" w:fill="FFFFFF"/>
          <w:lang w:val="es-CO"/>
        </w:rPr>
        <w:t xml:space="preserve"> ceda parte de su pretensión</w:t>
      </w:r>
      <w:r w:rsidRPr="003F6B95">
        <w:rPr>
          <w:rFonts w:cs="Arial"/>
          <w:iCs/>
          <w:color w:val="000000"/>
          <w:sz w:val="26"/>
          <w:szCs w:val="26"/>
          <w:bdr w:val="none" w:sz="0" w:space="0" w:color="auto" w:frame="1"/>
          <w:shd w:val="clear" w:color="auto" w:fill="FFFFFF"/>
          <w:lang w:val="es-CO"/>
        </w:rPr>
        <w:t xml:space="preserve"> para llegar a un acuerdo a fin de eludir un riesgo o consecuencia negativa, ya sea perder por completo o pagar un mayor costo político, económico o de otro tipo. </w:t>
      </w:r>
      <w:r w:rsidR="002469CE" w:rsidRPr="003F6B95">
        <w:rPr>
          <w:rFonts w:cs="Arial"/>
          <w:iCs/>
          <w:color w:val="000000"/>
          <w:sz w:val="26"/>
          <w:szCs w:val="26"/>
          <w:bdr w:val="none" w:sz="0" w:space="0" w:color="auto" w:frame="1"/>
          <w:shd w:val="clear" w:color="auto" w:fill="FFFFFF"/>
          <w:lang w:val="es-CO"/>
        </w:rPr>
        <w:t>Entonces, l</w:t>
      </w:r>
      <w:r w:rsidRPr="003F6B95">
        <w:rPr>
          <w:rFonts w:cs="Arial"/>
          <w:iCs/>
          <w:color w:val="000000"/>
          <w:sz w:val="26"/>
          <w:szCs w:val="26"/>
          <w:bdr w:val="none" w:sz="0" w:space="0" w:color="auto" w:frame="1"/>
          <w:shd w:val="clear" w:color="auto" w:fill="FFFFFF"/>
          <w:lang w:val="es-CO"/>
        </w:rPr>
        <w:t xml:space="preserve">a hipótesis en la que la </w:t>
      </w:r>
      <w:r w:rsidR="002469CE" w:rsidRPr="003F6B95">
        <w:rPr>
          <w:rFonts w:cs="Arial"/>
          <w:iCs/>
          <w:color w:val="000000"/>
          <w:sz w:val="26"/>
          <w:szCs w:val="26"/>
          <w:bdr w:val="none" w:sz="0" w:space="0" w:color="auto" w:frame="1"/>
          <w:shd w:val="clear" w:color="auto" w:fill="FFFFFF"/>
          <w:lang w:val="es-CO"/>
        </w:rPr>
        <w:t>s</w:t>
      </w:r>
      <w:r w:rsidRPr="003F6B95">
        <w:rPr>
          <w:rFonts w:cs="Arial"/>
          <w:iCs/>
          <w:color w:val="000000"/>
          <w:sz w:val="26"/>
          <w:szCs w:val="26"/>
          <w:bdr w:val="none" w:sz="0" w:space="0" w:color="auto" w:frame="1"/>
          <w:shd w:val="clear" w:color="auto" w:fill="FFFFFF"/>
          <w:lang w:val="es-CO"/>
        </w:rPr>
        <w:t xml:space="preserve">ala basó su decisión era plausible, </w:t>
      </w:r>
      <w:r w:rsidR="002469CE" w:rsidRPr="003F6B95">
        <w:rPr>
          <w:rFonts w:cs="Arial"/>
          <w:iCs/>
          <w:color w:val="000000"/>
          <w:sz w:val="26"/>
          <w:szCs w:val="26"/>
          <w:bdr w:val="none" w:sz="0" w:space="0" w:color="auto" w:frame="1"/>
          <w:shd w:val="clear" w:color="auto" w:fill="FFFFFF"/>
          <w:lang w:val="es-CO"/>
        </w:rPr>
        <w:t xml:space="preserve">mas </w:t>
      </w:r>
      <w:r w:rsidRPr="003F6B95">
        <w:rPr>
          <w:rFonts w:cs="Arial"/>
          <w:iCs/>
          <w:color w:val="000000"/>
          <w:sz w:val="26"/>
          <w:szCs w:val="26"/>
          <w:bdr w:val="none" w:sz="0" w:space="0" w:color="auto" w:frame="1"/>
          <w:shd w:val="clear" w:color="auto" w:fill="FFFFFF"/>
          <w:lang w:val="es-CO"/>
        </w:rPr>
        <w:t>no la única.</w:t>
      </w:r>
      <w:r w:rsidR="00AF44C5" w:rsidRPr="003F6B95">
        <w:rPr>
          <w:rFonts w:cs="Arial"/>
          <w:iCs/>
          <w:color w:val="000000"/>
          <w:sz w:val="26"/>
          <w:szCs w:val="26"/>
          <w:bdr w:val="none" w:sz="0" w:space="0" w:color="auto" w:frame="1"/>
          <w:shd w:val="clear" w:color="auto" w:fill="FFFFFF"/>
          <w:lang w:val="es-CO"/>
        </w:rPr>
        <w:t xml:space="preserve"> De ahí que las cons</w:t>
      </w:r>
      <w:r w:rsidR="00AD0BC8" w:rsidRPr="003F6B95">
        <w:rPr>
          <w:rFonts w:cs="Arial"/>
          <w:iCs/>
          <w:color w:val="000000"/>
          <w:sz w:val="26"/>
          <w:szCs w:val="26"/>
          <w:bdr w:val="none" w:sz="0" w:space="0" w:color="auto" w:frame="1"/>
          <w:shd w:val="clear" w:color="auto" w:fill="FFFFFF"/>
          <w:lang w:val="es-CO"/>
        </w:rPr>
        <w:t xml:space="preserve">ideraciones de la sala </w:t>
      </w:r>
      <w:r w:rsidR="00E82F90" w:rsidRPr="003F6B95">
        <w:rPr>
          <w:rFonts w:cs="Arial"/>
          <w:iCs/>
          <w:color w:val="000000"/>
          <w:sz w:val="26"/>
          <w:szCs w:val="26"/>
          <w:bdr w:val="none" w:sz="0" w:space="0" w:color="auto" w:frame="1"/>
          <w:shd w:val="clear" w:color="auto" w:fill="FFFFFF"/>
          <w:lang w:val="es-CO"/>
        </w:rPr>
        <w:t>responsable relativas a</w:t>
      </w:r>
      <w:r w:rsidR="00AD0BC8" w:rsidRPr="003F6B95">
        <w:rPr>
          <w:rFonts w:cs="Arial"/>
          <w:iCs/>
          <w:color w:val="000000"/>
          <w:sz w:val="26"/>
          <w:szCs w:val="26"/>
          <w:bdr w:val="none" w:sz="0" w:space="0" w:color="auto" w:frame="1"/>
          <w:shd w:val="clear" w:color="auto" w:fill="FFFFFF"/>
          <w:lang w:val="es-CO"/>
        </w:rPr>
        <w:t>l valor</w:t>
      </w:r>
      <w:r w:rsidR="00E82F90" w:rsidRPr="003F6B95">
        <w:rPr>
          <w:rFonts w:cs="Arial"/>
          <w:iCs/>
          <w:color w:val="000000"/>
          <w:sz w:val="26"/>
          <w:szCs w:val="26"/>
          <w:bdr w:val="none" w:sz="0" w:space="0" w:color="auto" w:frame="1"/>
          <w:shd w:val="clear" w:color="auto" w:fill="FFFFFF"/>
          <w:lang w:val="es-CO"/>
        </w:rPr>
        <w:t xml:space="preserve"> probatorio</w:t>
      </w:r>
      <w:r w:rsidR="00AD0BC8" w:rsidRPr="003F6B95">
        <w:rPr>
          <w:rFonts w:cs="Arial"/>
          <w:iCs/>
          <w:color w:val="000000"/>
          <w:sz w:val="26"/>
          <w:szCs w:val="26"/>
          <w:bdr w:val="none" w:sz="0" w:space="0" w:color="auto" w:frame="1"/>
          <w:shd w:val="clear" w:color="auto" w:fill="FFFFFF"/>
          <w:lang w:val="es-CO"/>
        </w:rPr>
        <w:t xml:space="preserve"> del expediente </w:t>
      </w:r>
      <w:r w:rsidR="00E82F90" w:rsidRPr="003F6B95">
        <w:rPr>
          <w:rFonts w:cs="Arial"/>
          <w:iCs/>
          <w:color w:val="000000"/>
          <w:sz w:val="26"/>
          <w:szCs w:val="26"/>
          <w:bdr w:val="none" w:sz="0" w:space="0" w:color="auto" w:frame="1"/>
          <w:shd w:val="clear" w:color="auto" w:fill="FFFFFF"/>
          <w:lang w:val="es-CO"/>
        </w:rPr>
        <w:t>d</w:t>
      </w:r>
      <w:r w:rsidR="00AD0BC8" w:rsidRPr="003F6B95">
        <w:rPr>
          <w:rFonts w:cs="Arial"/>
          <w:iCs/>
          <w:color w:val="000000"/>
          <w:sz w:val="26"/>
          <w:szCs w:val="26"/>
          <w:bdr w:val="none" w:sz="0" w:space="0" w:color="auto" w:frame="1"/>
          <w:shd w:val="clear" w:color="auto" w:fill="FFFFFF"/>
          <w:lang w:val="es-CO"/>
        </w:rPr>
        <w:t xml:space="preserve">el COPRED en el caso concreto fueran desacertadas. </w:t>
      </w:r>
    </w:p>
    <w:p w14:paraId="4423B5E8" w14:textId="77777777" w:rsidR="00D175CF" w:rsidRPr="003F6B95" w:rsidRDefault="00D175CF" w:rsidP="00791AB7">
      <w:pPr>
        <w:pStyle w:val="corte4fondo"/>
        <w:tabs>
          <w:tab w:val="left" w:pos="0"/>
        </w:tabs>
        <w:ind w:right="51" w:firstLine="0"/>
        <w:rPr>
          <w:rFonts w:cs="Arial"/>
          <w:iCs/>
          <w:color w:val="000000"/>
          <w:sz w:val="26"/>
          <w:szCs w:val="26"/>
          <w:bdr w:val="none" w:sz="0" w:space="0" w:color="auto" w:frame="1"/>
          <w:shd w:val="clear" w:color="auto" w:fill="FFFFFF"/>
          <w:lang w:val="es-CO"/>
        </w:rPr>
      </w:pPr>
    </w:p>
    <w:p w14:paraId="29066E55" w14:textId="77777777" w:rsidR="00FA4C0A" w:rsidRPr="003F6B95" w:rsidRDefault="00EA33DE" w:rsidP="00404E37">
      <w:pPr>
        <w:pStyle w:val="corte4fondo"/>
        <w:tabs>
          <w:tab w:val="left" w:pos="0"/>
        </w:tabs>
        <w:ind w:right="51" w:firstLine="0"/>
        <w:rPr>
          <w:rFonts w:cs="Arial"/>
          <w:bdr w:val="none" w:sz="0" w:space="0" w:color="auto" w:frame="1"/>
          <w:shd w:val="clear" w:color="auto" w:fill="FFFFFF"/>
        </w:rPr>
      </w:pPr>
      <w:r w:rsidRPr="003F6B95">
        <w:rPr>
          <w:rFonts w:cs="Arial"/>
          <w:i/>
          <w:color w:val="000000"/>
          <w:sz w:val="26"/>
          <w:szCs w:val="26"/>
          <w:bdr w:val="none" w:sz="0" w:space="0" w:color="auto" w:frame="1"/>
          <w:shd w:val="clear" w:color="auto" w:fill="FFFFFF"/>
          <w:lang w:val="es-CO"/>
        </w:rPr>
        <w:t xml:space="preserve">b. </w:t>
      </w:r>
      <w:r w:rsidR="009C75AB" w:rsidRPr="003F6B95">
        <w:rPr>
          <w:rFonts w:cs="Arial"/>
          <w:i/>
          <w:color w:val="000000"/>
          <w:sz w:val="26"/>
          <w:szCs w:val="26"/>
          <w:bdr w:val="none" w:sz="0" w:space="0" w:color="auto" w:frame="1"/>
          <w:shd w:val="clear" w:color="auto" w:fill="FFFFFF"/>
          <w:lang w:val="es-CO"/>
        </w:rPr>
        <w:t>Valor de las constancias de</w:t>
      </w:r>
      <w:r w:rsidR="00981493">
        <w:rPr>
          <w:rFonts w:cs="Arial"/>
          <w:i/>
          <w:color w:val="000000"/>
          <w:sz w:val="26"/>
          <w:szCs w:val="26"/>
          <w:bdr w:val="none" w:sz="0" w:space="0" w:color="auto" w:frame="1"/>
          <w:shd w:val="clear" w:color="auto" w:fill="FFFFFF"/>
          <w:lang w:val="es-CO"/>
        </w:rPr>
        <w:t xml:space="preserve">l </w:t>
      </w:r>
      <w:r w:rsidR="009C75AB" w:rsidRPr="003F6B95">
        <w:rPr>
          <w:rFonts w:cs="Arial"/>
          <w:i/>
          <w:color w:val="000000"/>
          <w:sz w:val="26"/>
          <w:szCs w:val="26"/>
          <w:bdr w:val="none" w:sz="0" w:space="0" w:color="auto" w:frame="1"/>
          <w:shd w:val="clear" w:color="auto" w:fill="FFFFFF"/>
          <w:lang w:val="es-CO"/>
        </w:rPr>
        <w:t>procedimiento conciliatorio</w:t>
      </w:r>
      <w:r w:rsidR="0051341A" w:rsidRPr="003F6B95">
        <w:rPr>
          <w:rFonts w:cs="Arial"/>
          <w:i/>
          <w:color w:val="000000"/>
          <w:sz w:val="26"/>
          <w:szCs w:val="26"/>
          <w:bdr w:val="none" w:sz="0" w:space="0" w:color="auto" w:frame="1"/>
          <w:shd w:val="clear" w:color="auto" w:fill="FFFFFF"/>
          <w:lang w:val="es-CO"/>
        </w:rPr>
        <w:t xml:space="preserve"> ante el COPRED</w:t>
      </w:r>
    </w:p>
    <w:p w14:paraId="76C37FAD" w14:textId="10FF3EEC" w:rsidR="00396D33" w:rsidRPr="00474A47" w:rsidRDefault="009E3D7B" w:rsidP="00A00F9A">
      <w:pPr>
        <w:pStyle w:val="corte4fondo"/>
        <w:numPr>
          <w:ilvl w:val="0"/>
          <w:numId w:val="2"/>
        </w:numPr>
        <w:tabs>
          <w:tab w:val="left" w:pos="0"/>
        </w:tabs>
        <w:spacing w:before="240"/>
        <w:ind w:left="0" w:right="51" w:hanging="567"/>
        <w:rPr>
          <w:rFonts w:cs="Arial"/>
          <w:iCs/>
          <w:color w:val="000000"/>
          <w:sz w:val="26"/>
          <w:szCs w:val="26"/>
          <w:bdr w:val="none" w:sz="0" w:space="0" w:color="auto" w:frame="1"/>
          <w:shd w:val="clear" w:color="auto" w:fill="FFFFFF"/>
          <w:lang w:val="es-CO"/>
        </w:rPr>
      </w:pPr>
      <w:r w:rsidRPr="009E3D7B">
        <w:rPr>
          <w:rFonts w:cs="Arial"/>
          <w:iCs/>
          <w:color w:val="000000"/>
          <w:sz w:val="26"/>
          <w:szCs w:val="26"/>
          <w:bdr w:val="none" w:sz="0" w:space="0" w:color="auto" w:frame="1"/>
          <w:shd w:val="clear" w:color="auto" w:fill="FFFFFF"/>
          <w:lang w:val="es-MX"/>
        </w:rPr>
        <w:t xml:space="preserve">Esta Primera Sala aclara que, aunque el procedimiento de conciliación ante el COPRED no tenga como objetivo adjudicar hechos, las constancias derivadas de dicho procedimiento </w:t>
      </w:r>
      <w:r w:rsidR="00F87C3B">
        <w:rPr>
          <w:rFonts w:cs="Arial"/>
          <w:iCs/>
          <w:color w:val="000000"/>
          <w:sz w:val="26"/>
          <w:szCs w:val="26"/>
          <w:bdr w:val="none" w:sz="0" w:space="0" w:color="auto" w:frame="1"/>
          <w:shd w:val="clear" w:color="auto" w:fill="FFFFFF"/>
          <w:lang w:val="es-MX"/>
        </w:rPr>
        <w:t>sí tienen</w:t>
      </w:r>
      <w:r w:rsidRPr="009E3D7B">
        <w:rPr>
          <w:rFonts w:cs="Arial"/>
          <w:iCs/>
          <w:color w:val="000000"/>
          <w:sz w:val="26"/>
          <w:szCs w:val="26"/>
          <w:bdr w:val="none" w:sz="0" w:space="0" w:color="auto" w:frame="1"/>
          <w:shd w:val="clear" w:color="auto" w:fill="FFFFFF"/>
          <w:lang w:val="es-MX"/>
        </w:rPr>
        <w:t xml:space="preserve"> valor</w:t>
      </w:r>
      <w:r w:rsidR="00F87C3B">
        <w:rPr>
          <w:rFonts w:cs="Arial"/>
          <w:iCs/>
          <w:color w:val="000000"/>
          <w:sz w:val="26"/>
          <w:szCs w:val="26"/>
          <w:bdr w:val="none" w:sz="0" w:space="0" w:color="auto" w:frame="1"/>
          <w:shd w:val="clear" w:color="auto" w:fill="FFFFFF"/>
          <w:lang w:val="es-MX"/>
        </w:rPr>
        <w:t xml:space="preserve"> pr</w:t>
      </w:r>
      <w:r w:rsidR="009D51E1">
        <w:rPr>
          <w:rFonts w:cs="Arial"/>
          <w:iCs/>
          <w:color w:val="000000"/>
          <w:sz w:val="26"/>
          <w:szCs w:val="26"/>
          <w:bdr w:val="none" w:sz="0" w:space="0" w:color="auto" w:frame="1"/>
          <w:shd w:val="clear" w:color="auto" w:fill="FFFFFF"/>
          <w:lang w:val="es-MX"/>
        </w:rPr>
        <w:t>o</w:t>
      </w:r>
      <w:r w:rsidR="00F87C3B">
        <w:rPr>
          <w:rFonts w:cs="Arial"/>
          <w:iCs/>
          <w:color w:val="000000"/>
          <w:sz w:val="26"/>
          <w:szCs w:val="26"/>
          <w:bdr w:val="none" w:sz="0" w:space="0" w:color="auto" w:frame="1"/>
          <w:shd w:val="clear" w:color="auto" w:fill="FFFFFF"/>
          <w:lang w:val="es-MX"/>
        </w:rPr>
        <w:t>batorio</w:t>
      </w:r>
      <w:r w:rsidRPr="009E3D7B">
        <w:rPr>
          <w:rFonts w:cs="Arial"/>
          <w:iCs/>
          <w:color w:val="000000"/>
          <w:sz w:val="26"/>
          <w:szCs w:val="26"/>
          <w:bdr w:val="none" w:sz="0" w:space="0" w:color="auto" w:frame="1"/>
          <w:shd w:val="clear" w:color="auto" w:fill="FFFFFF"/>
          <w:lang w:val="es-MX"/>
        </w:rPr>
        <w:t xml:space="preserve"> en otros procesos judiciales</w:t>
      </w:r>
      <w:r w:rsidR="00B2339D">
        <w:rPr>
          <w:rFonts w:cs="Arial"/>
          <w:iCs/>
          <w:color w:val="000000"/>
          <w:sz w:val="26"/>
          <w:szCs w:val="26"/>
          <w:bdr w:val="none" w:sz="0" w:space="0" w:color="auto" w:frame="1"/>
          <w:shd w:val="clear" w:color="auto" w:fill="FFFFFF"/>
          <w:lang w:val="es-CO"/>
        </w:rPr>
        <w:t>.</w:t>
      </w:r>
      <w:r w:rsidR="00A7625F" w:rsidRPr="00474A47" w:rsidDel="00B2339D">
        <w:rPr>
          <w:rFonts w:cs="Arial"/>
          <w:iCs/>
          <w:color w:val="000000"/>
          <w:sz w:val="26"/>
          <w:szCs w:val="26"/>
          <w:bdr w:val="none" w:sz="0" w:space="0" w:color="auto" w:frame="1"/>
          <w:shd w:val="clear" w:color="auto" w:fill="FFFFFF"/>
          <w:lang w:val="es-CO"/>
        </w:rPr>
        <w:t xml:space="preserve"> </w:t>
      </w:r>
      <w:r w:rsidR="00A7625F" w:rsidRPr="00474A47">
        <w:rPr>
          <w:rFonts w:cs="Arial"/>
          <w:iCs/>
          <w:color w:val="000000"/>
          <w:sz w:val="26"/>
          <w:szCs w:val="26"/>
          <w:bdr w:val="none" w:sz="0" w:space="0" w:color="auto" w:frame="1"/>
          <w:shd w:val="clear" w:color="auto" w:fill="FFFFFF"/>
          <w:lang w:val="es-CO"/>
        </w:rPr>
        <w:t xml:space="preserve">Estas constancias son documentales públicas que </w:t>
      </w:r>
      <w:r w:rsidR="00396D33" w:rsidRPr="00474A47">
        <w:rPr>
          <w:rFonts w:cs="Arial"/>
          <w:iCs/>
          <w:color w:val="000000"/>
          <w:sz w:val="26"/>
          <w:szCs w:val="26"/>
          <w:bdr w:val="none" w:sz="0" w:space="0" w:color="auto" w:frame="1"/>
          <w:shd w:val="clear" w:color="auto" w:fill="FFFFFF"/>
          <w:lang w:val="es-CO"/>
        </w:rPr>
        <w:t>prueban qué ocurrió durante el procedimiento ante</w:t>
      </w:r>
      <w:r w:rsidR="00C623E0" w:rsidRPr="00474A47">
        <w:rPr>
          <w:rFonts w:cs="Arial"/>
          <w:iCs/>
          <w:color w:val="000000"/>
          <w:sz w:val="26"/>
          <w:szCs w:val="26"/>
          <w:bdr w:val="none" w:sz="0" w:space="0" w:color="auto" w:frame="1"/>
          <w:shd w:val="clear" w:color="auto" w:fill="FFFFFF"/>
          <w:lang w:val="es-CO"/>
        </w:rPr>
        <w:t xml:space="preserve"> esa</w:t>
      </w:r>
      <w:r w:rsidR="00396D33" w:rsidRPr="00474A47">
        <w:rPr>
          <w:rFonts w:cs="Arial"/>
          <w:iCs/>
          <w:color w:val="000000"/>
          <w:sz w:val="26"/>
          <w:szCs w:val="26"/>
          <w:bdr w:val="none" w:sz="0" w:space="0" w:color="auto" w:frame="1"/>
          <w:shd w:val="clear" w:color="auto" w:fill="FFFFFF"/>
          <w:lang w:val="es-CO"/>
        </w:rPr>
        <w:t xml:space="preserve"> autoridad. </w:t>
      </w:r>
      <w:r w:rsidR="00396D33" w:rsidRPr="00474A47" w:rsidDel="0042725E">
        <w:rPr>
          <w:rFonts w:cs="Arial"/>
          <w:iCs/>
          <w:color w:val="000000"/>
          <w:sz w:val="26"/>
          <w:szCs w:val="26"/>
          <w:bdr w:val="none" w:sz="0" w:space="0" w:color="auto" w:frame="1"/>
          <w:shd w:val="clear" w:color="auto" w:fill="FFFFFF"/>
          <w:lang w:val="es-CO"/>
        </w:rPr>
        <w:t xml:space="preserve">Así, </w:t>
      </w:r>
      <w:r w:rsidR="00C71121" w:rsidRPr="00474A47" w:rsidDel="0042725E">
        <w:rPr>
          <w:rFonts w:cs="Arial"/>
          <w:iCs/>
          <w:color w:val="000000"/>
          <w:sz w:val="26"/>
          <w:szCs w:val="26"/>
          <w:bdr w:val="none" w:sz="0" w:space="0" w:color="auto" w:frame="1"/>
          <w:shd w:val="clear" w:color="auto" w:fill="FFFFFF"/>
          <w:lang w:val="es-CO"/>
        </w:rPr>
        <w:t>por ejemplo</w:t>
      </w:r>
      <w:r w:rsidR="00C71121" w:rsidRPr="00474A47">
        <w:rPr>
          <w:rFonts w:cs="Arial"/>
          <w:iCs/>
          <w:color w:val="000000"/>
          <w:sz w:val="26"/>
          <w:szCs w:val="26"/>
          <w:bdr w:val="none" w:sz="0" w:space="0" w:color="auto" w:frame="1"/>
          <w:shd w:val="clear" w:color="auto" w:fill="FFFFFF"/>
          <w:lang w:val="es-CO"/>
        </w:rPr>
        <w:t xml:space="preserve">, </w:t>
      </w:r>
      <w:r w:rsidR="00984269" w:rsidRPr="00474A47">
        <w:rPr>
          <w:rFonts w:cs="Arial"/>
          <w:iCs/>
          <w:color w:val="000000"/>
          <w:sz w:val="26"/>
          <w:szCs w:val="26"/>
          <w:bdr w:val="none" w:sz="0" w:space="0" w:color="auto" w:frame="1"/>
          <w:shd w:val="clear" w:color="auto" w:fill="FFFFFF"/>
          <w:lang w:val="es-CO"/>
        </w:rPr>
        <w:t xml:space="preserve">tales constancias </w:t>
      </w:r>
      <w:r w:rsidR="00B75F59">
        <w:rPr>
          <w:rFonts w:cs="Arial"/>
          <w:iCs/>
          <w:color w:val="000000"/>
          <w:sz w:val="26"/>
          <w:szCs w:val="26"/>
          <w:bdr w:val="none" w:sz="0" w:space="0" w:color="auto" w:frame="1"/>
          <w:shd w:val="clear" w:color="auto" w:fill="FFFFFF"/>
          <w:lang w:val="es-CO"/>
        </w:rPr>
        <w:t>pueden acreditar</w:t>
      </w:r>
      <w:r w:rsidR="00984269" w:rsidRPr="00474A47">
        <w:rPr>
          <w:rFonts w:cs="Arial"/>
          <w:iCs/>
          <w:color w:val="000000"/>
          <w:sz w:val="26"/>
          <w:szCs w:val="26"/>
          <w:bdr w:val="none" w:sz="0" w:space="0" w:color="auto" w:frame="1"/>
          <w:shd w:val="clear" w:color="auto" w:fill="FFFFFF"/>
          <w:lang w:val="es-CO"/>
        </w:rPr>
        <w:t xml:space="preserve"> </w:t>
      </w:r>
      <w:r w:rsidR="00C71121" w:rsidRPr="00474A47">
        <w:rPr>
          <w:rFonts w:cs="Arial"/>
          <w:iCs/>
          <w:color w:val="000000"/>
          <w:sz w:val="26"/>
          <w:szCs w:val="26"/>
          <w:bdr w:val="none" w:sz="0" w:space="0" w:color="auto" w:frame="1"/>
          <w:shd w:val="clear" w:color="auto" w:fill="FFFFFF"/>
          <w:lang w:val="es-CO"/>
        </w:rPr>
        <w:t>qu</w:t>
      </w:r>
      <w:r w:rsidR="00FD312D" w:rsidRPr="00474A47">
        <w:rPr>
          <w:rFonts w:cs="Arial"/>
          <w:iCs/>
          <w:color w:val="000000"/>
          <w:sz w:val="26"/>
          <w:szCs w:val="26"/>
          <w:bdr w:val="none" w:sz="0" w:space="0" w:color="auto" w:frame="1"/>
          <w:shd w:val="clear" w:color="auto" w:fill="FFFFFF"/>
          <w:lang w:val="es-CO"/>
        </w:rPr>
        <w:t>e una o</w:t>
      </w:r>
      <w:r w:rsidR="0060182B">
        <w:rPr>
          <w:rFonts w:cs="Arial"/>
          <w:iCs/>
          <w:color w:val="000000"/>
          <w:sz w:val="26"/>
          <w:szCs w:val="26"/>
          <w:bdr w:val="none" w:sz="0" w:space="0" w:color="auto" w:frame="1"/>
          <w:shd w:val="clear" w:color="auto" w:fill="FFFFFF"/>
          <w:lang w:val="es-CO"/>
        </w:rPr>
        <w:t xml:space="preserve"> más</w:t>
      </w:r>
      <w:r w:rsidR="00FD312D" w:rsidRPr="00474A47">
        <w:rPr>
          <w:rFonts w:cs="Arial"/>
          <w:iCs/>
          <w:color w:val="000000"/>
          <w:sz w:val="26"/>
          <w:szCs w:val="26"/>
          <w:bdr w:val="none" w:sz="0" w:space="0" w:color="auto" w:frame="1"/>
          <w:shd w:val="clear" w:color="auto" w:fill="FFFFFF"/>
          <w:lang w:val="es-CO"/>
        </w:rPr>
        <w:t xml:space="preserve"> personas denunciaron c</w:t>
      </w:r>
      <w:r w:rsidR="006B2B74" w:rsidRPr="00474A47">
        <w:rPr>
          <w:rFonts w:cs="Arial"/>
          <w:iCs/>
          <w:color w:val="000000"/>
          <w:sz w:val="26"/>
          <w:szCs w:val="26"/>
          <w:bdr w:val="none" w:sz="0" w:space="0" w:color="auto" w:frame="1"/>
          <w:shd w:val="clear" w:color="auto" w:fill="FFFFFF"/>
          <w:lang w:val="es-CO"/>
        </w:rPr>
        <w:t>iertos hechos presuntamente discriminatorios</w:t>
      </w:r>
      <w:r w:rsidR="00736513">
        <w:rPr>
          <w:rFonts w:cs="Arial"/>
          <w:iCs/>
          <w:color w:val="000000"/>
          <w:sz w:val="26"/>
          <w:szCs w:val="26"/>
          <w:bdr w:val="none" w:sz="0" w:space="0" w:color="auto" w:frame="1"/>
          <w:shd w:val="clear" w:color="auto" w:fill="FFFFFF"/>
          <w:lang w:val="es-CO"/>
        </w:rPr>
        <w:t>,</w:t>
      </w:r>
      <w:r w:rsidR="006B2B74" w:rsidRPr="00474A47">
        <w:rPr>
          <w:rFonts w:cs="Arial"/>
          <w:iCs/>
          <w:color w:val="000000"/>
          <w:sz w:val="26"/>
          <w:szCs w:val="26"/>
          <w:bdr w:val="none" w:sz="0" w:space="0" w:color="auto" w:frame="1"/>
          <w:shd w:val="clear" w:color="auto" w:fill="FFFFFF"/>
          <w:lang w:val="es-CO"/>
        </w:rPr>
        <w:t xml:space="preserve"> que</w:t>
      </w:r>
      <w:r w:rsidR="00C71121" w:rsidRPr="00474A47">
        <w:rPr>
          <w:rFonts w:cs="Arial"/>
          <w:iCs/>
          <w:color w:val="000000"/>
          <w:sz w:val="26"/>
          <w:szCs w:val="26"/>
          <w:bdr w:val="none" w:sz="0" w:space="0" w:color="auto" w:frame="1"/>
          <w:shd w:val="clear" w:color="auto" w:fill="FFFFFF"/>
          <w:lang w:val="es-CO"/>
        </w:rPr>
        <w:t xml:space="preserve"> </w:t>
      </w:r>
      <w:r w:rsidR="003F2D14" w:rsidRPr="00474A47">
        <w:rPr>
          <w:rFonts w:cs="Arial"/>
          <w:iCs/>
          <w:color w:val="000000"/>
          <w:sz w:val="26"/>
          <w:szCs w:val="26"/>
          <w:bdr w:val="none" w:sz="0" w:space="0" w:color="auto" w:frame="1"/>
          <w:shd w:val="clear" w:color="auto" w:fill="FFFFFF"/>
          <w:lang w:val="es-CO"/>
        </w:rPr>
        <w:t xml:space="preserve">las partes </w:t>
      </w:r>
      <w:r w:rsidR="00EE20F8" w:rsidRPr="00474A47">
        <w:rPr>
          <w:rFonts w:cs="Arial"/>
          <w:iCs/>
          <w:color w:val="000000"/>
          <w:sz w:val="26"/>
          <w:szCs w:val="26"/>
          <w:bdr w:val="none" w:sz="0" w:space="0" w:color="auto" w:frame="1"/>
          <w:shd w:val="clear" w:color="auto" w:fill="FFFFFF"/>
          <w:lang w:val="es-CO"/>
        </w:rPr>
        <w:t xml:space="preserve">en el procedimiento </w:t>
      </w:r>
      <w:r w:rsidR="003F2D14" w:rsidRPr="00474A47">
        <w:rPr>
          <w:rFonts w:cs="Arial"/>
          <w:iCs/>
          <w:color w:val="000000"/>
          <w:sz w:val="26"/>
          <w:szCs w:val="26"/>
          <w:bdr w:val="none" w:sz="0" w:space="0" w:color="auto" w:frame="1"/>
          <w:shd w:val="clear" w:color="auto" w:fill="FFFFFF"/>
          <w:lang w:val="es-CO"/>
        </w:rPr>
        <w:t xml:space="preserve">realizaron ciertas </w:t>
      </w:r>
      <w:r w:rsidR="00E27509" w:rsidRPr="00474A47">
        <w:rPr>
          <w:rFonts w:cs="Arial"/>
          <w:iCs/>
          <w:color w:val="000000"/>
          <w:sz w:val="26"/>
          <w:szCs w:val="26"/>
          <w:bdr w:val="none" w:sz="0" w:space="0" w:color="auto" w:frame="1"/>
          <w:shd w:val="clear" w:color="auto" w:fill="FFFFFF"/>
          <w:lang w:val="es-CO"/>
        </w:rPr>
        <w:t xml:space="preserve">manifestaciones o </w:t>
      </w:r>
      <w:r w:rsidR="003F2D14" w:rsidRPr="00474A47">
        <w:rPr>
          <w:rFonts w:cs="Arial"/>
          <w:iCs/>
          <w:color w:val="000000"/>
          <w:sz w:val="26"/>
          <w:szCs w:val="26"/>
          <w:bdr w:val="none" w:sz="0" w:space="0" w:color="auto" w:frame="1"/>
          <w:shd w:val="clear" w:color="auto" w:fill="FFFFFF"/>
          <w:lang w:val="es-CO"/>
        </w:rPr>
        <w:t>afirmaciones</w:t>
      </w:r>
      <w:r w:rsidR="000B520F">
        <w:rPr>
          <w:rFonts w:cs="Arial"/>
          <w:iCs/>
          <w:color w:val="000000"/>
          <w:sz w:val="26"/>
          <w:szCs w:val="26"/>
          <w:bdr w:val="none" w:sz="0" w:space="0" w:color="auto" w:frame="1"/>
          <w:shd w:val="clear" w:color="auto" w:fill="FFFFFF"/>
          <w:lang w:val="es-CO"/>
        </w:rPr>
        <w:t>,</w:t>
      </w:r>
      <w:r w:rsidR="00E27509" w:rsidRPr="00474A47">
        <w:rPr>
          <w:rFonts w:cs="Arial"/>
          <w:iCs/>
          <w:color w:val="000000"/>
          <w:sz w:val="26"/>
          <w:szCs w:val="26"/>
          <w:bdr w:val="none" w:sz="0" w:space="0" w:color="auto" w:frame="1"/>
          <w:shd w:val="clear" w:color="auto" w:fill="FFFFFF"/>
          <w:lang w:val="es-CO"/>
        </w:rPr>
        <w:t xml:space="preserve"> </w:t>
      </w:r>
      <w:r w:rsidR="000B520F" w:rsidRPr="000B520F">
        <w:rPr>
          <w:rFonts w:cs="Arial"/>
          <w:iCs/>
          <w:color w:val="000000"/>
          <w:sz w:val="26"/>
          <w:szCs w:val="26"/>
          <w:bdr w:val="none" w:sz="0" w:space="0" w:color="auto" w:frame="1"/>
          <w:shd w:val="clear" w:color="auto" w:fill="FFFFFF"/>
          <w:lang w:val="es-MX"/>
        </w:rPr>
        <w:t>que se presentaron documentos en el trámite de la queja o durante las reuniones de conciliación, y que, en su caso, se alcanzaron acuerdos específicos (como un convenio de conciliación), entre otros aspectos.</w:t>
      </w:r>
    </w:p>
    <w:p w14:paraId="45061705" w14:textId="77777777" w:rsidR="00396D33" w:rsidRPr="00474A47" w:rsidRDefault="00396D33" w:rsidP="006C54A0">
      <w:pPr>
        <w:pStyle w:val="corte4fondo"/>
        <w:tabs>
          <w:tab w:val="left" w:pos="0"/>
        </w:tabs>
        <w:ind w:right="51" w:firstLine="0"/>
        <w:rPr>
          <w:rFonts w:cs="Arial"/>
          <w:iCs/>
          <w:color w:val="000000"/>
          <w:sz w:val="26"/>
          <w:szCs w:val="26"/>
          <w:bdr w:val="none" w:sz="0" w:space="0" w:color="auto" w:frame="1"/>
          <w:shd w:val="clear" w:color="auto" w:fill="FFFFFF"/>
          <w:lang w:val="es-CO"/>
        </w:rPr>
      </w:pPr>
    </w:p>
    <w:p w14:paraId="15ADE85F" w14:textId="7ACB9B27" w:rsidR="004A37BC" w:rsidRPr="00F50A05" w:rsidRDefault="004A37BC" w:rsidP="004A37BC">
      <w:pPr>
        <w:pStyle w:val="corte4fondo"/>
        <w:numPr>
          <w:ilvl w:val="0"/>
          <w:numId w:val="2"/>
        </w:numPr>
        <w:tabs>
          <w:tab w:val="left" w:pos="0"/>
        </w:tabs>
        <w:ind w:left="0" w:right="51" w:hanging="567"/>
        <w:rPr>
          <w:rFonts w:cs="Arial"/>
          <w:iCs/>
          <w:color w:val="000000"/>
          <w:sz w:val="26"/>
          <w:szCs w:val="26"/>
          <w:bdr w:val="none" w:sz="0" w:space="0" w:color="auto" w:frame="1"/>
          <w:shd w:val="clear" w:color="auto" w:fill="FFFFFF"/>
          <w:lang w:val="es-CO"/>
        </w:rPr>
      </w:pPr>
      <w:r w:rsidRPr="00474A47">
        <w:rPr>
          <w:rFonts w:cs="Arial"/>
          <w:iCs/>
          <w:color w:val="000000"/>
          <w:sz w:val="26"/>
          <w:szCs w:val="26"/>
          <w:bdr w:val="none" w:sz="0" w:space="0" w:color="auto" w:frame="1"/>
          <w:shd w:val="clear" w:color="auto" w:fill="FFFFFF"/>
          <w:lang w:val="es-CO"/>
        </w:rPr>
        <w:t xml:space="preserve">En atención a lo anterior, </w:t>
      </w:r>
      <w:r w:rsidR="0096606E">
        <w:rPr>
          <w:rFonts w:cs="Arial"/>
          <w:iCs/>
          <w:color w:val="000000"/>
          <w:sz w:val="26"/>
          <w:szCs w:val="26"/>
          <w:bdr w:val="none" w:sz="0" w:space="0" w:color="auto" w:frame="1"/>
          <w:shd w:val="clear" w:color="auto" w:fill="FFFFFF"/>
          <w:lang w:val="es-CO"/>
        </w:rPr>
        <w:t>subrayamos</w:t>
      </w:r>
      <w:r w:rsidRPr="00474A47">
        <w:rPr>
          <w:rFonts w:cs="Arial"/>
          <w:iCs/>
          <w:color w:val="000000"/>
          <w:sz w:val="26"/>
          <w:szCs w:val="26"/>
          <w:bdr w:val="none" w:sz="0" w:space="0" w:color="auto" w:frame="1"/>
          <w:shd w:val="clear" w:color="auto" w:fill="FFFFFF"/>
          <w:lang w:val="es-CO"/>
        </w:rPr>
        <w:t xml:space="preserve"> que, si bien </w:t>
      </w:r>
      <w:r w:rsidR="008310C6">
        <w:rPr>
          <w:rFonts w:cs="Arial"/>
          <w:iCs/>
          <w:color w:val="000000"/>
          <w:sz w:val="26"/>
          <w:szCs w:val="26"/>
          <w:bdr w:val="none" w:sz="0" w:space="0" w:color="auto" w:frame="1"/>
          <w:shd w:val="clear" w:color="auto" w:fill="FFFFFF"/>
          <w:lang w:val="es-CO"/>
        </w:rPr>
        <w:t xml:space="preserve">un </w:t>
      </w:r>
      <w:r w:rsidRPr="00474A47">
        <w:rPr>
          <w:rFonts w:cs="Arial"/>
          <w:iCs/>
          <w:color w:val="000000"/>
          <w:sz w:val="26"/>
          <w:szCs w:val="26"/>
          <w:bdr w:val="none" w:sz="0" w:space="0" w:color="auto" w:frame="1"/>
          <w:shd w:val="clear" w:color="auto" w:fill="FFFFFF"/>
          <w:lang w:val="es-CO"/>
        </w:rPr>
        <w:t>convenio de conciliación</w:t>
      </w:r>
      <w:r w:rsidR="008310C6">
        <w:rPr>
          <w:rFonts w:cs="Arial"/>
          <w:iCs/>
          <w:color w:val="000000"/>
          <w:sz w:val="26"/>
          <w:szCs w:val="26"/>
          <w:bdr w:val="none" w:sz="0" w:space="0" w:color="auto" w:frame="1"/>
          <w:shd w:val="clear" w:color="auto" w:fill="FFFFFF"/>
          <w:lang w:val="es-CO"/>
        </w:rPr>
        <w:t xml:space="preserve"> no</w:t>
      </w:r>
      <w:r w:rsidRPr="00474A47">
        <w:rPr>
          <w:rFonts w:cs="Arial"/>
          <w:iCs/>
          <w:color w:val="000000"/>
          <w:sz w:val="26"/>
          <w:szCs w:val="26"/>
          <w:bdr w:val="none" w:sz="0" w:space="0" w:color="auto" w:frame="1"/>
          <w:shd w:val="clear" w:color="auto" w:fill="FFFFFF"/>
          <w:lang w:val="es-CO"/>
        </w:rPr>
        <w:t xml:space="preserve"> implica </w:t>
      </w:r>
      <w:r w:rsidR="008310C6" w:rsidRPr="00474A47">
        <w:rPr>
          <w:rFonts w:cs="Arial"/>
          <w:iCs/>
          <w:color w:val="000000"/>
          <w:sz w:val="26"/>
          <w:szCs w:val="26"/>
          <w:bdr w:val="none" w:sz="0" w:space="0" w:color="auto" w:frame="1"/>
          <w:shd w:val="clear" w:color="auto" w:fill="FFFFFF"/>
          <w:lang w:val="es-CO"/>
        </w:rPr>
        <w:t xml:space="preserve">necesariamente </w:t>
      </w:r>
      <w:r w:rsidRPr="00474A47">
        <w:rPr>
          <w:rFonts w:cs="Arial"/>
          <w:iCs/>
          <w:color w:val="000000"/>
          <w:sz w:val="26"/>
          <w:szCs w:val="26"/>
          <w:bdr w:val="none" w:sz="0" w:space="0" w:color="auto" w:frame="1"/>
          <w:shd w:val="clear" w:color="auto" w:fill="FFFFFF"/>
          <w:lang w:val="es-CO"/>
        </w:rPr>
        <w:t xml:space="preserve">el reconocimiento de los hechos alegados en </w:t>
      </w:r>
      <w:r w:rsidR="005F7FC0">
        <w:rPr>
          <w:rFonts w:cs="Arial"/>
          <w:iCs/>
          <w:color w:val="000000"/>
          <w:sz w:val="26"/>
          <w:szCs w:val="26"/>
          <w:bdr w:val="none" w:sz="0" w:space="0" w:color="auto" w:frame="1"/>
          <w:shd w:val="clear" w:color="auto" w:fill="FFFFFF"/>
          <w:lang w:val="es-CO"/>
        </w:rPr>
        <w:t>el</w:t>
      </w:r>
      <w:r w:rsidR="00260A9E" w:rsidRPr="00474A47">
        <w:rPr>
          <w:rFonts w:cs="Arial"/>
          <w:iCs/>
          <w:color w:val="000000"/>
          <w:sz w:val="26"/>
          <w:szCs w:val="26"/>
          <w:bdr w:val="none" w:sz="0" w:space="0" w:color="auto" w:frame="1"/>
          <w:shd w:val="clear" w:color="auto" w:fill="FFFFFF"/>
          <w:lang w:val="es-CO"/>
        </w:rPr>
        <w:t xml:space="preserve"> </w:t>
      </w:r>
      <w:r w:rsidRPr="00474A47">
        <w:rPr>
          <w:rFonts w:cs="Arial"/>
          <w:iCs/>
          <w:color w:val="000000"/>
          <w:sz w:val="26"/>
          <w:szCs w:val="26"/>
          <w:bdr w:val="none" w:sz="0" w:space="0" w:color="auto" w:frame="1"/>
          <w:shd w:val="clear" w:color="auto" w:fill="FFFFFF"/>
          <w:lang w:val="es-CO"/>
        </w:rPr>
        <w:t xml:space="preserve">procedimiento jurisdiccional, </w:t>
      </w:r>
      <w:r w:rsidR="005F7FC0">
        <w:rPr>
          <w:rFonts w:cs="Arial"/>
          <w:iCs/>
          <w:color w:val="000000"/>
          <w:sz w:val="26"/>
          <w:szCs w:val="26"/>
          <w:bdr w:val="none" w:sz="0" w:space="0" w:color="auto" w:frame="1"/>
          <w:shd w:val="clear" w:color="auto" w:fill="FFFFFF"/>
          <w:lang w:val="es-CO"/>
        </w:rPr>
        <w:t>esto no exime a las p</w:t>
      </w:r>
      <w:r w:rsidR="00EF7FFC">
        <w:rPr>
          <w:rFonts w:cs="Arial"/>
          <w:iCs/>
          <w:color w:val="000000"/>
          <w:sz w:val="26"/>
          <w:szCs w:val="26"/>
          <w:bdr w:val="none" w:sz="0" w:space="0" w:color="auto" w:frame="1"/>
          <w:shd w:val="clear" w:color="auto" w:fill="FFFFFF"/>
          <w:lang w:val="es-CO"/>
        </w:rPr>
        <w:t xml:space="preserve">ersonas </w:t>
      </w:r>
      <w:r w:rsidR="00EF7FFC">
        <w:rPr>
          <w:rFonts w:cs="Arial"/>
          <w:iCs/>
          <w:color w:val="000000"/>
          <w:sz w:val="26"/>
          <w:szCs w:val="26"/>
          <w:bdr w:val="none" w:sz="0" w:space="0" w:color="auto" w:frame="1"/>
          <w:shd w:val="clear" w:color="auto" w:fill="FFFFFF"/>
          <w:lang w:val="es-CO"/>
        </w:rPr>
        <w:lastRenderedPageBreak/>
        <w:t xml:space="preserve">juzgadoras </w:t>
      </w:r>
      <w:r w:rsidRPr="00474A47">
        <w:rPr>
          <w:rFonts w:cs="Arial"/>
          <w:iCs/>
          <w:color w:val="000000"/>
          <w:sz w:val="26"/>
          <w:szCs w:val="26"/>
          <w:bdr w:val="none" w:sz="0" w:space="0" w:color="auto" w:frame="1"/>
          <w:shd w:val="clear" w:color="auto" w:fill="FFFFFF"/>
          <w:lang w:val="es-CO"/>
        </w:rPr>
        <w:t xml:space="preserve">de analizar todas las constancias </w:t>
      </w:r>
      <w:r w:rsidR="00EF7FFC">
        <w:rPr>
          <w:rFonts w:cs="Arial"/>
          <w:iCs/>
          <w:color w:val="000000"/>
          <w:sz w:val="26"/>
          <w:szCs w:val="26"/>
          <w:bdr w:val="none" w:sz="0" w:space="0" w:color="auto" w:frame="1"/>
          <w:shd w:val="clear" w:color="auto" w:fill="FFFFFF"/>
          <w:lang w:val="es-CO"/>
        </w:rPr>
        <w:t xml:space="preserve">contenidas en </w:t>
      </w:r>
      <w:r w:rsidRPr="00474A47">
        <w:rPr>
          <w:rFonts w:cs="Arial"/>
          <w:iCs/>
          <w:color w:val="000000"/>
          <w:sz w:val="26"/>
          <w:szCs w:val="26"/>
          <w:bdr w:val="none" w:sz="0" w:space="0" w:color="auto" w:frame="1"/>
          <w:shd w:val="clear" w:color="auto" w:fill="FFFFFF"/>
          <w:lang w:val="es-CO"/>
        </w:rPr>
        <w:t>el expediente del COPRED</w:t>
      </w:r>
      <w:r w:rsidR="00F9011A">
        <w:rPr>
          <w:rFonts w:cs="Arial"/>
          <w:iCs/>
          <w:color w:val="000000"/>
          <w:sz w:val="26"/>
          <w:szCs w:val="26"/>
          <w:bdr w:val="none" w:sz="0" w:space="0" w:color="auto" w:frame="1"/>
          <w:shd w:val="clear" w:color="auto" w:fill="FFFFFF"/>
          <w:lang w:val="es-CO"/>
        </w:rPr>
        <w:t xml:space="preserve">. Dichas constancias, </w:t>
      </w:r>
      <w:r w:rsidRPr="00474A47">
        <w:rPr>
          <w:rFonts w:cs="Arial"/>
          <w:iCs/>
          <w:color w:val="000000"/>
          <w:sz w:val="26"/>
          <w:szCs w:val="26"/>
          <w:bdr w:val="none" w:sz="0" w:space="0" w:color="auto" w:frame="1"/>
          <w:shd w:val="clear" w:color="auto" w:fill="FFFFFF"/>
          <w:lang w:val="es-CO"/>
        </w:rPr>
        <w:t>como</w:t>
      </w:r>
      <w:r w:rsidRPr="00474A47" w:rsidDel="00C941C6">
        <w:rPr>
          <w:rFonts w:cs="Arial"/>
          <w:iCs/>
          <w:color w:val="000000"/>
          <w:sz w:val="26"/>
          <w:szCs w:val="26"/>
          <w:bdr w:val="none" w:sz="0" w:space="0" w:color="auto" w:frame="1"/>
          <w:shd w:val="clear" w:color="auto" w:fill="FFFFFF"/>
          <w:lang w:val="es-CO"/>
        </w:rPr>
        <w:t xml:space="preserve"> </w:t>
      </w:r>
      <w:r w:rsidRPr="00474A47">
        <w:rPr>
          <w:rFonts w:cs="Arial"/>
          <w:iCs/>
          <w:color w:val="000000"/>
          <w:sz w:val="26"/>
          <w:szCs w:val="26"/>
          <w:bdr w:val="none" w:sz="0" w:space="0" w:color="auto" w:frame="1"/>
          <w:shd w:val="clear" w:color="auto" w:fill="FFFFFF"/>
          <w:lang w:val="es-CO"/>
        </w:rPr>
        <w:t>las manifestaciones o documentos aportados por las partes en la tramitación de la queja o durante la conciliación</w:t>
      </w:r>
      <w:r w:rsidR="00C941C6">
        <w:rPr>
          <w:rFonts w:cs="Arial"/>
          <w:iCs/>
          <w:color w:val="000000"/>
          <w:sz w:val="26"/>
          <w:szCs w:val="26"/>
          <w:bdr w:val="none" w:sz="0" w:space="0" w:color="auto" w:frame="1"/>
          <w:shd w:val="clear" w:color="auto" w:fill="FFFFFF"/>
          <w:lang w:val="es-CO"/>
        </w:rPr>
        <w:t>, pueden ser relevantes</w:t>
      </w:r>
      <w:r w:rsidRPr="00474A47">
        <w:rPr>
          <w:rFonts w:cs="Arial"/>
          <w:iCs/>
          <w:color w:val="000000"/>
          <w:sz w:val="26"/>
          <w:szCs w:val="26"/>
          <w:bdr w:val="none" w:sz="0" w:space="0" w:color="auto" w:frame="1"/>
          <w:shd w:val="clear" w:color="auto" w:fill="FFFFFF"/>
          <w:lang w:val="es-CO"/>
        </w:rPr>
        <w:t>.</w:t>
      </w:r>
      <w:r>
        <w:rPr>
          <w:rFonts w:cs="Arial"/>
          <w:iCs/>
          <w:color w:val="000000"/>
          <w:sz w:val="26"/>
          <w:szCs w:val="26"/>
          <w:bdr w:val="none" w:sz="0" w:space="0" w:color="auto" w:frame="1"/>
          <w:shd w:val="clear" w:color="auto" w:fill="FFFFFF"/>
          <w:lang w:val="es-MX"/>
        </w:rPr>
        <w:t xml:space="preserve"> </w:t>
      </w:r>
      <w:r w:rsidR="00C941C6">
        <w:rPr>
          <w:rFonts w:cs="Arial"/>
          <w:color w:val="000000"/>
          <w:sz w:val="26"/>
          <w:szCs w:val="26"/>
          <w:bdr w:val="none" w:sz="0" w:space="0" w:color="auto" w:frame="1"/>
          <w:shd w:val="clear" w:color="auto" w:fill="FFFFFF"/>
          <w:lang w:val="es-CO"/>
        </w:rPr>
        <w:t>Aclaramos</w:t>
      </w:r>
      <w:r w:rsidR="00C941C6" w:rsidRPr="00F50A05">
        <w:rPr>
          <w:rFonts w:cs="Arial"/>
          <w:color w:val="000000"/>
          <w:sz w:val="26"/>
          <w:szCs w:val="26"/>
          <w:bdr w:val="none" w:sz="0" w:space="0" w:color="auto" w:frame="1"/>
          <w:shd w:val="clear" w:color="auto" w:fill="FFFFFF"/>
          <w:lang w:val="es-CO"/>
        </w:rPr>
        <w:t xml:space="preserve"> </w:t>
      </w:r>
      <w:r w:rsidRPr="00F50A05">
        <w:rPr>
          <w:rFonts w:cs="Arial"/>
          <w:color w:val="000000"/>
          <w:sz w:val="26"/>
          <w:szCs w:val="26"/>
          <w:bdr w:val="none" w:sz="0" w:space="0" w:color="auto" w:frame="1"/>
          <w:shd w:val="clear" w:color="auto" w:fill="FFFFFF"/>
          <w:lang w:val="es-CO"/>
        </w:rPr>
        <w:t>que</w:t>
      </w:r>
      <w:r w:rsidR="00E94EA3" w:rsidDel="00DE0AE4">
        <w:rPr>
          <w:rFonts w:cs="Arial"/>
          <w:color w:val="000000"/>
          <w:sz w:val="26"/>
          <w:szCs w:val="26"/>
          <w:bdr w:val="none" w:sz="0" w:space="0" w:color="auto" w:frame="1"/>
          <w:shd w:val="clear" w:color="auto" w:fill="FFFFFF"/>
          <w:lang w:val="es-CO"/>
        </w:rPr>
        <w:t xml:space="preserve"> </w:t>
      </w:r>
      <w:r w:rsidRPr="00F50A05">
        <w:rPr>
          <w:rFonts w:cs="Arial"/>
          <w:color w:val="000000"/>
          <w:sz w:val="26"/>
          <w:szCs w:val="26"/>
          <w:bdr w:val="none" w:sz="0" w:space="0" w:color="auto" w:frame="1"/>
          <w:shd w:val="clear" w:color="auto" w:fill="FFFFFF"/>
          <w:lang w:val="es-CO"/>
        </w:rPr>
        <w:t xml:space="preserve">estos elementos pueden </w:t>
      </w:r>
      <w:r w:rsidR="003D1C2D">
        <w:rPr>
          <w:rFonts w:cs="Arial"/>
          <w:color w:val="000000"/>
          <w:sz w:val="26"/>
          <w:szCs w:val="26"/>
          <w:bdr w:val="none" w:sz="0" w:space="0" w:color="auto" w:frame="1"/>
          <w:shd w:val="clear" w:color="auto" w:fill="FFFFFF"/>
          <w:lang w:val="es-CO"/>
        </w:rPr>
        <w:t xml:space="preserve">servir para </w:t>
      </w:r>
      <w:r w:rsidRPr="00F50A05">
        <w:rPr>
          <w:rFonts w:cs="Arial"/>
          <w:color w:val="000000"/>
          <w:sz w:val="26"/>
          <w:szCs w:val="26"/>
          <w:bdr w:val="none" w:sz="0" w:space="0" w:color="auto" w:frame="1"/>
          <w:shd w:val="clear" w:color="auto" w:fill="FFFFFF"/>
          <w:lang w:val="es-CO"/>
        </w:rPr>
        <w:t>indicar que algo ocurrió o incluso</w:t>
      </w:r>
      <w:r w:rsidR="003D1C2D">
        <w:rPr>
          <w:rFonts w:cs="Arial"/>
          <w:color w:val="000000"/>
          <w:sz w:val="26"/>
          <w:szCs w:val="26"/>
          <w:bdr w:val="none" w:sz="0" w:space="0" w:color="auto" w:frame="1"/>
          <w:shd w:val="clear" w:color="auto" w:fill="FFFFFF"/>
          <w:lang w:val="es-CO"/>
        </w:rPr>
        <w:t xml:space="preserve"> para</w:t>
      </w:r>
      <w:r w:rsidRPr="00F50A05">
        <w:rPr>
          <w:rFonts w:cs="Arial"/>
          <w:color w:val="000000"/>
          <w:sz w:val="26"/>
          <w:szCs w:val="26"/>
          <w:bdr w:val="none" w:sz="0" w:space="0" w:color="auto" w:frame="1"/>
          <w:shd w:val="clear" w:color="auto" w:fill="FFFFFF"/>
          <w:lang w:val="es-CO"/>
        </w:rPr>
        <w:t xml:space="preserve"> acreditar </w:t>
      </w:r>
      <w:r w:rsidR="0003279B">
        <w:rPr>
          <w:rFonts w:cs="Arial"/>
          <w:color w:val="000000"/>
          <w:sz w:val="26"/>
          <w:szCs w:val="26"/>
          <w:bdr w:val="none" w:sz="0" w:space="0" w:color="auto" w:frame="1"/>
          <w:shd w:val="clear" w:color="auto" w:fill="FFFFFF"/>
          <w:lang w:val="es-CO"/>
        </w:rPr>
        <w:t>un</w:t>
      </w:r>
      <w:r w:rsidRPr="00F50A05">
        <w:rPr>
          <w:rFonts w:cs="Arial"/>
          <w:color w:val="000000"/>
          <w:sz w:val="26"/>
          <w:szCs w:val="26"/>
          <w:bdr w:val="none" w:sz="0" w:space="0" w:color="auto" w:frame="1"/>
          <w:shd w:val="clear" w:color="auto" w:fill="FFFFFF"/>
          <w:lang w:val="es-CO"/>
        </w:rPr>
        <w:t xml:space="preserve"> hecho alegado en el procedimiento judicial</w:t>
      </w:r>
      <w:r w:rsidR="0003279B">
        <w:rPr>
          <w:rFonts w:cs="Arial"/>
          <w:color w:val="000000"/>
          <w:sz w:val="26"/>
          <w:szCs w:val="26"/>
          <w:bdr w:val="none" w:sz="0" w:space="0" w:color="auto" w:frame="1"/>
          <w:shd w:val="clear" w:color="auto" w:fill="FFFFFF"/>
          <w:lang w:val="es-CO"/>
        </w:rPr>
        <w:t>. Sin embargo, dichas</w:t>
      </w:r>
      <w:r w:rsidRPr="00F50A05">
        <w:rPr>
          <w:rFonts w:cs="Arial"/>
          <w:color w:val="000000"/>
          <w:sz w:val="26"/>
          <w:szCs w:val="26"/>
          <w:bdr w:val="none" w:sz="0" w:space="0" w:color="auto" w:frame="1"/>
          <w:shd w:val="clear" w:color="auto" w:fill="FFFFFF"/>
          <w:lang w:val="es-CO"/>
        </w:rPr>
        <w:t xml:space="preserve"> constancias</w:t>
      </w:r>
      <w:r w:rsidR="00FF3425">
        <w:rPr>
          <w:rFonts w:cs="Arial"/>
          <w:color w:val="000000"/>
          <w:sz w:val="26"/>
          <w:szCs w:val="26"/>
          <w:bdr w:val="none" w:sz="0" w:space="0" w:color="auto" w:frame="1"/>
          <w:shd w:val="clear" w:color="auto" w:fill="FFFFFF"/>
          <w:lang w:val="es-CO"/>
        </w:rPr>
        <w:t>, por sí solas,</w:t>
      </w:r>
      <w:r w:rsidRPr="00F50A05">
        <w:rPr>
          <w:rFonts w:cs="Arial"/>
          <w:color w:val="000000"/>
          <w:sz w:val="26"/>
          <w:szCs w:val="26"/>
          <w:bdr w:val="none" w:sz="0" w:space="0" w:color="auto" w:frame="1"/>
          <w:shd w:val="clear" w:color="auto" w:fill="FFFFFF"/>
          <w:lang w:val="es-CO"/>
        </w:rPr>
        <w:t xml:space="preserve"> no reflejan que el hecho </w:t>
      </w:r>
      <w:r w:rsidR="00A05D89">
        <w:rPr>
          <w:rFonts w:cs="Arial"/>
          <w:color w:val="000000"/>
          <w:sz w:val="26"/>
          <w:szCs w:val="26"/>
          <w:bdr w:val="none" w:sz="0" w:space="0" w:color="auto" w:frame="1"/>
          <w:shd w:val="clear" w:color="auto" w:fill="FFFFFF"/>
          <w:lang w:val="es-CO"/>
        </w:rPr>
        <w:t>constituya un</w:t>
      </w:r>
      <w:r w:rsidRPr="00BE2B1D">
        <w:rPr>
          <w:rFonts w:cs="Arial"/>
          <w:color w:val="000000"/>
          <w:sz w:val="26"/>
          <w:szCs w:val="26"/>
          <w:bdr w:val="none" w:sz="0" w:space="0" w:color="auto" w:frame="1"/>
          <w:shd w:val="clear" w:color="auto" w:fill="FFFFFF"/>
          <w:lang w:val="es-CO"/>
        </w:rPr>
        <w:t xml:space="preserve"> hecho ilícito para efectos de responsabilidad civil</w:t>
      </w:r>
      <w:r w:rsidRPr="00F50A05">
        <w:rPr>
          <w:rFonts w:cs="Arial"/>
          <w:color w:val="000000"/>
          <w:sz w:val="26"/>
          <w:szCs w:val="26"/>
          <w:bdr w:val="none" w:sz="0" w:space="0" w:color="auto" w:frame="1"/>
          <w:shd w:val="clear" w:color="auto" w:fill="FFFFFF"/>
          <w:lang w:val="es-CO"/>
        </w:rPr>
        <w:t xml:space="preserve">, como </w:t>
      </w:r>
      <w:r w:rsidR="00830CB1">
        <w:rPr>
          <w:rFonts w:cs="Arial"/>
          <w:color w:val="000000"/>
          <w:sz w:val="26"/>
          <w:szCs w:val="26"/>
          <w:bdr w:val="none" w:sz="0" w:space="0" w:color="auto" w:frame="1"/>
          <w:shd w:val="clear" w:color="auto" w:fill="FFFFFF"/>
          <w:lang w:val="es-CO"/>
        </w:rPr>
        <w:t xml:space="preserve">lo </w:t>
      </w:r>
      <w:r w:rsidRPr="00F50A05">
        <w:rPr>
          <w:rFonts w:cs="Arial"/>
          <w:color w:val="000000"/>
          <w:sz w:val="26"/>
          <w:szCs w:val="26"/>
          <w:bdr w:val="none" w:sz="0" w:space="0" w:color="auto" w:frame="1"/>
          <w:shd w:val="clear" w:color="auto" w:fill="FFFFFF"/>
          <w:lang w:val="es-CO"/>
        </w:rPr>
        <w:t>sostuvo la sala responsable. Para</w:t>
      </w:r>
      <w:r w:rsidRPr="00F50A05" w:rsidDel="00830CB1">
        <w:rPr>
          <w:rFonts w:cs="Arial"/>
          <w:color w:val="000000"/>
          <w:sz w:val="26"/>
          <w:szCs w:val="26"/>
          <w:bdr w:val="none" w:sz="0" w:space="0" w:color="auto" w:frame="1"/>
          <w:shd w:val="clear" w:color="auto" w:fill="FFFFFF"/>
          <w:lang w:val="es-CO"/>
        </w:rPr>
        <w:t xml:space="preserve"> </w:t>
      </w:r>
      <w:r w:rsidR="00830CB1">
        <w:rPr>
          <w:rFonts w:cs="Arial"/>
          <w:color w:val="000000"/>
          <w:sz w:val="26"/>
          <w:szCs w:val="26"/>
          <w:bdr w:val="none" w:sz="0" w:space="0" w:color="auto" w:frame="1"/>
          <w:shd w:val="clear" w:color="auto" w:fill="FFFFFF"/>
          <w:lang w:val="es-CO"/>
        </w:rPr>
        <w:t>llegar</w:t>
      </w:r>
      <w:r w:rsidR="00830CB1" w:rsidRPr="00F50A05">
        <w:rPr>
          <w:rFonts w:cs="Arial"/>
          <w:color w:val="000000"/>
          <w:sz w:val="26"/>
          <w:szCs w:val="26"/>
          <w:bdr w:val="none" w:sz="0" w:space="0" w:color="auto" w:frame="1"/>
          <w:shd w:val="clear" w:color="auto" w:fill="FFFFFF"/>
          <w:lang w:val="es-CO"/>
        </w:rPr>
        <w:t xml:space="preserve"> </w:t>
      </w:r>
      <w:r w:rsidRPr="00F50A05">
        <w:rPr>
          <w:rFonts w:cs="Arial"/>
          <w:color w:val="000000"/>
          <w:sz w:val="26"/>
          <w:szCs w:val="26"/>
          <w:bdr w:val="none" w:sz="0" w:space="0" w:color="auto" w:frame="1"/>
          <w:shd w:val="clear" w:color="auto" w:fill="FFFFFF"/>
          <w:lang w:val="es-CO"/>
        </w:rPr>
        <w:t xml:space="preserve">a </w:t>
      </w:r>
      <w:r w:rsidR="00CC697E">
        <w:rPr>
          <w:rFonts w:cs="Arial"/>
          <w:color w:val="000000"/>
          <w:sz w:val="26"/>
          <w:szCs w:val="26"/>
          <w:bdr w:val="none" w:sz="0" w:space="0" w:color="auto" w:frame="1"/>
          <w:shd w:val="clear" w:color="auto" w:fill="FFFFFF"/>
          <w:lang w:val="es-CO"/>
        </w:rPr>
        <w:t>esa</w:t>
      </w:r>
      <w:r w:rsidRPr="00F50A05">
        <w:rPr>
          <w:rFonts w:cs="Arial"/>
          <w:color w:val="000000"/>
          <w:sz w:val="26"/>
          <w:szCs w:val="26"/>
          <w:bdr w:val="none" w:sz="0" w:space="0" w:color="auto" w:frame="1"/>
          <w:shd w:val="clear" w:color="auto" w:fill="FFFFFF"/>
          <w:lang w:val="es-CO"/>
        </w:rPr>
        <w:t xml:space="preserve"> conclusión</w:t>
      </w:r>
      <w:r w:rsidR="00830CB1">
        <w:rPr>
          <w:rFonts w:cs="Arial"/>
          <w:color w:val="000000"/>
          <w:sz w:val="26"/>
          <w:szCs w:val="26"/>
          <w:bdr w:val="none" w:sz="0" w:space="0" w:color="auto" w:frame="1"/>
          <w:shd w:val="clear" w:color="auto" w:fill="FFFFFF"/>
          <w:lang w:val="es-CO"/>
        </w:rPr>
        <w:t>,</w:t>
      </w:r>
      <w:r w:rsidRPr="00F50A05">
        <w:rPr>
          <w:rFonts w:cs="Arial"/>
          <w:color w:val="000000"/>
          <w:sz w:val="26"/>
          <w:szCs w:val="26"/>
          <w:bdr w:val="none" w:sz="0" w:space="0" w:color="auto" w:frame="1"/>
          <w:shd w:val="clear" w:color="auto" w:fill="FFFFFF"/>
          <w:lang w:val="es-CO"/>
        </w:rPr>
        <w:t xml:space="preserve"> </w:t>
      </w:r>
      <w:r w:rsidR="00830CB1">
        <w:rPr>
          <w:rFonts w:cs="Arial"/>
          <w:color w:val="000000"/>
          <w:sz w:val="26"/>
          <w:szCs w:val="26"/>
          <w:bdr w:val="none" w:sz="0" w:space="0" w:color="auto" w:frame="1"/>
          <w:shd w:val="clear" w:color="auto" w:fill="FFFFFF"/>
          <w:lang w:val="es-CO"/>
        </w:rPr>
        <w:t>es necesario realizar un</w:t>
      </w:r>
      <w:r w:rsidRPr="00F50A05">
        <w:rPr>
          <w:rFonts w:cs="Arial"/>
          <w:color w:val="000000"/>
          <w:sz w:val="26"/>
          <w:szCs w:val="26"/>
          <w:bdr w:val="none" w:sz="0" w:space="0" w:color="auto" w:frame="1"/>
          <w:shd w:val="clear" w:color="auto" w:fill="FFFFFF"/>
          <w:lang w:val="es-CO"/>
        </w:rPr>
        <w:t xml:space="preserve"> ejercicio de calificación jurídica</w:t>
      </w:r>
      <w:r>
        <w:rPr>
          <w:rFonts w:cs="Arial"/>
          <w:color w:val="000000"/>
          <w:sz w:val="26"/>
          <w:szCs w:val="26"/>
          <w:bdr w:val="none" w:sz="0" w:space="0" w:color="auto" w:frame="1"/>
          <w:shd w:val="clear" w:color="auto" w:fill="FFFFFF"/>
          <w:lang w:val="es-CO"/>
        </w:rPr>
        <w:t>.</w:t>
      </w:r>
    </w:p>
    <w:p w14:paraId="4BB837EA" w14:textId="77777777" w:rsidR="004A37BC" w:rsidRDefault="004A37BC" w:rsidP="004A37BC">
      <w:pPr>
        <w:pStyle w:val="corte4fondo"/>
        <w:tabs>
          <w:tab w:val="left" w:pos="0"/>
        </w:tabs>
        <w:ind w:right="51" w:firstLine="0"/>
        <w:rPr>
          <w:rFonts w:cs="Arial"/>
          <w:color w:val="000000" w:themeColor="text1"/>
          <w:sz w:val="26"/>
          <w:szCs w:val="26"/>
          <w:lang w:val="es-MX"/>
        </w:rPr>
      </w:pPr>
    </w:p>
    <w:p w14:paraId="7545D6B5" w14:textId="2218A832" w:rsidR="004A37BC" w:rsidRDefault="004A37BC" w:rsidP="004A37BC">
      <w:pPr>
        <w:pStyle w:val="corte4fondo"/>
        <w:numPr>
          <w:ilvl w:val="0"/>
          <w:numId w:val="2"/>
        </w:numPr>
        <w:ind w:left="0" w:right="51" w:hanging="567"/>
        <w:rPr>
          <w:rFonts w:cs="Arial"/>
          <w:iCs/>
          <w:color w:val="000000"/>
          <w:sz w:val="26"/>
          <w:szCs w:val="26"/>
          <w:bdr w:val="none" w:sz="0" w:space="0" w:color="auto" w:frame="1"/>
          <w:shd w:val="clear" w:color="auto" w:fill="FFFFFF"/>
          <w:lang w:val="es-CO"/>
        </w:rPr>
      </w:pPr>
      <w:r w:rsidRPr="006C54A0">
        <w:rPr>
          <w:rFonts w:cs="Arial"/>
          <w:color w:val="000000" w:themeColor="text1"/>
          <w:sz w:val="26"/>
          <w:szCs w:val="26"/>
          <w:lang w:val="es-MX"/>
        </w:rPr>
        <w:t>Por las razones anteriores,</w:t>
      </w:r>
      <w:r>
        <w:rPr>
          <w:rFonts w:cs="Arial"/>
          <w:color w:val="000000" w:themeColor="text1"/>
          <w:sz w:val="26"/>
          <w:szCs w:val="26"/>
          <w:lang w:val="es-MX"/>
        </w:rPr>
        <w:t xml:space="preserve"> y en atención a las particularidades del caso,</w:t>
      </w:r>
      <w:r w:rsidRPr="006C54A0">
        <w:rPr>
          <w:rFonts w:cs="Arial"/>
          <w:color w:val="000000" w:themeColor="text1"/>
          <w:sz w:val="26"/>
          <w:szCs w:val="26"/>
          <w:lang w:val="es-MX"/>
        </w:rPr>
        <w:t xml:space="preserve"> esta Sala </w:t>
      </w:r>
      <w:r>
        <w:rPr>
          <w:rFonts w:cs="Arial"/>
          <w:color w:val="000000" w:themeColor="text1"/>
          <w:sz w:val="26"/>
          <w:szCs w:val="26"/>
          <w:lang w:val="es-MX"/>
        </w:rPr>
        <w:t>concluye</w:t>
      </w:r>
      <w:r w:rsidRPr="006C54A0">
        <w:rPr>
          <w:rFonts w:cs="Arial"/>
          <w:color w:val="000000" w:themeColor="text1"/>
          <w:sz w:val="26"/>
          <w:szCs w:val="26"/>
          <w:lang w:val="es-MX"/>
        </w:rPr>
        <w:t xml:space="preserve"> que </w:t>
      </w:r>
      <w:r w:rsidRPr="00F46E03">
        <w:rPr>
          <w:rFonts w:cs="Arial"/>
          <w:color w:val="000000" w:themeColor="text1"/>
          <w:sz w:val="26"/>
          <w:szCs w:val="26"/>
          <w:lang w:val="es-MX"/>
        </w:rPr>
        <w:t xml:space="preserve">el convenio de conciliación ante el COPRED puede </w:t>
      </w:r>
      <w:r w:rsidR="00B47F79">
        <w:rPr>
          <w:rFonts w:cs="Arial"/>
          <w:color w:val="000000" w:themeColor="text1"/>
          <w:sz w:val="26"/>
          <w:szCs w:val="26"/>
          <w:lang w:val="es-MX"/>
        </w:rPr>
        <w:t xml:space="preserve">ser </w:t>
      </w:r>
      <w:r w:rsidRPr="00F46E03">
        <w:rPr>
          <w:rFonts w:cs="Arial"/>
          <w:color w:val="000000" w:themeColor="text1"/>
          <w:sz w:val="26"/>
          <w:szCs w:val="26"/>
          <w:lang w:val="es-MX"/>
        </w:rPr>
        <w:t>utiliza</w:t>
      </w:r>
      <w:r w:rsidR="00B47F79">
        <w:rPr>
          <w:rFonts w:cs="Arial"/>
          <w:color w:val="000000" w:themeColor="text1"/>
          <w:sz w:val="26"/>
          <w:szCs w:val="26"/>
          <w:lang w:val="es-MX"/>
        </w:rPr>
        <w:t>do</w:t>
      </w:r>
      <w:r w:rsidRPr="00F46E03">
        <w:rPr>
          <w:rFonts w:cs="Arial"/>
          <w:color w:val="000000" w:themeColor="text1"/>
          <w:sz w:val="26"/>
          <w:szCs w:val="26"/>
          <w:lang w:val="es-MX"/>
        </w:rPr>
        <w:t xml:space="preserve"> por las autoridades judiciales para identificar hechos jurídicamente relevantes</w:t>
      </w:r>
      <w:r w:rsidR="00851B9B">
        <w:rPr>
          <w:rFonts w:cs="Arial"/>
          <w:color w:val="000000" w:themeColor="text1"/>
          <w:sz w:val="26"/>
          <w:szCs w:val="26"/>
          <w:lang w:val="es-MX"/>
        </w:rPr>
        <w:t>. En consecuencia</w:t>
      </w:r>
      <w:r w:rsidR="00D7223B">
        <w:rPr>
          <w:rFonts w:cs="Arial"/>
          <w:color w:val="000000" w:themeColor="text1"/>
          <w:sz w:val="26"/>
          <w:szCs w:val="26"/>
          <w:lang w:val="es-MX"/>
        </w:rPr>
        <w:t xml:space="preserve">, debe </w:t>
      </w:r>
      <w:r w:rsidR="00F45CEE">
        <w:rPr>
          <w:rFonts w:cs="Arial"/>
          <w:color w:val="000000" w:themeColor="text1"/>
          <w:sz w:val="26"/>
          <w:szCs w:val="26"/>
          <w:lang w:val="es-MX"/>
        </w:rPr>
        <w:t>integrarse a la valoración integral</w:t>
      </w:r>
      <w:r w:rsidR="00D67BC3">
        <w:rPr>
          <w:rFonts w:cs="Arial"/>
          <w:color w:val="000000" w:themeColor="text1"/>
          <w:sz w:val="26"/>
          <w:szCs w:val="26"/>
          <w:lang w:val="es-MX"/>
        </w:rPr>
        <w:t xml:space="preserve"> de</w:t>
      </w:r>
      <w:r w:rsidR="00FB7D7C">
        <w:rPr>
          <w:rFonts w:cs="Arial"/>
          <w:color w:val="000000" w:themeColor="text1"/>
          <w:sz w:val="26"/>
          <w:szCs w:val="26"/>
          <w:lang w:val="es-MX"/>
        </w:rPr>
        <w:t xml:space="preserve"> los</w:t>
      </w:r>
      <w:r w:rsidRPr="00F46E03">
        <w:rPr>
          <w:rFonts w:cs="Arial"/>
          <w:color w:val="000000" w:themeColor="text1"/>
          <w:sz w:val="26"/>
          <w:szCs w:val="26"/>
          <w:lang w:val="es-MX"/>
        </w:rPr>
        <w:t xml:space="preserve"> medios de</w:t>
      </w:r>
      <w:r w:rsidRPr="003F6B95">
        <w:rPr>
          <w:rFonts w:cs="Arial"/>
          <w:color w:val="000000" w:themeColor="text1"/>
          <w:sz w:val="26"/>
          <w:szCs w:val="26"/>
          <w:lang w:val="es-MX"/>
        </w:rPr>
        <w:t xml:space="preserve"> prueba</w:t>
      </w:r>
      <w:r>
        <w:rPr>
          <w:rFonts w:cs="Arial"/>
          <w:color w:val="000000" w:themeColor="text1"/>
          <w:sz w:val="26"/>
          <w:szCs w:val="26"/>
          <w:lang w:val="es-MX"/>
        </w:rPr>
        <w:t xml:space="preserve"> aportados al juicio</w:t>
      </w:r>
      <w:r w:rsidR="00D67BC3">
        <w:rPr>
          <w:rFonts w:cs="Arial"/>
          <w:color w:val="000000" w:themeColor="text1"/>
          <w:sz w:val="26"/>
          <w:szCs w:val="26"/>
          <w:lang w:val="es-MX"/>
        </w:rPr>
        <w:t xml:space="preserve">, </w:t>
      </w:r>
      <w:r w:rsidRPr="003F6B95">
        <w:rPr>
          <w:rFonts w:cs="Arial"/>
          <w:color w:val="000000" w:themeColor="text1"/>
          <w:sz w:val="26"/>
          <w:szCs w:val="26"/>
          <w:lang w:val="es-MX"/>
        </w:rPr>
        <w:t xml:space="preserve">como las constancias del procedimiento ante el COPRED durante la tramitación de la queja, </w:t>
      </w:r>
      <w:r w:rsidR="00C96988">
        <w:rPr>
          <w:rFonts w:cs="Arial"/>
          <w:color w:val="000000" w:themeColor="text1"/>
          <w:sz w:val="26"/>
          <w:szCs w:val="26"/>
          <w:lang w:val="es-MX"/>
        </w:rPr>
        <w:t xml:space="preserve">así como </w:t>
      </w:r>
      <w:r w:rsidRPr="003F6B95">
        <w:rPr>
          <w:rFonts w:cs="Arial"/>
          <w:color w:val="000000" w:themeColor="text1"/>
          <w:sz w:val="26"/>
          <w:szCs w:val="26"/>
          <w:lang w:val="es-MX"/>
        </w:rPr>
        <w:t>documentales o testimoniales</w:t>
      </w:r>
      <w:r w:rsidR="00C96988">
        <w:rPr>
          <w:rFonts w:cs="Arial"/>
          <w:color w:val="000000" w:themeColor="text1"/>
          <w:sz w:val="26"/>
          <w:szCs w:val="26"/>
          <w:lang w:val="es-MX"/>
        </w:rPr>
        <w:t xml:space="preserve">. </w:t>
      </w:r>
      <w:r w:rsidR="00327938">
        <w:rPr>
          <w:rFonts w:cs="Arial"/>
          <w:color w:val="000000" w:themeColor="text1"/>
          <w:sz w:val="26"/>
          <w:szCs w:val="26"/>
          <w:lang w:val="es-MX"/>
        </w:rPr>
        <w:t>Por medio de un</w:t>
      </w:r>
      <w:r w:rsidRPr="003F6B95">
        <w:rPr>
          <w:rFonts w:cs="Arial"/>
          <w:color w:val="000000" w:themeColor="text1"/>
          <w:sz w:val="26"/>
          <w:szCs w:val="26"/>
          <w:lang w:val="es-MX"/>
        </w:rPr>
        <w:t xml:space="preserve"> adecuado </w:t>
      </w:r>
      <w:r w:rsidR="00327938">
        <w:rPr>
          <w:rFonts w:cs="Arial"/>
          <w:color w:val="000000" w:themeColor="text1"/>
          <w:sz w:val="26"/>
          <w:szCs w:val="26"/>
          <w:lang w:val="es-MX"/>
        </w:rPr>
        <w:t xml:space="preserve">análisis </w:t>
      </w:r>
      <w:r w:rsidR="00874DD1">
        <w:rPr>
          <w:rFonts w:cs="Arial"/>
          <w:color w:val="000000" w:themeColor="text1"/>
          <w:sz w:val="26"/>
          <w:szCs w:val="26"/>
          <w:lang w:val="es-MX"/>
        </w:rPr>
        <w:t>y</w:t>
      </w:r>
      <w:r w:rsidRPr="003F6B95">
        <w:rPr>
          <w:rFonts w:cs="Arial"/>
          <w:color w:val="000000" w:themeColor="text1"/>
          <w:sz w:val="26"/>
          <w:szCs w:val="26"/>
          <w:lang w:val="es-MX"/>
        </w:rPr>
        <w:t xml:space="preserve"> correspondencia normativa, </w:t>
      </w:r>
      <w:r w:rsidR="00874DD1">
        <w:rPr>
          <w:rFonts w:cs="Arial"/>
          <w:color w:val="000000" w:themeColor="text1"/>
          <w:sz w:val="26"/>
          <w:szCs w:val="26"/>
          <w:lang w:val="es-MX"/>
        </w:rPr>
        <w:t>estas pruebas pueden contribuir a acreditar</w:t>
      </w:r>
      <w:r w:rsidR="00874DD1" w:rsidRPr="003F6B95">
        <w:rPr>
          <w:rFonts w:cs="Arial"/>
          <w:color w:val="000000" w:themeColor="text1"/>
          <w:sz w:val="26"/>
          <w:szCs w:val="26"/>
          <w:lang w:val="es-MX"/>
        </w:rPr>
        <w:t xml:space="preserve"> </w:t>
      </w:r>
      <w:r w:rsidRPr="003F6B95">
        <w:rPr>
          <w:rFonts w:cs="Arial"/>
          <w:color w:val="000000" w:themeColor="text1"/>
          <w:sz w:val="26"/>
          <w:szCs w:val="26"/>
          <w:lang w:val="es-MX"/>
        </w:rPr>
        <w:t>el hecho discriminatorio.</w:t>
      </w:r>
      <w:r w:rsidRPr="003F6B95">
        <w:rPr>
          <w:rFonts w:cs="Arial"/>
          <w:iCs/>
          <w:color w:val="000000"/>
          <w:sz w:val="26"/>
          <w:szCs w:val="26"/>
          <w:bdr w:val="none" w:sz="0" w:space="0" w:color="auto" w:frame="1"/>
          <w:shd w:val="clear" w:color="auto" w:fill="FFFFFF"/>
          <w:lang w:val="es-CO"/>
        </w:rPr>
        <w:t xml:space="preserve"> </w:t>
      </w:r>
    </w:p>
    <w:p w14:paraId="134AE1A1" w14:textId="77777777" w:rsidR="004A37BC" w:rsidRDefault="004A37BC" w:rsidP="004A37BC">
      <w:pPr>
        <w:pStyle w:val="corte4fondo"/>
        <w:ind w:right="51" w:firstLine="0"/>
        <w:rPr>
          <w:rFonts w:cs="Arial"/>
          <w:iCs/>
          <w:color w:val="000000"/>
          <w:sz w:val="26"/>
          <w:szCs w:val="26"/>
          <w:bdr w:val="none" w:sz="0" w:space="0" w:color="auto" w:frame="1"/>
          <w:shd w:val="clear" w:color="auto" w:fill="FFFFFF"/>
          <w:lang w:val="es-CO"/>
        </w:rPr>
      </w:pPr>
    </w:p>
    <w:p w14:paraId="3ABEAB57" w14:textId="600F479E" w:rsidR="004A37BC" w:rsidRPr="00393458" w:rsidRDefault="004A37BC" w:rsidP="004A37BC">
      <w:pPr>
        <w:pStyle w:val="corte4fondo"/>
        <w:numPr>
          <w:ilvl w:val="0"/>
          <w:numId w:val="2"/>
        </w:numPr>
        <w:ind w:left="0" w:right="51" w:hanging="567"/>
        <w:rPr>
          <w:rFonts w:cs="Arial"/>
          <w:iCs/>
          <w:color w:val="000000"/>
          <w:sz w:val="26"/>
          <w:szCs w:val="26"/>
          <w:bdr w:val="none" w:sz="0" w:space="0" w:color="auto" w:frame="1"/>
          <w:shd w:val="clear" w:color="auto" w:fill="FFFFFF"/>
          <w:lang w:val="es-CO"/>
        </w:rPr>
      </w:pPr>
      <w:r w:rsidRPr="003F6B95">
        <w:rPr>
          <w:rFonts w:cs="Arial"/>
          <w:iCs/>
          <w:color w:val="000000"/>
          <w:sz w:val="26"/>
          <w:szCs w:val="26"/>
          <w:bdr w:val="none" w:sz="0" w:space="0" w:color="auto" w:frame="1"/>
          <w:shd w:val="clear" w:color="auto" w:fill="FFFFFF"/>
          <w:lang w:val="es-CO"/>
        </w:rPr>
        <w:t xml:space="preserve">En consecuencia, contrario a lo sostenido por la sala responsable, </w:t>
      </w:r>
      <w:r w:rsidRPr="003F6B95">
        <w:rPr>
          <w:rFonts w:cs="Arial"/>
          <w:sz w:val="26"/>
          <w:szCs w:val="26"/>
        </w:rPr>
        <w:t>la suscripción de</w:t>
      </w:r>
      <w:r>
        <w:rPr>
          <w:rFonts w:cs="Arial"/>
          <w:sz w:val="26"/>
          <w:szCs w:val="26"/>
        </w:rPr>
        <w:t>l</w:t>
      </w:r>
      <w:r w:rsidRPr="003F6B95">
        <w:rPr>
          <w:rFonts w:cs="Arial"/>
          <w:sz w:val="26"/>
          <w:szCs w:val="26"/>
        </w:rPr>
        <w:t xml:space="preserve"> acuerdo conciliatorio ante el COPRED</w:t>
      </w:r>
      <w:r>
        <w:rPr>
          <w:rFonts w:cs="Arial"/>
          <w:sz w:val="26"/>
          <w:szCs w:val="26"/>
        </w:rPr>
        <w:t xml:space="preserve"> por sí mism</w:t>
      </w:r>
      <w:r w:rsidR="00BC7EC4">
        <w:rPr>
          <w:rFonts w:cs="Arial"/>
          <w:sz w:val="26"/>
          <w:szCs w:val="26"/>
        </w:rPr>
        <w:t>a</w:t>
      </w:r>
      <w:r>
        <w:rPr>
          <w:rFonts w:cs="Arial"/>
          <w:sz w:val="26"/>
          <w:szCs w:val="26"/>
        </w:rPr>
        <w:t xml:space="preserve"> o de manera automática no acreditaba</w:t>
      </w:r>
      <w:r w:rsidRPr="003F6B95">
        <w:rPr>
          <w:rFonts w:cs="Arial"/>
          <w:sz w:val="26"/>
          <w:szCs w:val="26"/>
        </w:rPr>
        <w:t xml:space="preserve"> los hechos alegados por las señoras </w:t>
      </w:r>
      <w:r w:rsidRPr="003F6B95">
        <w:rPr>
          <w:rFonts w:cs="Arial"/>
          <w:color w:val="FF0000"/>
          <w:sz w:val="26"/>
          <w:szCs w:val="26"/>
        </w:rPr>
        <w:t>D</w:t>
      </w:r>
      <w:r>
        <w:rPr>
          <w:rFonts w:cs="Arial"/>
          <w:color w:val="FF0000"/>
          <w:sz w:val="26"/>
          <w:szCs w:val="26"/>
        </w:rPr>
        <w:t>F</w:t>
      </w:r>
      <w:r w:rsidRPr="003F6B95">
        <w:rPr>
          <w:rFonts w:cs="Arial"/>
          <w:color w:val="FF0000"/>
          <w:sz w:val="26"/>
          <w:szCs w:val="26"/>
        </w:rPr>
        <w:t xml:space="preserve"> </w:t>
      </w:r>
      <w:r w:rsidRPr="003F6B95">
        <w:rPr>
          <w:rFonts w:cs="Arial"/>
          <w:sz w:val="26"/>
          <w:szCs w:val="26"/>
        </w:rPr>
        <w:t xml:space="preserve">y </w:t>
      </w:r>
      <w:r w:rsidRPr="003F6B95">
        <w:rPr>
          <w:rFonts w:cs="Arial"/>
          <w:color w:val="FF0000"/>
          <w:sz w:val="26"/>
          <w:szCs w:val="26"/>
        </w:rPr>
        <w:t>G</w:t>
      </w:r>
      <w:r>
        <w:rPr>
          <w:rFonts w:cs="Arial"/>
          <w:color w:val="FF0000"/>
          <w:sz w:val="26"/>
          <w:szCs w:val="26"/>
        </w:rPr>
        <w:t>B</w:t>
      </w:r>
      <w:r w:rsidRPr="003F6B95">
        <w:rPr>
          <w:rFonts w:cs="Arial"/>
          <w:color w:val="FF0000"/>
          <w:sz w:val="26"/>
          <w:szCs w:val="26"/>
        </w:rPr>
        <w:t xml:space="preserve"> </w:t>
      </w:r>
      <w:r w:rsidRPr="003F6B95">
        <w:rPr>
          <w:rFonts w:cs="Arial"/>
          <w:sz w:val="26"/>
          <w:szCs w:val="26"/>
        </w:rPr>
        <w:t>en el marco del proceso jurisdiccional. En cambio, era necesario analizar integralmente los medios de prueba aportados al juicio para llegar a tal conclusión</w:t>
      </w:r>
      <w:r>
        <w:rPr>
          <w:rFonts w:cs="Arial"/>
          <w:sz w:val="26"/>
          <w:szCs w:val="26"/>
        </w:rPr>
        <w:t>.</w:t>
      </w:r>
    </w:p>
    <w:p w14:paraId="01D6B1D6" w14:textId="77777777" w:rsidR="00393458" w:rsidRPr="00393458" w:rsidRDefault="00393458" w:rsidP="00393458">
      <w:pPr>
        <w:pStyle w:val="corte4fondo"/>
        <w:ind w:right="51" w:firstLine="0"/>
        <w:rPr>
          <w:rFonts w:cs="Arial"/>
          <w:iCs/>
          <w:color w:val="000000"/>
          <w:sz w:val="26"/>
          <w:szCs w:val="26"/>
          <w:bdr w:val="none" w:sz="0" w:space="0" w:color="auto" w:frame="1"/>
          <w:shd w:val="clear" w:color="auto" w:fill="FFFFFF"/>
          <w:lang w:val="es-CO"/>
        </w:rPr>
      </w:pPr>
    </w:p>
    <w:p w14:paraId="6278AB0D" w14:textId="76EFDAD4" w:rsidR="00393458" w:rsidRPr="000506EA" w:rsidRDefault="00B17B42" w:rsidP="00100006">
      <w:pPr>
        <w:pStyle w:val="corte4fondo"/>
        <w:numPr>
          <w:ilvl w:val="0"/>
          <w:numId w:val="2"/>
        </w:numPr>
        <w:ind w:left="0" w:right="51" w:hanging="567"/>
        <w:rPr>
          <w:rFonts w:cs="Arial"/>
          <w:iCs/>
          <w:color w:val="000000"/>
          <w:sz w:val="26"/>
          <w:szCs w:val="26"/>
          <w:bdr w:val="none" w:sz="0" w:space="0" w:color="auto" w:frame="1"/>
          <w:shd w:val="clear" w:color="auto" w:fill="FFFFFF"/>
          <w:lang w:val="es-CO"/>
        </w:rPr>
      </w:pPr>
      <w:r w:rsidRPr="00EF31DF">
        <w:rPr>
          <w:rFonts w:cs="Arial"/>
          <w:iCs/>
          <w:color w:val="000000"/>
          <w:sz w:val="26"/>
          <w:szCs w:val="26"/>
          <w:bdr w:val="none" w:sz="0" w:space="0" w:color="auto" w:frame="1"/>
          <w:shd w:val="clear" w:color="auto" w:fill="FFFFFF"/>
          <w:lang w:val="es-CO"/>
        </w:rPr>
        <w:t>Clarificado lo anterior</w:t>
      </w:r>
      <w:r w:rsidR="00764F7A" w:rsidRPr="00EF31DF">
        <w:rPr>
          <w:rFonts w:cs="Arial"/>
          <w:iCs/>
          <w:color w:val="000000"/>
          <w:sz w:val="26"/>
          <w:szCs w:val="26"/>
          <w:bdr w:val="none" w:sz="0" w:space="0" w:color="auto" w:frame="1"/>
          <w:shd w:val="clear" w:color="auto" w:fill="FFFFFF"/>
          <w:lang w:val="es-CO"/>
        </w:rPr>
        <w:t xml:space="preserve">, </w:t>
      </w:r>
      <w:r w:rsidR="00940E76">
        <w:rPr>
          <w:rFonts w:cs="Arial"/>
          <w:iCs/>
          <w:color w:val="000000"/>
          <w:sz w:val="26"/>
          <w:szCs w:val="26"/>
          <w:bdr w:val="none" w:sz="0" w:space="0" w:color="auto" w:frame="1"/>
          <w:shd w:val="clear" w:color="auto" w:fill="FFFFFF"/>
          <w:lang w:val="es-CO"/>
        </w:rPr>
        <w:t xml:space="preserve">reiteramos </w:t>
      </w:r>
      <w:r w:rsidR="00764F7A" w:rsidRPr="00EF31DF">
        <w:rPr>
          <w:rFonts w:cs="Arial"/>
          <w:iCs/>
          <w:color w:val="000000"/>
          <w:sz w:val="26"/>
          <w:szCs w:val="26"/>
          <w:bdr w:val="none" w:sz="0" w:space="0" w:color="auto" w:frame="1"/>
          <w:shd w:val="clear" w:color="auto" w:fill="FFFFFF"/>
          <w:lang w:val="es-CO"/>
        </w:rPr>
        <w:t xml:space="preserve">que, </w:t>
      </w:r>
      <w:r w:rsidR="00A22A4C" w:rsidRPr="00EF31DF">
        <w:rPr>
          <w:rFonts w:cs="Arial"/>
          <w:iCs/>
          <w:color w:val="000000"/>
          <w:sz w:val="26"/>
          <w:szCs w:val="26"/>
          <w:bdr w:val="none" w:sz="0" w:space="0" w:color="auto" w:frame="1"/>
          <w:shd w:val="clear" w:color="auto" w:fill="FFFFFF"/>
          <w:lang w:val="es-CO"/>
        </w:rPr>
        <w:t xml:space="preserve">en </w:t>
      </w:r>
      <w:r w:rsidR="009611FC" w:rsidRPr="00EF31DF">
        <w:rPr>
          <w:rFonts w:cs="Arial"/>
          <w:iCs/>
          <w:color w:val="000000"/>
          <w:sz w:val="26"/>
          <w:szCs w:val="26"/>
          <w:bdr w:val="none" w:sz="0" w:space="0" w:color="auto" w:frame="1"/>
          <w:shd w:val="clear" w:color="auto" w:fill="FFFFFF"/>
          <w:lang w:val="es-CO"/>
        </w:rPr>
        <w:t xml:space="preserve">sus conceptos </w:t>
      </w:r>
      <w:r w:rsidR="00764F7A" w:rsidRPr="00EF31DF">
        <w:rPr>
          <w:rFonts w:cs="Arial"/>
          <w:iCs/>
          <w:color w:val="000000"/>
          <w:sz w:val="26"/>
          <w:szCs w:val="26"/>
          <w:bdr w:val="none" w:sz="0" w:space="0" w:color="auto" w:frame="1"/>
          <w:shd w:val="clear" w:color="auto" w:fill="FFFFFF"/>
          <w:lang w:val="es-CO"/>
        </w:rPr>
        <w:t xml:space="preserve">de violación, las quejosas sostuvieron que la sala responsable incumplió con su obligación de juzgar con perspectiva de género al valorar las pruebas aportadas en juicio. </w:t>
      </w:r>
      <w:r w:rsidR="003062E5" w:rsidRPr="00EF31DF">
        <w:rPr>
          <w:rFonts w:cs="Arial"/>
          <w:iCs/>
          <w:color w:val="000000"/>
          <w:sz w:val="26"/>
          <w:szCs w:val="26"/>
          <w:bdr w:val="none" w:sz="0" w:space="0" w:color="auto" w:frame="1"/>
          <w:shd w:val="clear" w:color="auto" w:fill="FFFFFF"/>
          <w:lang w:val="es-CO"/>
        </w:rPr>
        <w:t>Estimaron</w:t>
      </w:r>
      <w:r w:rsidR="00EF280A" w:rsidRPr="00EF31DF">
        <w:rPr>
          <w:rFonts w:cs="Arial"/>
          <w:iCs/>
          <w:color w:val="000000"/>
          <w:sz w:val="26"/>
          <w:szCs w:val="26"/>
          <w:bdr w:val="none" w:sz="0" w:space="0" w:color="auto" w:frame="1"/>
          <w:shd w:val="clear" w:color="auto" w:fill="FFFFFF"/>
          <w:lang w:val="es-CO"/>
        </w:rPr>
        <w:t xml:space="preserve"> que, conforme al artículo 402 del Código de Procedimientos Civiles para el Distrito Federal</w:t>
      </w:r>
      <w:r w:rsidR="008A28BF" w:rsidRPr="00EF31DF">
        <w:rPr>
          <w:rStyle w:val="Refdenotaalpie"/>
          <w:rFonts w:cs="Arial"/>
          <w:iCs/>
          <w:color w:val="000000"/>
          <w:sz w:val="26"/>
          <w:szCs w:val="26"/>
          <w:bdr w:val="none" w:sz="0" w:space="0" w:color="auto" w:frame="1"/>
          <w:shd w:val="clear" w:color="auto" w:fill="FFFFFF"/>
          <w:lang w:val="es-CO"/>
        </w:rPr>
        <w:footnoteReference w:id="54"/>
      </w:r>
      <w:r w:rsidR="00EF280A" w:rsidRPr="00EF31DF">
        <w:rPr>
          <w:rFonts w:cs="Arial"/>
          <w:iCs/>
          <w:color w:val="000000"/>
          <w:sz w:val="26"/>
          <w:szCs w:val="26"/>
          <w:bdr w:val="none" w:sz="0" w:space="0" w:color="auto" w:frame="1"/>
          <w:shd w:val="clear" w:color="auto" w:fill="FFFFFF"/>
          <w:lang w:val="es-CO"/>
        </w:rPr>
        <w:t xml:space="preserve">, </w:t>
      </w:r>
      <w:r w:rsidR="00776695" w:rsidRPr="00EF31DF">
        <w:rPr>
          <w:rFonts w:cs="Arial"/>
          <w:iCs/>
          <w:color w:val="000000"/>
          <w:sz w:val="26"/>
          <w:szCs w:val="26"/>
          <w:bdr w:val="none" w:sz="0" w:space="0" w:color="auto" w:frame="1"/>
          <w:shd w:val="clear" w:color="auto" w:fill="FFFFFF"/>
          <w:lang w:val="es-CO"/>
        </w:rPr>
        <w:t xml:space="preserve">la juzgadora </w:t>
      </w:r>
      <w:r w:rsidR="005C3936" w:rsidRPr="00EF31DF">
        <w:rPr>
          <w:rFonts w:cs="Arial"/>
          <w:iCs/>
          <w:color w:val="000000"/>
          <w:sz w:val="26"/>
          <w:szCs w:val="26"/>
          <w:bdr w:val="none" w:sz="0" w:space="0" w:color="auto" w:frame="1"/>
          <w:shd w:val="clear" w:color="auto" w:fill="FFFFFF"/>
          <w:lang w:val="es-CO"/>
        </w:rPr>
        <w:t>debió</w:t>
      </w:r>
      <w:r w:rsidR="00776695" w:rsidRPr="00EF31DF">
        <w:rPr>
          <w:rFonts w:cs="Arial"/>
          <w:iCs/>
          <w:color w:val="000000"/>
          <w:sz w:val="26"/>
          <w:szCs w:val="26"/>
          <w:bdr w:val="none" w:sz="0" w:space="0" w:color="auto" w:frame="1"/>
          <w:shd w:val="clear" w:color="auto" w:fill="FFFFFF"/>
          <w:lang w:val="es-CO"/>
        </w:rPr>
        <w:t xml:space="preserve"> valorar</w:t>
      </w:r>
      <w:r w:rsidR="00467423" w:rsidRPr="00EF31DF">
        <w:rPr>
          <w:rFonts w:cs="Arial"/>
          <w:iCs/>
          <w:color w:val="000000"/>
          <w:sz w:val="26"/>
          <w:szCs w:val="26"/>
          <w:bdr w:val="none" w:sz="0" w:space="0" w:color="auto" w:frame="1"/>
          <w:shd w:val="clear" w:color="auto" w:fill="FFFFFF"/>
          <w:lang w:val="es-CO"/>
        </w:rPr>
        <w:t xml:space="preserve"> </w:t>
      </w:r>
      <w:r w:rsidR="00776695" w:rsidRPr="00EF31DF">
        <w:rPr>
          <w:rFonts w:cs="Arial"/>
          <w:iCs/>
          <w:color w:val="000000"/>
          <w:sz w:val="26"/>
          <w:szCs w:val="26"/>
          <w:bdr w:val="none" w:sz="0" w:space="0" w:color="auto" w:frame="1"/>
          <w:shd w:val="clear" w:color="auto" w:fill="FFFFFF"/>
          <w:lang w:val="es-CO"/>
        </w:rPr>
        <w:t xml:space="preserve">todos </w:t>
      </w:r>
      <w:r w:rsidR="00467423" w:rsidRPr="00EF31DF">
        <w:rPr>
          <w:rFonts w:cs="Arial"/>
          <w:iCs/>
          <w:color w:val="000000"/>
          <w:sz w:val="26"/>
          <w:szCs w:val="26"/>
          <w:bdr w:val="none" w:sz="0" w:space="0" w:color="auto" w:frame="1"/>
          <w:shd w:val="clear" w:color="auto" w:fill="FFFFFF"/>
          <w:lang w:val="es-CO"/>
        </w:rPr>
        <w:t xml:space="preserve">los medios de prueba en conjunto, en atención a las reglas de la lógica y la experiencia, </w:t>
      </w:r>
      <w:r w:rsidR="00776695" w:rsidRPr="00EF31DF">
        <w:rPr>
          <w:rFonts w:cs="Arial"/>
          <w:iCs/>
          <w:color w:val="000000"/>
          <w:sz w:val="26"/>
          <w:szCs w:val="26"/>
          <w:bdr w:val="none" w:sz="0" w:space="0" w:color="auto" w:frame="1"/>
          <w:shd w:val="clear" w:color="auto" w:fill="FFFFFF"/>
          <w:lang w:val="es-CO"/>
        </w:rPr>
        <w:lastRenderedPageBreak/>
        <w:t xml:space="preserve">con el fin de </w:t>
      </w:r>
      <w:r w:rsidR="003062E5" w:rsidRPr="00EF31DF">
        <w:rPr>
          <w:rFonts w:cs="Arial"/>
          <w:iCs/>
          <w:color w:val="000000"/>
          <w:sz w:val="26"/>
          <w:szCs w:val="26"/>
          <w:bdr w:val="none" w:sz="0" w:space="0" w:color="auto" w:frame="1"/>
          <w:shd w:val="clear" w:color="auto" w:fill="FFFFFF"/>
          <w:lang w:val="es-CO"/>
        </w:rPr>
        <w:t>tener por acreditados todos</w:t>
      </w:r>
      <w:r w:rsidR="00776695" w:rsidRPr="00EF31DF">
        <w:rPr>
          <w:rFonts w:cs="Arial"/>
          <w:iCs/>
          <w:color w:val="000000"/>
          <w:sz w:val="26"/>
          <w:szCs w:val="26"/>
          <w:bdr w:val="none" w:sz="0" w:space="0" w:color="auto" w:frame="1"/>
          <w:shd w:val="clear" w:color="auto" w:fill="FFFFFF"/>
          <w:lang w:val="es-CO"/>
        </w:rPr>
        <w:t xml:space="preserve"> los hechos alegados</w:t>
      </w:r>
      <w:r w:rsidR="005C3936" w:rsidRPr="00EF31DF">
        <w:rPr>
          <w:rFonts w:cs="Arial"/>
          <w:iCs/>
          <w:color w:val="000000"/>
          <w:sz w:val="26"/>
          <w:szCs w:val="26"/>
          <w:bdr w:val="none" w:sz="0" w:space="0" w:color="auto" w:frame="1"/>
          <w:shd w:val="clear" w:color="auto" w:fill="FFFFFF"/>
          <w:lang w:val="es-CO"/>
        </w:rPr>
        <w:t xml:space="preserve"> por las quejosas,</w:t>
      </w:r>
      <w:r w:rsidR="00644C8B" w:rsidRPr="00EF31DF">
        <w:rPr>
          <w:rFonts w:cs="Arial"/>
          <w:iCs/>
          <w:color w:val="000000"/>
          <w:sz w:val="26"/>
          <w:szCs w:val="26"/>
          <w:bdr w:val="none" w:sz="0" w:space="0" w:color="auto" w:frame="1"/>
          <w:shd w:val="clear" w:color="auto" w:fill="FFFFFF"/>
          <w:lang w:val="es-CO"/>
        </w:rPr>
        <w:t xml:space="preserve"> </w:t>
      </w:r>
      <w:r w:rsidR="0048690F" w:rsidRPr="00EF31DF">
        <w:rPr>
          <w:rFonts w:cs="Arial"/>
          <w:iCs/>
          <w:color w:val="000000"/>
          <w:sz w:val="26"/>
          <w:szCs w:val="26"/>
          <w:bdr w:val="none" w:sz="0" w:space="0" w:color="auto" w:frame="1"/>
          <w:shd w:val="clear" w:color="auto" w:fill="FFFFFF"/>
          <w:lang w:val="es-CO"/>
        </w:rPr>
        <w:t xml:space="preserve">y, </w:t>
      </w:r>
      <w:r w:rsidR="0048690F" w:rsidRPr="000506EA">
        <w:rPr>
          <w:rFonts w:cs="Arial"/>
          <w:iCs/>
          <w:color w:val="000000"/>
          <w:sz w:val="26"/>
          <w:szCs w:val="26"/>
          <w:bdr w:val="none" w:sz="0" w:space="0" w:color="auto" w:frame="1"/>
          <w:shd w:val="clear" w:color="auto" w:fill="FFFFFF"/>
          <w:lang w:val="es-CO"/>
        </w:rPr>
        <w:t xml:space="preserve">sobre todo, </w:t>
      </w:r>
      <w:r w:rsidR="00644C8B" w:rsidRPr="000506EA">
        <w:rPr>
          <w:rFonts w:cs="Arial"/>
          <w:iCs/>
          <w:color w:val="000000"/>
          <w:sz w:val="26"/>
          <w:szCs w:val="26"/>
          <w:bdr w:val="none" w:sz="0" w:space="0" w:color="auto" w:frame="1"/>
          <w:shd w:val="clear" w:color="auto" w:fill="FFFFFF"/>
          <w:lang w:val="es-CO"/>
        </w:rPr>
        <w:t xml:space="preserve">su calificación </w:t>
      </w:r>
      <w:r w:rsidR="00DF4063" w:rsidRPr="000506EA">
        <w:rPr>
          <w:rFonts w:cs="Arial"/>
          <w:iCs/>
          <w:color w:val="000000"/>
          <w:sz w:val="26"/>
          <w:szCs w:val="26"/>
          <w:bdr w:val="none" w:sz="0" w:space="0" w:color="auto" w:frame="1"/>
          <w:shd w:val="clear" w:color="auto" w:fill="FFFFFF"/>
          <w:lang w:val="es-CO"/>
        </w:rPr>
        <w:t>como</w:t>
      </w:r>
      <w:r w:rsidR="00644C8B" w:rsidRPr="000506EA">
        <w:rPr>
          <w:rFonts w:cs="Arial"/>
          <w:iCs/>
          <w:color w:val="000000"/>
          <w:sz w:val="26"/>
          <w:szCs w:val="26"/>
          <w:bdr w:val="none" w:sz="0" w:space="0" w:color="auto" w:frame="1"/>
          <w:shd w:val="clear" w:color="auto" w:fill="FFFFFF"/>
          <w:lang w:val="es-CO"/>
        </w:rPr>
        <w:t xml:space="preserve"> discriminatorios.</w:t>
      </w:r>
    </w:p>
    <w:p w14:paraId="647F5BAE" w14:textId="77777777" w:rsidR="00D222FC" w:rsidRPr="000506EA" w:rsidRDefault="00D222FC" w:rsidP="00D222FC">
      <w:pPr>
        <w:pStyle w:val="corte4fondo"/>
        <w:ind w:right="51" w:firstLine="0"/>
        <w:rPr>
          <w:rFonts w:cs="Arial"/>
          <w:iCs/>
          <w:color w:val="000000"/>
          <w:sz w:val="26"/>
          <w:szCs w:val="26"/>
          <w:bdr w:val="none" w:sz="0" w:space="0" w:color="auto" w:frame="1"/>
          <w:shd w:val="clear" w:color="auto" w:fill="FFFFFF"/>
          <w:lang w:val="es-CO"/>
        </w:rPr>
      </w:pPr>
    </w:p>
    <w:p w14:paraId="5441C2ED" w14:textId="79410F4A" w:rsidR="00D222FC" w:rsidRPr="000506EA" w:rsidRDefault="00D222FC" w:rsidP="00100006">
      <w:pPr>
        <w:pStyle w:val="corte4fondo"/>
        <w:numPr>
          <w:ilvl w:val="0"/>
          <w:numId w:val="2"/>
        </w:numPr>
        <w:ind w:left="0" w:right="51" w:hanging="567"/>
        <w:rPr>
          <w:rFonts w:cs="Arial"/>
          <w:iCs/>
          <w:color w:val="000000"/>
          <w:sz w:val="26"/>
          <w:szCs w:val="26"/>
          <w:bdr w:val="none" w:sz="0" w:space="0" w:color="auto" w:frame="1"/>
          <w:shd w:val="clear" w:color="auto" w:fill="FFFFFF"/>
          <w:lang w:val="es-CO"/>
        </w:rPr>
      </w:pPr>
      <w:r w:rsidRPr="000506EA">
        <w:rPr>
          <w:rFonts w:cs="Arial"/>
          <w:iCs/>
          <w:color w:val="000000"/>
          <w:sz w:val="26"/>
          <w:szCs w:val="26"/>
          <w:bdr w:val="none" w:sz="0" w:space="0" w:color="auto" w:frame="1"/>
          <w:shd w:val="clear" w:color="auto" w:fill="FFFFFF"/>
          <w:lang w:val="es-CO"/>
        </w:rPr>
        <w:t>En atención a tal planteamiento, y dado que</w:t>
      </w:r>
      <w:r w:rsidR="00644C8B" w:rsidRPr="000506EA">
        <w:rPr>
          <w:rFonts w:cs="Arial"/>
          <w:iCs/>
          <w:color w:val="000000"/>
          <w:sz w:val="26"/>
          <w:szCs w:val="26"/>
          <w:bdr w:val="none" w:sz="0" w:space="0" w:color="auto" w:frame="1"/>
          <w:shd w:val="clear" w:color="auto" w:fill="FFFFFF"/>
          <w:lang w:val="es-CO"/>
        </w:rPr>
        <w:t xml:space="preserve"> hemos determinado </w:t>
      </w:r>
      <w:r w:rsidRPr="000506EA">
        <w:rPr>
          <w:rFonts w:cs="Arial"/>
          <w:iCs/>
          <w:color w:val="000000"/>
          <w:sz w:val="26"/>
          <w:szCs w:val="26"/>
          <w:bdr w:val="none" w:sz="0" w:space="0" w:color="auto" w:frame="1"/>
          <w:shd w:val="clear" w:color="auto" w:fill="FFFFFF"/>
          <w:lang w:val="es-CO"/>
        </w:rPr>
        <w:t xml:space="preserve">que </w:t>
      </w:r>
      <w:r w:rsidR="00FC35DE" w:rsidRPr="000506EA">
        <w:rPr>
          <w:rFonts w:cs="Arial"/>
          <w:sz w:val="26"/>
          <w:szCs w:val="26"/>
        </w:rPr>
        <w:t xml:space="preserve">la conciliación ante el COPRED </w:t>
      </w:r>
      <w:r w:rsidR="008E6B72" w:rsidRPr="000506EA">
        <w:rPr>
          <w:rFonts w:cs="Arial"/>
          <w:sz w:val="26"/>
          <w:szCs w:val="26"/>
        </w:rPr>
        <w:t>no constituía “prueba plena” que</w:t>
      </w:r>
      <w:r w:rsidR="00FC35DE" w:rsidRPr="000506EA">
        <w:rPr>
          <w:rFonts w:cs="Arial"/>
          <w:sz w:val="26"/>
          <w:szCs w:val="26"/>
        </w:rPr>
        <w:t xml:space="preserve"> acredita</w:t>
      </w:r>
      <w:r w:rsidR="00470DA4" w:rsidRPr="000506EA">
        <w:rPr>
          <w:rFonts w:cs="Arial"/>
          <w:sz w:val="26"/>
          <w:szCs w:val="26"/>
        </w:rPr>
        <w:t>ra</w:t>
      </w:r>
      <w:r w:rsidR="00FC35DE" w:rsidRPr="000506EA">
        <w:rPr>
          <w:rFonts w:cs="Arial"/>
          <w:sz w:val="26"/>
          <w:szCs w:val="26"/>
        </w:rPr>
        <w:t xml:space="preserve"> los hechos alegados por las señoras </w:t>
      </w:r>
      <w:r w:rsidR="00FC35DE" w:rsidRPr="000506EA">
        <w:rPr>
          <w:rFonts w:cs="Arial"/>
          <w:color w:val="FF0000"/>
          <w:sz w:val="26"/>
          <w:szCs w:val="26"/>
        </w:rPr>
        <w:t xml:space="preserve">DF </w:t>
      </w:r>
      <w:r w:rsidR="00FC35DE" w:rsidRPr="000506EA">
        <w:rPr>
          <w:rFonts w:cs="Arial"/>
          <w:sz w:val="26"/>
          <w:szCs w:val="26"/>
        </w:rPr>
        <w:t xml:space="preserve">y </w:t>
      </w:r>
      <w:r w:rsidR="00FC35DE" w:rsidRPr="000506EA">
        <w:rPr>
          <w:rFonts w:cs="Arial"/>
          <w:color w:val="FF0000"/>
          <w:sz w:val="26"/>
          <w:szCs w:val="26"/>
        </w:rPr>
        <w:t xml:space="preserve">GB </w:t>
      </w:r>
      <w:r w:rsidR="00FC35DE" w:rsidRPr="000506EA">
        <w:rPr>
          <w:rFonts w:cs="Arial"/>
          <w:sz w:val="26"/>
          <w:szCs w:val="26"/>
        </w:rPr>
        <w:t>en el juicio civil</w:t>
      </w:r>
      <w:r w:rsidR="00A228B8" w:rsidRPr="000506EA">
        <w:rPr>
          <w:rFonts w:cs="Arial"/>
          <w:sz w:val="26"/>
          <w:szCs w:val="26"/>
        </w:rPr>
        <w:t xml:space="preserve">, esta Primera Sala estima necesario </w:t>
      </w:r>
      <w:r w:rsidR="001F3DCE" w:rsidRPr="000506EA">
        <w:rPr>
          <w:rFonts w:cs="Arial"/>
          <w:sz w:val="26"/>
          <w:szCs w:val="26"/>
        </w:rPr>
        <w:t xml:space="preserve">fijar </w:t>
      </w:r>
      <w:r w:rsidR="0048690F" w:rsidRPr="000506EA">
        <w:rPr>
          <w:rFonts w:cs="Arial"/>
          <w:sz w:val="26"/>
          <w:szCs w:val="26"/>
        </w:rPr>
        <w:t>cuáles hechos</w:t>
      </w:r>
      <w:r w:rsidR="00DF4063" w:rsidRPr="000506EA">
        <w:rPr>
          <w:rFonts w:cs="Arial"/>
          <w:sz w:val="26"/>
          <w:szCs w:val="26"/>
        </w:rPr>
        <w:t xml:space="preserve"> efectivamente</w:t>
      </w:r>
      <w:r w:rsidR="0048690F" w:rsidRPr="000506EA">
        <w:rPr>
          <w:rFonts w:cs="Arial"/>
          <w:sz w:val="26"/>
          <w:szCs w:val="26"/>
        </w:rPr>
        <w:t xml:space="preserve"> se acreditaron en juicio</w:t>
      </w:r>
      <w:r w:rsidR="00531F84">
        <w:rPr>
          <w:rStyle w:val="Refdenotaalpie"/>
          <w:rFonts w:cs="Arial"/>
          <w:sz w:val="26"/>
          <w:szCs w:val="26"/>
        </w:rPr>
        <w:footnoteReference w:id="55"/>
      </w:r>
      <w:r w:rsidR="0048690F" w:rsidRPr="000506EA">
        <w:rPr>
          <w:rFonts w:cs="Arial"/>
          <w:sz w:val="26"/>
          <w:szCs w:val="26"/>
        </w:rPr>
        <w:t xml:space="preserve">. </w:t>
      </w:r>
      <w:r w:rsidR="001F3DCE" w:rsidRPr="000506EA">
        <w:rPr>
          <w:rFonts w:cs="Arial"/>
          <w:sz w:val="26"/>
          <w:szCs w:val="26"/>
        </w:rPr>
        <w:t>S</w:t>
      </w:r>
      <w:r w:rsidR="0040595F">
        <w:rPr>
          <w:rFonts w:cs="Arial"/>
          <w:sz w:val="26"/>
          <w:szCs w:val="26"/>
        </w:rPr>
        <w:t>ó</w:t>
      </w:r>
      <w:r w:rsidR="001F3DCE" w:rsidRPr="000506EA">
        <w:rPr>
          <w:rFonts w:cs="Arial"/>
          <w:sz w:val="26"/>
          <w:szCs w:val="26"/>
        </w:rPr>
        <w:t>lo de esta manera</w:t>
      </w:r>
      <w:r w:rsidR="000570A1" w:rsidRPr="000506EA">
        <w:rPr>
          <w:rFonts w:cs="Arial"/>
          <w:sz w:val="26"/>
          <w:szCs w:val="26"/>
        </w:rPr>
        <w:t xml:space="preserve"> podremos determinar s</w:t>
      </w:r>
      <w:r w:rsidR="00655EB6" w:rsidRPr="000506EA">
        <w:rPr>
          <w:rFonts w:cs="Arial"/>
          <w:sz w:val="26"/>
          <w:szCs w:val="26"/>
        </w:rPr>
        <w:t>i</w:t>
      </w:r>
      <w:r w:rsidR="000570A1" w:rsidRPr="000506EA">
        <w:rPr>
          <w:rFonts w:cs="Arial"/>
          <w:sz w:val="26"/>
          <w:szCs w:val="26"/>
        </w:rPr>
        <w:t xml:space="preserve"> fue acertado que la sala responsable únicamente calificara como hechos discriminatorios los sucesos ocurridos en los sanitarios del centro comercial “</w:t>
      </w:r>
      <w:r w:rsidR="000570A1" w:rsidRPr="00453D61">
        <w:rPr>
          <w:rFonts w:cs="Arial"/>
          <w:sz w:val="26"/>
          <w:szCs w:val="26"/>
        </w:rPr>
        <w:t xml:space="preserve">Reforma 222”, </w:t>
      </w:r>
      <w:r w:rsidR="008A01F1" w:rsidRPr="000506EA">
        <w:rPr>
          <w:rFonts w:cs="Arial"/>
          <w:sz w:val="26"/>
          <w:szCs w:val="26"/>
        </w:rPr>
        <w:t>y</w:t>
      </w:r>
      <w:r w:rsidR="000570A1" w:rsidRPr="000506EA">
        <w:rPr>
          <w:rFonts w:cs="Arial"/>
          <w:sz w:val="26"/>
          <w:szCs w:val="26"/>
        </w:rPr>
        <w:t xml:space="preserve"> no los ocurridos en el módulo de quejas</w:t>
      </w:r>
      <w:r w:rsidR="0087658D" w:rsidRPr="000506EA">
        <w:rPr>
          <w:rFonts w:cs="Arial"/>
          <w:sz w:val="26"/>
          <w:szCs w:val="26"/>
        </w:rPr>
        <w:t>, a partir de una aplicación de la perspectiva de género</w:t>
      </w:r>
      <w:r w:rsidR="000570A1" w:rsidRPr="000506EA">
        <w:rPr>
          <w:rFonts w:cs="Arial"/>
          <w:sz w:val="26"/>
          <w:szCs w:val="26"/>
        </w:rPr>
        <w:t xml:space="preserve">. </w:t>
      </w:r>
    </w:p>
    <w:p w14:paraId="21F53023" w14:textId="77777777" w:rsidR="00630835" w:rsidRPr="003F6B95" w:rsidRDefault="00630835" w:rsidP="00791AB7">
      <w:pPr>
        <w:spacing w:line="360" w:lineRule="auto"/>
        <w:rPr>
          <w:rFonts w:ascii="Arial" w:hAnsi="Arial" w:cs="Arial"/>
          <w:sz w:val="26"/>
          <w:szCs w:val="26"/>
        </w:rPr>
      </w:pPr>
    </w:p>
    <w:p w14:paraId="42720AC0" w14:textId="6D43A64B" w:rsidR="00BD3AD4" w:rsidRPr="003F6B95" w:rsidRDefault="00932836" w:rsidP="00E6421D">
      <w:pPr>
        <w:pStyle w:val="corte4fondo"/>
        <w:ind w:right="51" w:firstLine="0"/>
        <w:rPr>
          <w:rFonts w:cs="Arial"/>
          <w:iCs/>
          <w:color w:val="000000" w:themeColor="text1"/>
          <w:sz w:val="26"/>
          <w:szCs w:val="26"/>
          <w:bdr w:val="none" w:sz="0" w:space="0" w:color="auto" w:frame="1"/>
          <w:shd w:val="clear" w:color="auto" w:fill="FFFFFF"/>
          <w:lang w:val="es-CO"/>
        </w:rPr>
      </w:pPr>
      <w:r>
        <w:rPr>
          <w:rFonts w:cs="Arial"/>
          <w:sz w:val="26"/>
          <w:szCs w:val="26"/>
          <w:u w:val="single"/>
        </w:rPr>
        <w:t>B</w:t>
      </w:r>
      <w:r w:rsidR="00630835" w:rsidRPr="00D26844">
        <w:rPr>
          <w:rFonts w:cs="Arial"/>
          <w:sz w:val="26"/>
          <w:szCs w:val="26"/>
          <w:u w:val="single"/>
        </w:rPr>
        <w:t>. Acreditamiento de los hechos discriminatorios</w:t>
      </w:r>
    </w:p>
    <w:p w14:paraId="7D4E9F26" w14:textId="0AF1BDEA" w:rsidR="00B237D4" w:rsidRPr="003F6B95" w:rsidRDefault="00C600E4" w:rsidP="00B237D4">
      <w:pPr>
        <w:pStyle w:val="corte4fondo"/>
        <w:numPr>
          <w:ilvl w:val="0"/>
          <w:numId w:val="2"/>
        </w:numPr>
        <w:spacing w:before="240"/>
        <w:ind w:left="0" w:right="51" w:hanging="567"/>
        <w:rPr>
          <w:rFonts w:cs="Arial"/>
          <w:sz w:val="26"/>
          <w:szCs w:val="26"/>
          <w:lang w:val="es-MX"/>
        </w:rPr>
      </w:pPr>
      <w:r>
        <w:rPr>
          <w:rFonts w:cs="Arial"/>
          <w:color w:val="000000" w:themeColor="text1"/>
          <w:sz w:val="26"/>
          <w:szCs w:val="26"/>
        </w:rPr>
        <w:t>E</w:t>
      </w:r>
      <w:r w:rsidR="0065725C" w:rsidRPr="003F6B95">
        <w:rPr>
          <w:rFonts w:cs="Arial"/>
          <w:color w:val="000000" w:themeColor="text1"/>
          <w:sz w:val="26"/>
          <w:szCs w:val="26"/>
        </w:rPr>
        <w:t>sta Primera Sala considera que</w:t>
      </w:r>
      <w:r w:rsidR="00CC182A" w:rsidRPr="003F6B95">
        <w:rPr>
          <w:rFonts w:cs="Arial"/>
          <w:color w:val="000000" w:themeColor="text1"/>
          <w:sz w:val="26"/>
          <w:szCs w:val="26"/>
        </w:rPr>
        <w:t xml:space="preserve"> las actoras acreditaron </w:t>
      </w:r>
      <w:r w:rsidR="00B225AF" w:rsidRPr="003F6B95">
        <w:rPr>
          <w:rFonts w:cs="Arial"/>
          <w:color w:val="000000" w:themeColor="text1"/>
          <w:sz w:val="26"/>
          <w:szCs w:val="26"/>
        </w:rPr>
        <w:t>los hechos</w:t>
      </w:r>
      <w:r w:rsidR="00CC182A" w:rsidRPr="003F6B95">
        <w:rPr>
          <w:rFonts w:cs="Arial"/>
          <w:color w:val="000000" w:themeColor="text1"/>
          <w:sz w:val="26"/>
          <w:szCs w:val="26"/>
        </w:rPr>
        <w:t xml:space="preserve"> </w:t>
      </w:r>
      <w:r w:rsidR="0065725C" w:rsidRPr="003F6B95">
        <w:rPr>
          <w:rFonts w:cs="Arial"/>
          <w:sz w:val="26"/>
          <w:szCs w:val="26"/>
        </w:rPr>
        <w:t>consistente</w:t>
      </w:r>
      <w:r w:rsidR="00B225AF" w:rsidRPr="003F6B95">
        <w:rPr>
          <w:rFonts w:cs="Arial"/>
          <w:sz w:val="26"/>
          <w:szCs w:val="26"/>
        </w:rPr>
        <w:t>s</w:t>
      </w:r>
      <w:r w:rsidR="0065725C" w:rsidRPr="003F6B95">
        <w:rPr>
          <w:rFonts w:cs="Arial"/>
          <w:sz w:val="26"/>
          <w:szCs w:val="26"/>
        </w:rPr>
        <w:t xml:space="preserve"> en que</w:t>
      </w:r>
      <w:r w:rsidR="00310F26" w:rsidRPr="003F6B95">
        <w:rPr>
          <w:rFonts w:cs="Arial"/>
          <w:sz w:val="26"/>
          <w:szCs w:val="26"/>
        </w:rPr>
        <w:t xml:space="preserve">, </w:t>
      </w:r>
      <w:r w:rsidR="00310F26" w:rsidRPr="003F6B95">
        <w:rPr>
          <w:rFonts w:cs="Arial"/>
          <w:color w:val="000000" w:themeColor="text1"/>
          <w:sz w:val="26"/>
          <w:szCs w:val="26"/>
        </w:rPr>
        <w:t xml:space="preserve">el 25 de noviembre de 2015, </w:t>
      </w:r>
      <w:r w:rsidR="00CE4051" w:rsidRPr="003F6B95">
        <w:rPr>
          <w:rFonts w:cs="Arial"/>
          <w:color w:val="000000" w:themeColor="text1"/>
          <w:sz w:val="26"/>
          <w:szCs w:val="26"/>
        </w:rPr>
        <w:t>el personal de seguridad de</w:t>
      </w:r>
      <w:r w:rsidR="007E3370" w:rsidRPr="003F6B95">
        <w:rPr>
          <w:rFonts w:cs="Arial"/>
          <w:sz w:val="26"/>
          <w:szCs w:val="26"/>
        </w:rPr>
        <w:t xml:space="preserve"> </w:t>
      </w:r>
      <w:r w:rsidR="007E3370" w:rsidRPr="00453D61">
        <w:rPr>
          <w:rFonts w:cs="Arial"/>
          <w:sz w:val="26"/>
          <w:szCs w:val="26"/>
        </w:rPr>
        <w:t>Protección Privada 2010</w:t>
      </w:r>
      <w:r w:rsidR="00A86876" w:rsidRPr="00453D61">
        <w:rPr>
          <w:rFonts w:cs="Arial"/>
          <w:sz w:val="26"/>
          <w:szCs w:val="26"/>
        </w:rPr>
        <w:t xml:space="preserve"> </w:t>
      </w:r>
      <w:r w:rsidR="00CE4051" w:rsidRPr="003F6B95">
        <w:rPr>
          <w:rFonts w:cs="Arial"/>
          <w:sz w:val="26"/>
          <w:szCs w:val="26"/>
        </w:rPr>
        <w:t xml:space="preserve">obstaculizó </w:t>
      </w:r>
      <w:r w:rsidR="00A86876" w:rsidRPr="003F6B95">
        <w:rPr>
          <w:rFonts w:cs="Arial"/>
          <w:sz w:val="26"/>
          <w:szCs w:val="26"/>
        </w:rPr>
        <w:t xml:space="preserve">a </w:t>
      </w:r>
      <w:r w:rsidR="00A86876" w:rsidRPr="003F6B95">
        <w:rPr>
          <w:rFonts w:cs="Arial"/>
          <w:color w:val="FF0000"/>
          <w:sz w:val="26"/>
          <w:szCs w:val="26"/>
        </w:rPr>
        <w:t>JMDF</w:t>
      </w:r>
      <w:r w:rsidR="00A86876" w:rsidRPr="003F6B95">
        <w:rPr>
          <w:rFonts w:cs="Arial"/>
          <w:sz w:val="26"/>
          <w:szCs w:val="26"/>
        </w:rPr>
        <w:t xml:space="preserve"> y </w:t>
      </w:r>
      <w:r w:rsidR="00A86876" w:rsidRPr="003F6B95">
        <w:rPr>
          <w:rFonts w:cs="Arial"/>
          <w:color w:val="FF0000"/>
          <w:sz w:val="26"/>
          <w:szCs w:val="26"/>
        </w:rPr>
        <w:t>AMF</w:t>
      </w:r>
      <w:r w:rsidR="00A86876" w:rsidRPr="003F6B95">
        <w:rPr>
          <w:rFonts w:cs="Arial"/>
          <w:sz w:val="26"/>
          <w:szCs w:val="26"/>
        </w:rPr>
        <w:t xml:space="preserve"> </w:t>
      </w:r>
      <w:r w:rsidR="0065725C" w:rsidRPr="003F6B95">
        <w:rPr>
          <w:rFonts w:cs="Arial"/>
          <w:sz w:val="26"/>
          <w:szCs w:val="26"/>
        </w:rPr>
        <w:t xml:space="preserve">el acceso a los sanitarios de mujeres </w:t>
      </w:r>
      <w:r w:rsidR="00A86876" w:rsidRPr="003F6B95">
        <w:rPr>
          <w:rFonts w:cs="Arial"/>
          <w:sz w:val="26"/>
          <w:szCs w:val="26"/>
        </w:rPr>
        <w:t xml:space="preserve">ubicados </w:t>
      </w:r>
      <w:r w:rsidR="00310F26" w:rsidRPr="003F6B95">
        <w:rPr>
          <w:rFonts w:cs="Arial"/>
          <w:sz w:val="26"/>
          <w:szCs w:val="26"/>
        </w:rPr>
        <w:t>en el</w:t>
      </w:r>
      <w:r w:rsidR="0037146D" w:rsidRPr="003F6B95">
        <w:rPr>
          <w:rFonts w:cs="Arial"/>
          <w:sz w:val="26"/>
          <w:szCs w:val="26"/>
        </w:rPr>
        <w:t xml:space="preserve"> centro comercial </w:t>
      </w:r>
      <w:r w:rsidR="0037146D" w:rsidRPr="00453D61">
        <w:rPr>
          <w:rFonts w:cs="Arial"/>
          <w:sz w:val="26"/>
          <w:szCs w:val="26"/>
        </w:rPr>
        <w:t>“Reforma 222”</w:t>
      </w:r>
      <w:r w:rsidR="00BF5C2C" w:rsidRPr="00453D61">
        <w:rPr>
          <w:rFonts w:cs="Arial"/>
          <w:sz w:val="26"/>
          <w:szCs w:val="26"/>
        </w:rPr>
        <w:t xml:space="preserve">, por </w:t>
      </w:r>
      <w:r w:rsidR="00BF5C2C" w:rsidRPr="003F6B95">
        <w:rPr>
          <w:rFonts w:cs="Arial"/>
          <w:sz w:val="26"/>
          <w:szCs w:val="26"/>
        </w:rPr>
        <w:t>ser mujeres trans</w:t>
      </w:r>
      <w:r w:rsidR="00B225AF" w:rsidRPr="001C1A04">
        <w:rPr>
          <w:rFonts w:cs="Arial"/>
          <w:sz w:val="26"/>
          <w:szCs w:val="26"/>
        </w:rPr>
        <w:t>, así como, que</w:t>
      </w:r>
      <w:r w:rsidR="00A50C8A" w:rsidRPr="001C1A04">
        <w:rPr>
          <w:rFonts w:cs="Arial"/>
          <w:sz w:val="26"/>
          <w:szCs w:val="26"/>
        </w:rPr>
        <w:t>, en conjunto con</w:t>
      </w:r>
      <w:r w:rsidR="00A50C8A" w:rsidRPr="001C1A04">
        <w:rPr>
          <w:rFonts w:cs="Arial"/>
          <w:color w:val="FF0000"/>
          <w:sz w:val="26"/>
          <w:szCs w:val="26"/>
        </w:rPr>
        <w:t xml:space="preserve"> LNGB</w:t>
      </w:r>
      <w:r w:rsidR="005328A1" w:rsidRPr="001C1A04">
        <w:rPr>
          <w:rFonts w:cs="Arial"/>
          <w:color w:val="000000" w:themeColor="text1"/>
          <w:sz w:val="26"/>
          <w:szCs w:val="26"/>
        </w:rPr>
        <w:t xml:space="preserve">, </w:t>
      </w:r>
      <w:r w:rsidR="00B225AF" w:rsidRPr="001C1A04">
        <w:rPr>
          <w:rFonts w:cs="Arial"/>
          <w:sz w:val="26"/>
          <w:szCs w:val="26"/>
        </w:rPr>
        <w:t xml:space="preserve">recibieron un trato indiferente </w:t>
      </w:r>
      <w:r w:rsidR="00A66AA3" w:rsidRPr="001C1A04">
        <w:rPr>
          <w:rFonts w:cs="Arial"/>
          <w:sz w:val="26"/>
          <w:szCs w:val="26"/>
        </w:rPr>
        <w:t>y agresivo</w:t>
      </w:r>
      <w:r w:rsidR="00B225AF" w:rsidRPr="001C1A04">
        <w:rPr>
          <w:rFonts w:cs="Arial"/>
          <w:sz w:val="26"/>
          <w:szCs w:val="26"/>
        </w:rPr>
        <w:t xml:space="preserve"> en el módulo de quejas del centro comerc</w:t>
      </w:r>
      <w:r w:rsidR="00B225AF" w:rsidRPr="003F6B95">
        <w:rPr>
          <w:rFonts w:cs="Arial"/>
          <w:sz w:val="26"/>
          <w:szCs w:val="26"/>
        </w:rPr>
        <w:t>ial, ante la denuncia de los hechos que acababan de ocurrir</w:t>
      </w:r>
      <w:r w:rsidR="0065725C" w:rsidRPr="003F6B95">
        <w:rPr>
          <w:rFonts w:cs="Arial"/>
          <w:color w:val="000000" w:themeColor="text1"/>
          <w:sz w:val="26"/>
          <w:szCs w:val="26"/>
        </w:rPr>
        <w:t>.</w:t>
      </w:r>
      <w:r w:rsidR="00435ADF" w:rsidRPr="003F6B95">
        <w:rPr>
          <w:rFonts w:cs="Arial"/>
          <w:color w:val="000000" w:themeColor="text1"/>
          <w:sz w:val="26"/>
          <w:szCs w:val="26"/>
        </w:rPr>
        <w:t xml:space="preserve"> Esta conclusión deriva de lo siguiente.</w:t>
      </w:r>
    </w:p>
    <w:p w14:paraId="010FD035" w14:textId="77777777" w:rsidR="00B237D4" w:rsidRPr="003F6B95" w:rsidRDefault="00B237D4" w:rsidP="00B237D4">
      <w:pPr>
        <w:pStyle w:val="corte4fondo"/>
        <w:ind w:right="51" w:firstLine="0"/>
        <w:rPr>
          <w:rFonts w:cs="Arial"/>
          <w:sz w:val="26"/>
          <w:szCs w:val="26"/>
          <w:lang w:val="es-MX"/>
        </w:rPr>
      </w:pPr>
    </w:p>
    <w:p w14:paraId="0E667421" w14:textId="3DCD1E4A" w:rsidR="00B01CB4" w:rsidRPr="003F6B95" w:rsidRDefault="00BF5C2C" w:rsidP="00B237D4">
      <w:pPr>
        <w:pStyle w:val="corte4fondo"/>
        <w:numPr>
          <w:ilvl w:val="0"/>
          <w:numId w:val="2"/>
        </w:numPr>
        <w:ind w:left="0" w:right="51" w:hanging="567"/>
        <w:rPr>
          <w:rFonts w:cs="Arial"/>
          <w:sz w:val="26"/>
          <w:szCs w:val="26"/>
          <w:lang w:val="es-MX"/>
        </w:rPr>
      </w:pPr>
      <w:r w:rsidRPr="003F6B95">
        <w:rPr>
          <w:rFonts w:cs="Arial"/>
          <w:sz w:val="26"/>
          <w:szCs w:val="26"/>
          <w:lang w:val="es-MX"/>
        </w:rPr>
        <w:t>De las constancias se advierte que, entre otras,</w:t>
      </w:r>
      <w:r w:rsidR="00B01CB4" w:rsidRPr="003F6B95">
        <w:rPr>
          <w:rFonts w:cs="Arial"/>
          <w:sz w:val="26"/>
          <w:szCs w:val="26"/>
        </w:rPr>
        <w:t xml:space="preserve"> </w:t>
      </w:r>
      <w:r w:rsidR="00C661D4" w:rsidRPr="003F6B95">
        <w:rPr>
          <w:rFonts w:cs="Arial"/>
          <w:sz w:val="26"/>
          <w:szCs w:val="26"/>
        </w:rPr>
        <w:t>en el juicio se</w:t>
      </w:r>
      <w:r w:rsidR="00B01CB4" w:rsidRPr="003F6B95">
        <w:rPr>
          <w:rFonts w:cs="Arial"/>
          <w:sz w:val="26"/>
          <w:szCs w:val="26"/>
        </w:rPr>
        <w:t xml:space="preserve"> desahogaron las siguientes pruebas:</w:t>
      </w:r>
    </w:p>
    <w:p w14:paraId="2D8D56B5" w14:textId="4C507E38" w:rsidR="002C4433" w:rsidRPr="00453D61" w:rsidRDefault="002C4433" w:rsidP="002C4433">
      <w:pPr>
        <w:pStyle w:val="corte4fondo"/>
        <w:numPr>
          <w:ilvl w:val="0"/>
          <w:numId w:val="31"/>
        </w:numPr>
        <w:rPr>
          <w:rFonts w:cs="Arial"/>
          <w:sz w:val="26"/>
          <w:szCs w:val="26"/>
        </w:rPr>
      </w:pPr>
      <w:r w:rsidRPr="003F6B95">
        <w:rPr>
          <w:rFonts w:cs="Arial"/>
          <w:sz w:val="26"/>
          <w:szCs w:val="26"/>
        </w:rPr>
        <w:t xml:space="preserve">Prueba confesional a cargo del representante </w:t>
      </w:r>
      <w:r w:rsidRPr="00453D61">
        <w:rPr>
          <w:rFonts w:cs="Arial"/>
          <w:sz w:val="26"/>
          <w:szCs w:val="26"/>
        </w:rPr>
        <w:t xml:space="preserve">legal de </w:t>
      </w:r>
      <w:r w:rsidR="00545244" w:rsidRPr="00453D61">
        <w:rPr>
          <w:rFonts w:cs="Arial"/>
          <w:sz w:val="26"/>
          <w:szCs w:val="26"/>
        </w:rPr>
        <w:t>Reforma 222</w:t>
      </w:r>
    </w:p>
    <w:p w14:paraId="79121301" w14:textId="7B98BCBB" w:rsidR="00F817D7" w:rsidRPr="00453D61" w:rsidRDefault="00F817D7" w:rsidP="00F817D7">
      <w:pPr>
        <w:pStyle w:val="corte4fondo"/>
        <w:numPr>
          <w:ilvl w:val="0"/>
          <w:numId w:val="31"/>
        </w:numPr>
        <w:rPr>
          <w:rFonts w:cs="Arial"/>
          <w:sz w:val="26"/>
          <w:szCs w:val="26"/>
        </w:rPr>
      </w:pPr>
      <w:r w:rsidRPr="00453D61">
        <w:rPr>
          <w:rFonts w:cs="Arial"/>
          <w:sz w:val="26"/>
          <w:szCs w:val="26"/>
        </w:rPr>
        <w:lastRenderedPageBreak/>
        <w:t>Prueba confesional a cargo del representante legal de Protección Privada 2010</w:t>
      </w:r>
    </w:p>
    <w:p w14:paraId="0B81DBAD" w14:textId="314D09D1" w:rsidR="00B01CB4" w:rsidRPr="003F6B95" w:rsidRDefault="00B01CB4" w:rsidP="00987653">
      <w:pPr>
        <w:pStyle w:val="corte4fondo"/>
        <w:numPr>
          <w:ilvl w:val="0"/>
          <w:numId w:val="31"/>
        </w:numPr>
        <w:rPr>
          <w:rFonts w:cs="Arial"/>
          <w:sz w:val="26"/>
          <w:szCs w:val="26"/>
        </w:rPr>
      </w:pPr>
      <w:r w:rsidRPr="00453D61">
        <w:rPr>
          <w:rFonts w:cs="Arial"/>
          <w:sz w:val="26"/>
          <w:szCs w:val="26"/>
        </w:rPr>
        <w:t>Copias certificadas del expediente</w:t>
      </w:r>
      <w:r w:rsidR="004A62D5" w:rsidRPr="00453D61">
        <w:rPr>
          <w:rFonts w:cs="Arial"/>
          <w:sz w:val="26"/>
          <w:szCs w:val="26"/>
        </w:rPr>
        <w:t xml:space="preserve"> </w:t>
      </w:r>
      <w:r w:rsidRPr="00453D61">
        <w:rPr>
          <w:rFonts w:cs="Arial"/>
          <w:sz w:val="26"/>
          <w:szCs w:val="26"/>
        </w:rPr>
        <w:t xml:space="preserve">COPRED/DCND/Q-140-2015, </w:t>
      </w:r>
      <w:r w:rsidRPr="003F6B95">
        <w:rPr>
          <w:rFonts w:cs="Arial"/>
          <w:sz w:val="26"/>
          <w:szCs w:val="26"/>
        </w:rPr>
        <w:t xml:space="preserve">relativo al procedimiento </w:t>
      </w:r>
      <w:r w:rsidR="005D2876" w:rsidRPr="003F6B95">
        <w:rPr>
          <w:rFonts w:cs="Arial"/>
          <w:sz w:val="26"/>
          <w:szCs w:val="26"/>
        </w:rPr>
        <w:t xml:space="preserve">iniciado por las señoras </w:t>
      </w:r>
      <w:r w:rsidRPr="003F6B95">
        <w:rPr>
          <w:rFonts w:cs="Arial"/>
          <w:sz w:val="26"/>
          <w:szCs w:val="26"/>
        </w:rPr>
        <w:t xml:space="preserve">ante </w:t>
      </w:r>
      <w:r w:rsidR="000C0FEC" w:rsidRPr="003F6B95">
        <w:rPr>
          <w:rFonts w:cs="Arial"/>
          <w:sz w:val="26"/>
          <w:szCs w:val="26"/>
        </w:rPr>
        <w:t xml:space="preserve">la </w:t>
      </w:r>
      <w:r w:rsidR="004A62D5" w:rsidRPr="003F6B95">
        <w:rPr>
          <w:rFonts w:cs="Arial"/>
          <w:sz w:val="26"/>
          <w:szCs w:val="26"/>
        </w:rPr>
        <w:t>institución</w:t>
      </w:r>
      <w:r w:rsidR="0054059C" w:rsidRPr="003F6B95">
        <w:rPr>
          <w:rFonts w:cs="Arial"/>
          <w:sz w:val="26"/>
          <w:szCs w:val="26"/>
        </w:rPr>
        <w:t xml:space="preserve"> por presuntos hechos discriminatorios</w:t>
      </w:r>
    </w:p>
    <w:p w14:paraId="0FD52C7B" w14:textId="4CBF565C" w:rsidR="00B01CB4" w:rsidRPr="003F6B95" w:rsidRDefault="00B01CB4" w:rsidP="00987653">
      <w:pPr>
        <w:pStyle w:val="corte4fondo"/>
        <w:numPr>
          <w:ilvl w:val="0"/>
          <w:numId w:val="31"/>
        </w:numPr>
        <w:rPr>
          <w:rFonts w:cs="Arial"/>
          <w:sz w:val="26"/>
          <w:szCs w:val="26"/>
          <w:lang w:val="es-ES"/>
        </w:rPr>
      </w:pPr>
      <w:r w:rsidRPr="003F6B95">
        <w:rPr>
          <w:rFonts w:cs="Arial"/>
          <w:sz w:val="26"/>
          <w:szCs w:val="26"/>
          <w:lang w:val="es-ES"/>
        </w:rPr>
        <w:t>Prueba testimonial a cargo de</w:t>
      </w:r>
      <w:r w:rsidR="000C0FEC" w:rsidRPr="003F6B95">
        <w:rPr>
          <w:rFonts w:cs="Arial"/>
          <w:sz w:val="26"/>
          <w:szCs w:val="26"/>
          <w:lang w:val="es-ES"/>
        </w:rPr>
        <w:t xml:space="preserve">l señor </w:t>
      </w:r>
      <w:r w:rsidRPr="003F6B95">
        <w:rPr>
          <w:rFonts w:cs="Arial"/>
          <w:color w:val="FF0000"/>
          <w:sz w:val="26"/>
          <w:szCs w:val="26"/>
          <w:lang w:val="es-ES"/>
        </w:rPr>
        <w:t>RJBB</w:t>
      </w:r>
    </w:p>
    <w:p w14:paraId="67221F5D" w14:textId="2E243E36" w:rsidR="00B82E4C" w:rsidRPr="003F6B95" w:rsidRDefault="00B82E4C" w:rsidP="00B82E4C">
      <w:pPr>
        <w:pStyle w:val="corte4fondo"/>
        <w:numPr>
          <w:ilvl w:val="0"/>
          <w:numId w:val="31"/>
        </w:numPr>
        <w:rPr>
          <w:rFonts w:cs="Arial"/>
          <w:sz w:val="26"/>
          <w:szCs w:val="26"/>
        </w:rPr>
      </w:pPr>
      <w:r w:rsidRPr="003F6B95">
        <w:rPr>
          <w:rFonts w:cs="Arial"/>
          <w:sz w:val="26"/>
          <w:szCs w:val="26"/>
        </w:rPr>
        <w:t xml:space="preserve">Prueba testimonial a cargo del señor </w:t>
      </w:r>
      <w:r w:rsidR="00710A9E" w:rsidRPr="003F6B95">
        <w:rPr>
          <w:rFonts w:cs="Arial"/>
          <w:color w:val="FF0000"/>
          <w:sz w:val="26"/>
          <w:szCs w:val="26"/>
        </w:rPr>
        <w:t>AMM</w:t>
      </w:r>
    </w:p>
    <w:p w14:paraId="001819BE" w14:textId="3D9B8AD5" w:rsidR="00B01CB4" w:rsidRPr="003F6B95" w:rsidRDefault="003C54EF" w:rsidP="00987653">
      <w:pPr>
        <w:pStyle w:val="corte4fondo"/>
        <w:numPr>
          <w:ilvl w:val="0"/>
          <w:numId w:val="31"/>
        </w:numPr>
        <w:rPr>
          <w:rFonts w:cs="Arial"/>
          <w:sz w:val="26"/>
          <w:szCs w:val="26"/>
        </w:rPr>
      </w:pPr>
      <w:r w:rsidRPr="003F6B95">
        <w:rPr>
          <w:rFonts w:cs="Arial"/>
          <w:sz w:val="26"/>
          <w:szCs w:val="26"/>
        </w:rPr>
        <w:t>V</w:t>
      </w:r>
      <w:r w:rsidR="00B01CB4" w:rsidRPr="003F6B95">
        <w:rPr>
          <w:rFonts w:cs="Arial"/>
          <w:sz w:val="26"/>
          <w:szCs w:val="26"/>
        </w:rPr>
        <w:t>ideograbaciones del día de los hechos</w:t>
      </w:r>
    </w:p>
    <w:p w14:paraId="0156F1C8" w14:textId="77777777" w:rsidR="000C0FEC" w:rsidRPr="003F6B95" w:rsidRDefault="000C0FEC" w:rsidP="00987653">
      <w:pPr>
        <w:pStyle w:val="corte4fondo"/>
        <w:ind w:right="51" w:firstLine="0"/>
        <w:rPr>
          <w:rFonts w:cs="Arial"/>
          <w:sz w:val="26"/>
          <w:szCs w:val="26"/>
        </w:rPr>
      </w:pPr>
    </w:p>
    <w:p w14:paraId="5FBCD786" w14:textId="64076526" w:rsidR="00F817D7" w:rsidRPr="003F6B95" w:rsidRDefault="00F817D7" w:rsidP="00D728F1">
      <w:pPr>
        <w:pStyle w:val="corte4fondo"/>
        <w:numPr>
          <w:ilvl w:val="0"/>
          <w:numId w:val="2"/>
        </w:numPr>
        <w:ind w:left="0" w:right="51" w:hanging="567"/>
        <w:rPr>
          <w:rFonts w:cs="Arial"/>
          <w:sz w:val="26"/>
          <w:szCs w:val="26"/>
          <w:lang w:val="es-ES"/>
        </w:rPr>
      </w:pPr>
      <w:r w:rsidRPr="003F6B95">
        <w:rPr>
          <w:rFonts w:cs="Arial"/>
          <w:sz w:val="26"/>
          <w:szCs w:val="26"/>
        </w:rPr>
        <w:t>En primer lugar, est</w:t>
      </w:r>
      <w:r w:rsidR="00294054" w:rsidRPr="003F6B95">
        <w:rPr>
          <w:rFonts w:cs="Arial"/>
          <w:sz w:val="26"/>
          <w:szCs w:val="26"/>
        </w:rPr>
        <w:t xml:space="preserve">e Tribunal </w:t>
      </w:r>
      <w:r w:rsidRPr="003F6B95">
        <w:rPr>
          <w:rFonts w:cs="Arial"/>
          <w:sz w:val="26"/>
          <w:szCs w:val="26"/>
        </w:rPr>
        <w:t xml:space="preserve">da cuenta de </w:t>
      </w:r>
      <w:r w:rsidR="00AE1A23">
        <w:rPr>
          <w:rFonts w:cs="Arial"/>
          <w:sz w:val="26"/>
          <w:szCs w:val="26"/>
        </w:rPr>
        <w:t>que, en</w:t>
      </w:r>
      <w:r w:rsidRPr="003F6B95">
        <w:rPr>
          <w:rFonts w:cs="Arial"/>
          <w:sz w:val="26"/>
          <w:szCs w:val="26"/>
        </w:rPr>
        <w:t xml:space="preserve"> el desahogo de </w:t>
      </w:r>
      <w:r w:rsidR="00D728F1" w:rsidRPr="003F6B95">
        <w:rPr>
          <w:rFonts w:cs="Arial"/>
          <w:sz w:val="26"/>
          <w:szCs w:val="26"/>
        </w:rPr>
        <w:t xml:space="preserve">la </w:t>
      </w:r>
      <w:r w:rsidRPr="003F6B95">
        <w:rPr>
          <w:rFonts w:cs="Arial"/>
          <w:sz w:val="26"/>
          <w:szCs w:val="26"/>
        </w:rPr>
        <w:t>prueba</w:t>
      </w:r>
      <w:r w:rsidR="00AE1A23">
        <w:rPr>
          <w:rFonts w:cs="Arial"/>
          <w:sz w:val="26"/>
          <w:szCs w:val="26"/>
        </w:rPr>
        <w:t xml:space="preserve"> confesional a cargo</w:t>
      </w:r>
      <w:r w:rsidRPr="003F6B95">
        <w:rPr>
          <w:rFonts w:cs="Arial"/>
          <w:sz w:val="26"/>
          <w:szCs w:val="26"/>
        </w:rPr>
        <w:t xml:space="preserve"> </w:t>
      </w:r>
      <w:r w:rsidR="00AE1A23">
        <w:rPr>
          <w:rFonts w:cs="Arial"/>
          <w:sz w:val="26"/>
          <w:szCs w:val="26"/>
        </w:rPr>
        <w:t>d</w:t>
      </w:r>
      <w:r w:rsidRPr="003F6B95">
        <w:rPr>
          <w:rFonts w:cs="Arial"/>
          <w:sz w:val="26"/>
          <w:szCs w:val="26"/>
        </w:rPr>
        <w:t xml:space="preserve">el representante </w:t>
      </w:r>
      <w:r w:rsidR="00545244" w:rsidRPr="003F6B95">
        <w:rPr>
          <w:rFonts w:cs="Arial"/>
          <w:sz w:val="26"/>
          <w:szCs w:val="26"/>
        </w:rPr>
        <w:t xml:space="preserve">legal de </w:t>
      </w:r>
      <w:r w:rsidR="00545244" w:rsidRPr="00453D61">
        <w:rPr>
          <w:rFonts w:cs="Arial"/>
          <w:sz w:val="26"/>
          <w:szCs w:val="26"/>
        </w:rPr>
        <w:t>Reforma 22</w:t>
      </w:r>
      <w:r w:rsidR="00B91316">
        <w:rPr>
          <w:rFonts w:cs="Arial"/>
          <w:sz w:val="26"/>
          <w:szCs w:val="26"/>
        </w:rPr>
        <w:t>2</w:t>
      </w:r>
      <w:r w:rsidR="00AE1A23" w:rsidRPr="00453D61">
        <w:rPr>
          <w:rFonts w:cs="Arial"/>
          <w:sz w:val="26"/>
          <w:szCs w:val="26"/>
        </w:rPr>
        <w:t xml:space="preserve">, éste </w:t>
      </w:r>
      <w:r w:rsidRPr="00453D61">
        <w:rPr>
          <w:rFonts w:cs="Arial"/>
          <w:sz w:val="26"/>
          <w:szCs w:val="26"/>
        </w:rPr>
        <w:t xml:space="preserve">respondió </w:t>
      </w:r>
      <w:r w:rsidR="00981D73" w:rsidRPr="00453D61">
        <w:rPr>
          <w:rFonts w:cs="Arial"/>
          <w:sz w:val="26"/>
          <w:szCs w:val="26"/>
        </w:rPr>
        <w:t xml:space="preserve">que es cierto </w:t>
      </w:r>
      <w:r w:rsidRPr="00453D61">
        <w:rPr>
          <w:rFonts w:cs="Arial"/>
          <w:sz w:val="26"/>
          <w:szCs w:val="26"/>
        </w:rPr>
        <w:t xml:space="preserve">que </w:t>
      </w:r>
      <w:r w:rsidR="003F27C9" w:rsidRPr="00453D61">
        <w:rPr>
          <w:rFonts w:cs="Arial"/>
          <w:sz w:val="26"/>
          <w:szCs w:val="26"/>
        </w:rPr>
        <w:t xml:space="preserve">“su representada es una persona moral dedicada a la promoción, operación, administración y mantenimiento del centro comercial </w:t>
      </w:r>
      <w:r w:rsidR="00440672" w:rsidRPr="00453D61">
        <w:rPr>
          <w:rFonts w:cs="Arial"/>
          <w:sz w:val="26"/>
          <w:szCs w:val="26"/>
        </w:rPr>
        <w:t>‘</w:t>
      </w:r>
      <w:r w:rsidR="003F27C9" w:rsidRPr="00453D61">
        <w:rPr>
          <w:rFonts w:cs="Arial"/>
          <w:sz w:val="26"/>
          <w:szCs w:val="26"/>
        </w:rPr>
        <w:t>Reforma 222</w:t>
      </w:r>
      <w:r w:rsidR="00440672" w:rsidRPr="00453D61">
        <w:rPr>
          <w:rFonts w:cs="Arial"/>
          <w:sz w:val="26"/>
          <w:szCs w:val="26"/>
        </w:rPr>
        <w:t>’</w:t>
      </w:r>
      <w:r w:rsidR="003F27C9" w:rsidRPr="00453D61">
        <w:rPr>
          <w:rFonts w:cs="Arial"/>
          <w:sz w:val="26"/>
          <w:szCs w:val="26"/>
        </w:rPr>
        <w:t>, ubicado en Paseo de la Reforma #222, Esquina con Havre, Colonia Juárez, Delegación Cuauhtémoc, Ciudad de México”</w:t>
      </w:r>
      <w:r w:rsidR="003F27C9" w:rsidRPr="00453D61">
        <w:rPr>
          <w:rStyle w:val="Refdenotaalpie"/>
          <w:rFonts w:cs="Arial"/>
          <w:sz w:val="26"/>
          <w:szCs w:val="26"/>
        </w:rPr>
        <w:footnoteReference w:id="56"/>
      </w:r>
      <w:r w:rsidR="003F27C9" w:rsidRPr="00453D61">
        <w:rPr>
          <w:rFonts w:cs="Arial"/>
          <w:sz w:val="26"/>
          <w:szCs w:val="26"/>
        </w:rPr>
        <w:t>.</w:t>
      </w:r>
      <w:r w:rsidR="00D728F1" w:rsidRPr="00453D61">
        <w:rPr>
          <w:rFonts w:cs="Arial"/>
          <w:sz w:val="26"/>
          <w:szCs w:val="26"/>
        </w:rPr>
        <w:t xml:space="preserve"> </w:t>
      </w:r>
      <w:r w:rsidR="00972C2E" w:rsidRPr="00453D61">
        <w:rPr>
          <w:rFonts w:cs="Arial"/>
          <w:sz w:val="26"/>
          <w:szCs w:val="26"/>
        </w:rPr>
        <w:t xml:space="preserve">Por su parte, el representante legal de Protección Privada 2010 </w:t>
      </w:r>
      <w:r w:rsidR="00545244" w:rsidRPr="00453D61">
        <w:rPr>
          <w:rFonts w:cs="Arial"/>
          <w:sz w:val="26"/>
          <w:szCs w:val="26"/>
        </w:rPr>
        <w:t xml:space="preserve">respondió </w:t>
      </w:r>
      <w:r w:rsidR="00C2054C">
        <w:rPr>
          <w:rFonts w:cs="Arial"/>
          <w:sz w:val="26"/>
          <w:szCs w:val="26"/>
        </w:rPr>
        <w:t xml:space="preserve">en la prueba confesional </w:t>
      </w:r>
      <w:r w:rsidR="00545244" w:rsidRPr="003F6B95">
        <w:rPr>
          <w:rFonts w:cs="Arial"/>
          <w:sz w:val="26"/>
          <w:szCs w:val="26"/>
        </w:rPr>
        <w:t xml:space="preserve">que es cierto que </w:t>
      </w:r>
      <w:r w:rsidRPr="003F6B95">
        <w:rPr>
          <w:rFonts w:cs="Arial"/>
          <w:sz w:val="26"/>
          <w:szCs w:val="26"/>
        </w:rPr>
        <w:t xml:space="preserve">“su representada es una persona moral especializada en el diseño y la implementación de sistemas de seguridad pública y privada”, y que “su representada presta servicios de seguridad en el centro comercial </w:t>
      </w:r>
      <w:r w:rsidR="00440672" w:rsidRPr="00453D61">
        <w:rPr>
          <w:rFonts w:cs="Arial"/>
          <w:sz w:val="26"/>
          <w:szCs w:val="26"/>
        </w:rPr>
        <w:t>‘</w:t>
      </w:r>
      <w:r w:rsidRPr="00453D61">
        <w:rPr>
          <w:rFonts w:cs="Arial"/>
          <w:sz w:val="26"/>
          <w:szCs w:val="26"/>
        </w:rPr>
        <w:t>Reforma 222</w:t>
      </w:r>
      <w:r w:rsidR="00440672" w:rsidRPr="00453D61">
        <w:rPr>
          <w:rFonts w:cs="Arial"/>
          <w:sz w:val="26"/>
          <w:szCs w:val="26"/>
        </w:rPr>
        <w:t>’</w:t>
      </w:r>
      <w:r w:rsidRPr="00453D61">
        <w:rPr>
          <w:rFonts w:cs="Arial"/>
          <w:sz w:val="26"/>
          <w:szCs w:val="26"/>
        </w:rPr>
        <w:t>, ubicado en Paseo de la Reforma #222, Esquina con Havre, Colonia Juárez, Delegación Cuauhtémoc</w:t>
      </w:r>
      <w:r w:rsidRPr="003F6B95">
        <w:rPr>
          <w:rFonts w:cs="Arial"/>
          <w:sz w:val="26"/>
          <w:szCs w:val="26"/>
        </w:rPr>
        <w:t>, Ciudad de México</w:t>
      </w:r>
      <w:r w:rsidR="006C56AD" w:rsidRPr="003F6B95">
        <w:rPr>
          <w:rFonts w:cs="Arial"/>
          <w:sz w:val="26"/>
          <w:szCs w:val="26"/>
        </w:rPr>
        <w:t>”</w:t>
      </w:r>
      <w:r w:rsidRPr="003F6B95">
        <w:rPr>
          <w:rStyle w:val="Refdenotaalpie"/>
          <w:rFonts w:cs="Arial"/>
          <w:sz w:val="26"/>
          <w:szCs w:val="26"/>
        </w:rPr>
        <w:footnoteReference w:id="57"/>
      </w:r>
      <w:r w:rsidRPr="003F6B95">
        <w:rPr>
          <w:rFonts w:cs="Arial"/>
          <w:sz w:val="26"/>
          <w:szCs w:val="26"/>
        </w:rPr>
        <w:t>.</w:t>
      </w:r>
    </w:p>
    <w:p w14:paraId="19855925" w14:textId="77777777" w:rsidR="00F817D7" w:rsidRPr="003F6B95" w:rsidRDefault="00F817D7" w:rsidP="00987653">
      <w:pPr>
        <w:pStyle w:val="corte4fondo"/>
        <w:ind w:right="51" w:firstLine="0"/>
        <w:rPr>
          <w:rFonts w:cs="Arial"/>
          <w:sz w:val="26"/>
          <w:szCs w:val="26"/>
        </w:rPr>
      </w:pPr>
    </w:p>
    <w:p w14:paraId="64B84A8B" w14:textId="2234BB05" w:rsidR="00F02654" w:rsidRPr="003F6B95" w:rsidRDefault="00F02654" w:rsidP="00D64DB8">
      <w:pPr>
        <w:pStyle w:val="corte4fondo"/>
        <w:numPr>
          <w:ilvl w:val="0"/>
          <w:numId w:val="2"/>
        </w:numPr>
        <w:ind w:left="0" w:right="51" w:hanging="567"/>
        <w:rPr>
          <w:rFonts w:cs="Arial"/>
          <w:sz w:val="26"/>
          <w:szCs w:val="26"/>
        </w:rPr>
      </w:pPr>
      <w:r w:rsidRPr="003F6B95">
        <w:rPr>
          <w:rFonts w:cs="Arial"/>
          <w:sz w:val="26"/>
          <w:szCs w:val="26"/>
        </w:rPr>
        <w:t>Respecto de</w:t>
      </w:r>
      <w:r w:rsidR="00B1530C" w:rsidRPr="003F6B95">
        <w:rPr>
          <w:rFonts w:cs="Arial"/>
          <w:sz w:val="26"/>
          <w:szCs w:val="26"/>
        </w:rPr>
        <w:t xml:space="preserve"> las copias certificadas del</w:t>
      </w:r>
      <w:r w:rsidRPr="003F6B95">
        <w:rPr>
          <w:rFonts w:cs="Arial"/>
          <w:sz w:val="26"/>
          <w:szCs w:val="26"/>
        </w:rPr>
        <w:t xml:space="preserve"> expediente </w:t>
      </w:r>
      <w:r w:rsidR="005D2876" w:rsidRPr="003F6B95">
        <w:rPr>
          <w:rFonts w:cs="Arial"/>
          <w:sz w:val="26"/>
          <w:szCs w:val="26"/>
        </w:rPr>
        <w:t>derivado de la queja presentada por las hoy quejo</w:t>
      </w:r>
      <w:r w:rsidR="005D2876" w:rsidRPr="00587F54">
        <w:rPr>
          <w:rFonts w:cs="Arial"/>
          <w:sz w:val="26"/>
          <w:szCs w:val="26"/>
        </w:rPr>
        <w:t xml:space="preserve">sas ante el </w:t>
      </w:r>
      <w:r w:rsidRPr="00587F54">
        <w:rPr>
          <w:rFonts w:cs="Arial"/>
          <w:sz w:val="26"/>
          <w:szCs w:val="26"/>
        </w:rPr>
        <w:t xml:space="preserve">COPRED, esta Primera Sala </w:t>
      </w:r>
      <w:r w:rsidR="00511E66" w:rsidRPr="00587F54">
        <w:rPr>
          <w:rFonts w:cs="Arial"/>
          <w:sz w:val="26"/>
          <w:szCs w:val="26"/>
        </w:rPr>
        <w:t>recuenta</w:t>
      </w:r>
      <w:r w:rsidR="00A15914" w:rsidRPr="00587F54">
        <w:rPr>
          <w:rFonts w:cs="Arial"/>
          <w:sz w:val="26"/>
          <w:szCs w:val="26"/>
        </w:rPr>
        <w:t xml:space="preserve"> que, </w:t>
      </w:r>
      <w:r w:rsidR="0070714A" w:rsidRPr="00587F54">
        <w:rPr>
          <w:rFonts w:cs="Arial"/>
          <w:sz w:val="26"/>
          <w:szCs w:val="26"/>
        </w:rPr>
        <w:t xml:space="preserve">como </w:t>
      </w:r>
      <w:r w:rsidR="00511E66" w:rsidRPr="00587F54">
        <w:rPr>
          <w:rFonts w:cs="Arial"/>
          <w:sz w:val="26"/>
          <w:szCs w:val="26"/>
        </w:rPr>
        <w:t>identificó</w:t>
      </w:r>
      <w:r w:rsidR="0070714A" w:rsidRPr="00587F54">
        <w:rPr>
          <w:rFonts w:cs="Arial"/>
          <w:sz w:val="26"/>
          <w:szCs w:val="26"/>
        </w:rPr>
        <w:t xml:space="preserve"> la sala responsable</w:t>
      </w:r>
      <w:r w:rsidR="00511E66" w:rsidRPr="00587F54">
        <w:rPr>
          <w:rFonts w:cs="Arial"/>
          <w:sz w:val="26"/>
          <w:szCs w:val="26"/>
        </w:rPr>
        <w:t xml:space="preserve"> en su resolución</w:t>
      </w:r>
      <w:r w:rsidR="00884022" w:rsidRPr="00587F54">
        <w:rPr>
          <w:rStyle w:val="Refdenotaalpie"/>
          <w:rFonts w:cs="Arial"/>
          <w:sz w:val="26"/>
          <w:szCs w:val="26"/>
        </w:rPr>
        <w:footnoteReference w:id="58"/>
      </w:r>
      <w:r w:rsidR="0070714A" w:rsidRPr="00587F54">
        <w:rPr>
          <w:rFonts w:cs="Arial"/>
          <w:sz w:val="26"/>
          <w:szCs w:val="26"/>
        </w:rPr>
        <w:t xml:space="preserve">, </w:t>
      </w:r>
      <w:r w:rsidR="00A15914" w:rsidRPr="00587F54">
        <w:rPr>
          <w:rFonts w:cs="Arial"/>
          <w:sz w:val="26"/>
          <w:szCs w:val="26"/>
        </w:rPr>
        <w:t>p</w:t>
      </w:r>
      <w:r w:rsidR="00715C1D" w:rsidRPr="00587F54">
        <w:rPr>
          <w:rFonts w:cs="Arial"/>
          <w:sz w:val="26"/>
          <w:szCs w:val="26"/>
        </w:rPr>
        <w:t>or escrito de 13 de enero de 2016</w:t>
      </w:r>
      <w:r w:rsidR="007A28E0" w:rsidRPr="00587F54">
        <w:rPr>
          <w:rFonts w:cs="Arial"/>
          <w:sz w:val="26"/>
          <w:szCs w:val="26"/>
        </w:rPr>
        <w:t xml:space="preserve"> presentado ante el COPRED</w:t>
      </w:r>
      <w:r w:rsidR="00715C1D" w:rsidRPr="00587F54">
        <w:rPr>
          <w:rFonts w:cs="Arial"/>
          <w:sz w:val="26"/>
          <w:szCs w:val="26"/>
        </w:rPr>
        <w:t>,</w:t>
      </w:r>
      <w:r w:rsidR="0016672F" w:rsidRPr="00587F54">
        <w:rPr>
          <w:rFonts w:cs="Arial"/>
          <w:sz w:val="26"/>
          <w:szCs w:val="26"/>
        </w:rPr>
        <w:t xml:space="preserve"> el administrador de</w:t>
      </w:r>
      <w:r w:rsidR="00D61982" w:rsidRPr="00587F54">
        <w:rPr>
          <w:rFonts w:cs="Arial"/>
          <w:sz w:val="26"/>
          <w:szCs w:val="26"/>
        </w:rPr>
        <w:t xml:space="preserve">l centro </w:t>
      </w:r>
      <w:r w:rsidR="00D61982" w:rsidRPr="00453D61">
        <w:rPr>
          <w:rFonts w:cs="Arial"/>
          <w:sz w:val="26"/>
          <w:szCs w:val="26"/>
        </w:rPr>
        <w:t>comercial “Reforma 222”</w:t>
      </w:r>
      <w:r w:rsidR="007921FB" w:rsidRPr="00453D61">
        <w:rPr>
          <w:rFonts w:cs="Arial"/>
          <w:sz w:val="26"/>
          <w:szCs w:val="26"/>
        </w:rPr>
        <w:t>, Rafael Aguilar Mejía</w:t>
      </w:r>
      <w:r w:rsidR="007921FB" w:rsidRPr="003F6B95">
        <w:rPr>
          <w:rFonts w:cs="Arial"/>
          <w:sz w:val="26"/>
          <w:szCs w:val="26"/>
        </w:rPr>
        <w:t xml:space="preserve">, </w:t>
      </w:r>
      <w:r w:rsidR="00D87865" w:rsidRPr="003F6B95">
        <w:rPr>
          <w:rFonts w:cs="Arial"/>
          <w:sz w:val="26"/>
          <w:szCs w:val="26"/>
        </w:rPr>
        <w:t xml:space="preserve">dio a conocer que las personas de seguridad que laboraron el </w:t>
      </w:r>
      <w:r w:rsidR="002E7C40" w:rsidRPr="003F6B95">
        <w:rPr>
          <w:rFonts w:cs="Arial"/>
          <w:sz w:val="26"/>
          <w:szCs w:val="26"/>
        </w:rPr>
        <w:t xml:space="preserve">25 de noviembre de 2015 en el centro comercial </w:t>
      </w:r>
      <w:r w:rsidR="002E7C40" w:rsidRPr="00453D61">
        <w:rPr>
          <w:rFonts w:cs="Arial"/>
          <w:sz w:val="26"/>
          <w:szCs w:val="26"/>
        </w:rPr>
        <w:t>pertenecían a la empresa Protección Privada 201</w:t>
      </w:r>
      <w:r w:rsidR="006C56AD" w:rsidRPr="00453D61">
        <w:rPr>
          <w:rFonts w:cs="Arial"/>
          <w:sz w:val="26"/>
          <w:szCs w:val="26"/>
        </w:rPr>
        <w:t>0</w:t>
      </w:r>
      <w:r w:rsidR="002E7C40" w:rsidRPr="00453D61">
        <w:rPr>
          <w:rFonts w:cs="Arial"/>
          <w:sz w:val="26"/>
          <w:szCs w:val="26"/>
        </w:rPr>
        <w:t xml:space="preserve">. </w:t>
      </w:r>
      <w:r w:rsidR="00637439" w:rsidRPr="00453D61">
        <w:rPr>
          <w:rFonts w:cs="Arial"/>
          <w:sz w:val="26"/>
          <w:szCs w:val="26"/>
        </w:rPr>
        <w:t>E</w:t>
      </w:r>
      <w:r w:rsidR="002E7C40" w:rsidRPr="00453D61">
        <w:rPr>
          <w:rFonts w:cs="Arial"/>
          <w:sz w:val="26"/>
          <w:szCs w:val="26"/>
        </w:rPr>
        <w:t xml:space="preserve">l administrador </w:t>
      </w:r>
      <w:r w:rsidR="00D82928" w:rsidRPr="00453D61">
        <w:rPr>
          <w:rFonts w:cs="Arial"/>
          <w:sz w:val="26"/>
          <w:szCs w:val="26"/>
        </w:rPr>
        <w:t xml:space="preserve">del centro comercial </w:t>
      </w:r>
      <w:r w:rsidR="00637439" w:rsidRPr="00453D61">
        <w:rPr>
          <w:rFonts w:cs="Arial"/>
          <w:sz w:val="26"/>
          <w:szCs w:val="26"/>
        </w:rPr>
        <w:t xml:space="preserve">también </w:t>
      </w:r>
      <w:r w:rsidR="002E7C40" w:rsidRPr="003F6B95">
        <w:rPr>
          <w:rFonts w:cs="Arial"/>
          <w:sz w:val="26"/>
          <w:szCs w:val="26"/>
        </w:rPr>
        <w:t xml:space="preserve">relató que el </w:t>
      </w:r>
      <w:r w:rsidR="00B33B10" w:rsidRPr="003F6B95">
        <w:rPr>
          <w:rFonts w:cs="Arial"/>
          <w:sz w:val="26"/>
          <w:szCs w:val="26"/>
        </w:rPr>
        <w:t>“</w:t>
      </w:r>
      <w:r w:rsidR="00FA52EE" w:rsidRPr="003F6B95">
        <w:rPr>
          <w:rFonts w:cs="Arial"/>
          <w:sz w:val="26"/>
          <w:szCs w:val="26"/>
        </w:rPr>
        <w:t>o</w:t>
      </w:r>
      <w:r w:rsidR="002E7C40" w:rsidRPr="003F6B95">
        <w:rPr>
          <w:rFonts w:cs="Arial"/>
          <w:sz w:val="26"/>
          <w:szCs w:val="26"/>
        </w:rPr>
        <w:t xml:space="preserve">ficial de </w:t>
      </w:r>
      <w:r w:rsidR="00FA52EE" w:rsidRPr="003F6B95">
        <w:rPr>
          <w:rFonts w:cs="Arial"/>
          <w:sz w:val="26"/>
          <w:szCs w:val="26"/>
        </w:rPr>
        <w:t>r</w:t>
      </w:r>
      <w:r w:rsidR="002E7C40" w:rsidRPr="003F6B95">
        <w:rPr>
          <w:rFonts w:cs="Arial"/>
          <w:sz w:val="26"/>
          <w:szCs w:val="26"/>
        </w:rPr>
        <w:t>eacción</w:t>
      </w:r>
      <w:r w:rsidR="00B33B10" w:rsidRPr="003F6B95">
        <w:rPr>
          <w:rFonts w:cs="Arial"/>
          <w:sz w:val="26"/>
          <w:szCs w:val="26"/>
        </w:rPr>
        <w:t>”</w:t>
      </w:r>
      <w:r w:rsidR="002E7C40" w:rsidRPr="003F6B95">
        <w:rPr>
          <w:rFonts w:cs="Arial"/>
          <w:sz w:val="26"/>
          <w:szCs w:val="26"/>
        </w:rPr>
        <w:t xml:space="preserve"> y el </w:t>
      </w:r>
      <w:r w:rsidR="00B33B10" w:rsidRPr="003F6B95">
        <w:rPr>
          <w:rFonts w:cs="Arial"/>
          <w:sz w:val="26"/>
          <w:szCs w:val="26"/>
        </w:rPr>
        <w:t>“</w:t>
      </w:r>
      <w:r w:rsidR="00FA52EE" w:rsidRPr="003F6B95">
        <w:rPr>
          <w:rFonts w:cs="Arial"/>
          <w:sz w:val="26"/>
          <w:szCs w:val="26"/>
        </w:rPr>
        <w:t>j</w:t>
      </w:r>
      <w:r w:rsidR="002E7C40" w:rsidRPr="003F6B95">
        <w:rPr>
          <w:rFonts w:cs="Arial"/>
          <w:sz w:val="26"/>
          <w:szCs w:val="26"/>
        </w:rPr>
        <w:t xml:space="preserve">efe de </w:t>
      </w:r>
      <w:r w:rsidR="00FA52EE" w:rsidRPr="003F6B95">
        <w:rPr>
          <w:rFonts w:cs="Arial"/>
          <w:sz w:val="26"/>
          <w:szCs w:val="26"/>
        </w:rPr>
        <w:t>g</w:t>
      </w:r>
      <w:r w:rsidR="002E7C40" w:rsidRPr="003F6B95">
        <w:rPr>
          <w:rFonts w:cs="Arial"/>
          <w:sz w:val="26"/>
          <w:szCs w:val="26"/>
        </w:rPr>
        <w:t>rupo</w:t>
      </w:r>
      <w:r w:rsidR="00B33B10" w:rsidRPr="003F6B95">
        <w:rPr>
          <w:rFonts w:cs="Arial"/>
          <w:sz w:val="26"/>
          <w:szCs w:val="26"/>
        </w:rPr>
        <w:t>”</w:t>
      </w:r>
      <w:r w:rsidR="002E7C40" w:rsidRPr="003F6B95">
        <w:rPr>
          <w:rFonts w:cs="Arial"/>
          <w:sz w:val="26"/>
          <w:szCs w:val="26"/>
        </w:rPr>
        <w:t xml:space="preserve"> </w:t>
      </w:r>
      <w:r w:rsidR="006716D3" w:rsidRPr="003F6B95">
        <w:rPr>
          <w:rFonts w:cs="Arial"/>
          <w:sz w:val="26"/>
          <w:szCs w:val="26"/>
        </w:rPr>
        <w:t>(</w:t>
      </w:r>
      <w:r w:rsidR="00B33B10" w:rsidRPr="003F6B95">
        <w:rPr>
          <w:rFonts w:cs="Arial"/>
          <w:sz w:val="26"/>
          <w:szCs w:val="26"/>
        </w:rPr>
        <w:t xml:space="preserve">como parte del </w:t>
      </w:r>
      <w:r w:rsidR="006716D3" w:rsidRPr="003F6B95">
        <w:rPr>
          <w:rFonts w:cs="Arial"/>
          <w:sz w:val="26"/>
          <w:szCs w:val="26"/>
        </w:rPr>
        <w:t xml:space="preserve">personal de seguridad </w:t>
      </w:r>
      <w:r w:rsidR="002E7C40" w:rsidRPr="003F6B95">
        <w:rPr>
          <w:rFonts w:cs="Arial"/>
          <w:sz w:val="26"/>
          <w:szCs w:val="26"/>
        </w:rPr>
        <w:t xml:space="preserve">de </w:t>
      </w:r>
      <w:r w:rsidR="00D82928" w:rsidRPr="003F6B95">
        <w:rPr>
          <w:rFonts w:cs="Arial"/>
          <w:sz w:val="26"/>
          <w:szCs w:val="26"/>
        </w:rPr>
        <w:t>la</w:t>
      </w:r>
      <w:r w:rsidR="006716D3" w:rsidRPr="003F6B95">
        <w:rPr>
          <w:rFonts w:cs="Arial"/>
          <w:sz w:val="26"/>
          <w:szCs w:val="26"/>
        </w:rPr>
        <w:t xml:space="preserve"> </w:t>
      </w:r>
      <w:r w:rsidR="006716D3" w:rsidRPr="003F6B95">
        <w:rPr>
          <w:rFonts w:cs="Arial"/>
          <w:sz w:val="26"/>
          <w:szCs w:val="26"/>
        </w:rPr>
        <w:lastRenderedPageBreak/>
        <w:t xml:space="preserve">empresa) </w:t>
      </w:r>
      <w:r w:rsidR="00332CE1" w:rsidRPr="003F6B95">
        <w:rPr>
          <w:rFonts w:cs="Arial"/>
          <w:sz w:val="26"/>
          <w:szCs w:val="26"/>
        </w:rPr>
        <w:t>fueron</w:t>
      </w:r>
      <w:r w:rsidR="006716D3" w:rsidRPr="003F6B95">
        <w:rPr>
          <w:rFonts w:cs="Arial"/>
          <w:sz w:val="26"/>
          <w:szCs w:val="26"/>
        </w:rPr>
        <w:t xml:space="preserve"> las personas que </w:t>
      </w:r>
      <w:r w:rsidR="00332CE1" w:rsidRPr="003F6B95">
        <w:rPr>
          <w:rFonts w:cs="Arial"/>
          <w:sz w:val="26"/>
          <w:szCs w:val="26"/>
        </w:rPr>
        <w:t>“</w:t>
      </w:r>
      <w:r w:rsidR="006716D3" w:rsidRPr="003F6B95">
        <w:rPr>
          <w:rFonts w:cs="Arial"/>
          <w:sz w:val="26"/>
          <w:szCs w:val="26"/>
        </w:rPr>
        <w:t>atendieron dicho evento</w:t>
      </w:r>
      <w:r w:rsidR="00332CE1" w:rsidRPr="003F6B95">
        <w:rPr>
          <w:rFonts w:cs="Arial"/>
          <w:sz w:val="26"/>
          <w:szCs w:val="26"/>
        </w:rPr>
        <w:t>”</w:t>
      </w:r>
      <w:r w:rsidR="006716D3" w:rsidRPr="003F6B95">
        <w:rPr>
          <w:rFonts w:cs="Arial"/>
          <w:sz w:val="26"/>
          <w:szCs w:val="26"/>
        </w:rPr>
        <w:t xml:space="preserve">, el cual </w:t>
      </w:r>
      <w:r w:rsidR="00332CE1" w:rsidRPr="003F6B95">
        <w:rPr>
          <w:rFonts w:cs="Arial"/>
          <w:sz w:val="26"/>
          <w:szCs w:val="26"/>
        </w:rPr>
        <w:t>detall</w:t>
      </w:r>
      <w:r w:rsidR="00327B72" w:rsidRPr="003F6B95">
        <w:rPr>
          <w:rFonts w:cs="Arial"/>
          <w:sz w:val="26"/>
          <w:szCs w:val="26"/>
        </w:rPr>
        <w:t>aron</w:t>
      </w:r>
      <w:r w:rsidR="00332CE1" w:rsidRPr="003F6B95">
        <w:rPr>
          <w:rFonts w:cs="Arial"/>
          <w:sz w:val="26"/>
          <w:szCs w:val="26"/>
        </w:rPr>
        <w:t xml:space="preserve"> de la siguiente forma</w:t>
      </w:r>
      <w:r w:rsidR="007F34B7" w:rsidRPr="003F6B95">
        <w:rPr>
          <w:rStyle w:val="Refdenotaalpie"/>
          <w:rFonts w:cs="Arial"/>
          <w:sz w:val="26"/>
          <w:szCs w:val="26"/>
        </w:rPr>
        <w:footnoteReference w:id="59"/>
      </w:r>
      <w:r w:rsidR="00332CE1" w:rsidRPr="003F6B95">
        <w:rPr>
          <w:rFonts w:cs="Arial"/>
          <w:sz w:val="26"/>
          <w:szCs w:val="26"/>
        </w:rPr>
        <w:t xml:space="preserve">: </w:t>
      </w:r>
    </w:p>
    <w:p w14:paraId="4FE84135" w14:textId="77777777" w:rsidR="009E7AE0" w:rsidRPr="003F6B95" w:rsidRDefault="009E7AE0" w:rsidP="00D64DB8">
      <w:pPr>
        <w:pStyle w:val="corte4fondo"/>
        <w:spacing w:line="276" w:lineRule="auto"/>
        <w:ind w:right="616" w:firstLine="0"/>
        <w:rPr>
          <w:rFonts w:cs="Arial"/>
          <w:sz w:val="26"/>
          <w:szCs w:val="26"/>
        </w:rPr>
      </w:pPr>
    </w:p>
    <w:p w14:paraId="37FD30F3" w14:textId="55CBC66E" w:rsidR="00DB3C43" w:rsidRPr="003F6B95" w:rsidRDefault="00332CE1" w:rsidP="00A7085D">
      <w:pPr>
        <w:pStyle w:val="corte4fondo"/>
        <w:ind w:left="284" w:right="333" w:firstLine="0"/>
        <w:rPr>
          <w:rFonts w:cs="Arial"/>
          <w:sz w:val="24"/>
          <w:szCs w:val="24"/>
          <w:lang w:val="es-MX"/>
        </w:rPr>
      </w:pPr>
      <w:r w:rsidRPr="003F6B95">
        <w:rPr>
          <w:rFonts w:cs="Arial"/>
          <w:sz w:val="24"/>
          <w:szCs w:val="24"/>
        </w:rPr>
        <w:t xml:space="preserve">Siendo las 14:52 hrs del día 25 de noviembre del 2015, personal de seguridad es abordado por un visitante, quien le informa que ingresaron 2 hombres al baño de damas, </w:t>
      </w:r>
      <w:r w:rsidR="009E7AE0" w:rsidRPr="003F6B95">
        <w:rPr>
          <w:rFonts w:cs="Arial"/>
          <w:sz w:val="24"/>
          <w:szCs w:val="24"/>
          <w:lang w:val="es-MX"/>
        </w:rPr>
        <w:t xml:space="preserve">motivo por el cual </w:t>
      </w:r>
      <w:r w:rsidR="009E7AE0" w:rsidRPr="003F6B95">
        <w:rPr>
          <w:rFonts w:cs="Arial"/>
          <w:sz w:val="24"/>
          <w:szCs w:val="24"/>
          <w:u w:val="single"/>
          <w:lang w:val="es-MX"/>
        </w:rPr>
        <w:t>el elemento de seguridad se traslada hasta el acceso del baño</w:t>
      </w:r>
      <w:r w:rsidR="006701DE" w:rsidRPr="003F6B95">
        <w:rPr>
          <w:rFonts w:cs="Arial"/>
          <w:sz w:val="24"/>
          <w:szCs w:val="24"/>
          <w:lang w:val="es-MX"/>
        </w:rPr>
        <w:t>,</w:t>
      </w:r>
      <w:r w:rsidR="009E7AE0" w:rsidRPr="003F6B95">
        <w:rPr>
          <w:rFonts w:cs="Arial"/>
          <w:sz w:val="24"/>
          <w:szCs w:val="24"/>
          <w:lang w:val="es-MX"/>
        </w:rPr>
        <w:t xml:space="preserve"> en donde al llegar a la puerta del mismo hace el llamado a los visitante </w:t>
      </w:r>
      <w:r w:rsidR="006701DE" w:rsidRPr="003F6B95">
        <w:rPr>
          <w:rFonts w:cs="Arial"/>
          <w:sz w:val="24"/>
          <w:szCs w:val="24"/>
          <w:lang w:val="es-MX"/>
        </w:rPr>
        <w:t xml:space="preserve">(sic) </w:t>
      </w:r>
      <w:r w:rsidR="009E7AE0" w:rsidRPr="003F6B95">
        <w:rPr>
          <w:rFonts w:cs="Arial"/>
          <w:sz w:val="24"/>
          <w:szCs w:val="24"/>
          <w:lang w:val="es-MX"/>
        </w:rPr>
        <w:t xml:space="preserve">para verificar lo mencionado, </w:t>
      </w:r>
      <w:r w:rsidR="009E7AE0" w:rsidRPr="003F6B95">
        <w:rPr>
          <w:rFonts w:cs="Arial"/>
          <w:sz w:val="24"/>
          <w:szCs w:val="24"/>
          <w:u w:val="single"/>
          <w:lang w:val="es-MX"/>
        </w:rPr>
        <w:t>entrevistándose con dos personas a quienes se les piden se identifiquen</w:t>
      </w:r>
      <w:r w:rsidR="009E7AE0" w:rsidRPr="003F6B95">
        <w:rPr>
          <w:rFonts w:cs="Arial"/>
          <w:sz w:val="24"/>
          <w:szCs w:val="24"/>
          <w:lang w:val="es-MX"/>
        </w:rPr>
        <w:t xml:space="preserve"> (protocolo establecido para entrevistarse con visitantes y locatarios del centro comercial) y al ver la molestia de las dos personas solicita el apoyo de su supervisor para dar normativas, durante la espera los visitantes ingresan al baño para realizar sus necesidades, al llegar el supervisor se entrevista con ambas personas quienes todavía manifiestan su molestia, por lo que </w:t>
      </w:r>
      <w:r w:rsidR="009E7AE0" w:rsidRPr="003F6B95">
        <w:rPr>
          <w:rFonts w:cs="Arial"/>
          <w:sz w:val="24"/>
          <w:szCs w:val="24"/>
          <w:u w:val="single"/>
          <w:lang w:val="es-MX"/>
        </w:rPr>
        <w:t>se les informa que pueden levantar una queja en el área de Atención al Cliente del Centro Comercial en Planta Baja, en donde efectivamente minutos después realizan la misma</w:t>
      </w:r>
      <w:r w:rsidR="009E7AE0" w:rsidRPr="003F6B95">
        <w:rPr>
          <w:rFonts w:cs="Arial"/>
          <w:sz w:val="24"/>
          <w:szCs w:val="24"/>
          <w:lang w:val="es-MX"/>
        </w:rPr>
        <w:t>.</w:t>
      </w:r>
    </w:p>
    <w:p w14:paraId="6324AC56" w14:textId="288F2BF6" w:rsidR="00DB3C43" w:rsidRPr="003F6B95" w:rsidRDefault="00DB3C43" w:rsidP="00A7085D">
      <w:pPr>
        <w:pStyle w:val="corte4fondo"/>
        <w:ind w:left="284" w:right="333" w:firstLine="0"/>
        <w:jc w:val="right"/>
        <w:rPr>
          <w:rFonts w:cs="Arial"/>
          <w:sz w:val="24"/>
          <w:szCs w:val="24"/>
          <w:lang w:val="es-MX"/>
        </w:rPr>
      </w:pPr>
      <w:r w:rsidRPr="003F6B95">
        <w:rPr>
          <w:rFonts w:cs="Arial"/>
          <w:sz w:val="24"/>
          <w:szCs w:val="24"/>
          <w:lang w:val="es-MX"/>
        </w:rPr>
        <w:t>(Énfasis añadido)</w:t>
      </w:r>
    </w:p>
    <w:p w14:paraId="2C5291EB" w14:textId="77777777" w:rsidR="00A522AB" w:rsidRPr="003F6B95" w:rsidRDefault="00A522AB" w:rsidP="00CD2CDC">
      <w:pPr>
        <w:pStyle w:val="corte4fondo"/>
        <w:ind w:right="51" w:firstLine="0"/>
        <w:rPr>
          <w:rFonts w:cs="Arial"/>
          <w:sz w:val="26"/>
          <w:szCs w:val="26"/>
        </w:rPr>
      </w:pPr>
    </w:p>
    <w:p w14:paraId="16F23785" w14:textId="07CDB8D4" w:rsidR="00CE29A6" w:rsidRPr="00CE29A6" w:rsidRDefault="001B27F5" w:rsidP="00CE29A6">
      <w:pPr>
        <w:pStyle w:val="corte4fondo"/>
        <w:numPr>
          <w:ilvl w:val="0"/>
          <w:numId w:val="2"/>
        </w:numPr>
        <w:ind w:left="0" w:right="51" w:hanging="567"/>
        <w:rPr>
          <w:rFonts w:cs="Arial"/>
          <w:sz w:val="26"/>
          <w:szCs w:val="26"/>
        </w:rPr>
      </w:pPr>
      <w:r w:rsidRPr="003F6B95">
        <w:rPr>
          <w:rFonts w:cs="Arial"/>
          <w:sz w:val="26"/>
          <w:szCs w:val="26"/>
        </w:rPr>
        <w:t xml:space="preserve">Por </w:t>
      </w:r>
      <w:r w:rsidRPr="00587F54">
        <w:rPr>
          <w:rFonts w:cs="Arial"/>
          <w:sz w:val="26"/>
          <w:szCs w:val="26"/>
        </w:rPr>
        <w:t>otra parte</w:t>
      </w:r>
      <w:r w:rsidR="00DB381D" w:rsidRPr="00587F54">
        <w:rPr>
          <w:rFonts w:cs="Arial"/>
          <w:sz w:val="26"/>
          <w:szCs w:val="26"/>
        </w:rPr>
        <w:t xml:space="preserve">, </w:t>
      </w:r>
      <w:r w:rsidR="00042710" w:rsidRPr="00587F54">
        <w:rPr>
          <w:rFonts w:cs="Arial"/>
          <w:sz w:val="26"/>
          <w:szCs w:val="26"/>
        </w:rPr>
        <w:t xml:space="preserve">como </w:t>
      </w:r>
      <w:r w:rsidR="00253704" w:rsidRPr="00587F54">
        <w:rPr>
          <w:rFonts w:cs="Arial"/>
          <w:sz w:val="26"/>
          <w:szCs w:val="26"/>
        </w:rPr>
        <w:t>refirió</w:t>
      </w:r>
      <w:r w:rsidR="00042710" w:rsidRPr="00587F54">
        <w:rPr>
          <w:rFonts w:cs="Arial"/>
          <w:sz w:val="26"/>
          <w:szCs w:val="26"/>
        </w:rPr>
        <w:t xml:space="preserve"> la sala de apelación</w:t>
      </w:r>
      <w:r w:rsidR="00042710" w:rsidRPr="00587F54">
        <w:rPr>
          <w:rStyle w:val="Refdenotaalpie"/>
          <w:rFonts w:cs="Arial"/>
          <w:sz w:val="26"/>
          <w:szCs w:val="26"/>
        </w:rPr>
        <w:footnoteReference w:id="60"/>
      </w:r>
      <w:r w:rsidR="00042710" w:rsidRPr="00587F54">
        <w:rPr>
          <w:rFonts w:cs="Arial"/>
          <w:sz w:val="26"/>
          <w:szCs w:val="26"/>
        </w:rPr>
        <w:t xml:space="preserve">, </w:t>
      </w:r>
      <w:r w:rsidR="00DB381D" w:rsidRPr="00587F54">
        <w:rPr>
          <w:rFonts w:cs="Arial"/>
          <w:sz w:val="26"/>
          <w:szCs w:val="26"/>
        </w:rPr>
        <w:t>e</w:t>
      </w:r>
      <w:r w:rsidR="008442BA" w:rsidRPr="00587F54">
        <w:rPr>
          <w:rFonts w:cs="Arial"/>
          <w:sz w:val="26"/>
          <w:szCs w:val="26"/>
        </w:rPr>
        <w:t xml:space="preserve">l </w:t>
      </w:r>
      <w:r w:rsidR="00DB381D" w:rsidRPr="00587F54">
        <w:rPr>
          <w:rFonts w:cs="Arial"/>
          <w:sz w:val="26"/>
          <w:szCs w:val="26"/>
        </w:rPr>
        <w:t>expediente</w:t>
      </w:r>
      <w:r w:rsidR="008442BA" w:rsidRPr="00587F54">
        <w:rPr>
          <w:rFonts w:cs="Arial"/>
          <w:sz w:val="26"/>
          <w:szCs w:val="26"/>
        </w:rPr>
        <w:t xml:space="preserve"> del COPRED contiene</w:t>
      </w:r>
      <w:r w:rsidR="00DB381D" w:rsidRPr="00587F54">
        <w:rPr>
          <w:rFonts w:cs="Arial"/>
          <w:sz w:val="26"/>
          <w:szCs w:val="26"/>
        </w:rPr>
        <w:t xml:space="preserve"> </w:t>
      </w:r>
      <w:r w:rsidR="00DD0844" w:rsidRPr="00587F54">
        <w:rPr>
          <w:rFonts w:cs="Arial"/>
          <w:sz w:val="26"/>
          <w:szCs w:val="26"/>
        </w:rPr>
        <w:t>la constancia de</w:t>
      </w:r>
      <w:r w:rsidR="00B01CB4" w:rsidRPr="00587F54">
        <w:rPr>
          <w:rFonts w:cs="Arial"/>
          <w:sz w:val="26"/>
          <w:szCs w:val="26"/>
        </w:rPr>
        <w:t xml:space="preserve"> la “</w:t>
      </w:r>
      <w:r w:rsidR="00DD0844" w:rsidRPr="00587F54">
        <w:rPr>
          <w:rFonts w:cs="Arial"/>
          <w:sz w:val="26"/>
          <w:szCs w:val="26"/>
        </w:rPr>
        <w:t>R</w:t>
      </w:r>
      <w:r w:rsidR="00B01CB4" w:rsidRPr="00587F54">
        <w:rPr>
          <w:rFonts w:cs="Arial"/>
          <w:sz w:val="26"/>
          <w:szCs w:val="26"/>
        </w:rPr>
        <w:t>eunión de conciliación” de 21 de enero de 2016</w:t>
      </w:r>
      <w:r w:rsidR="007106D9" w:rsidRPr="00587F54">
        <w:rPr>
          <w:rFonts w:cs="Arial"/>
          <w:sz w:val="26"/>
          <w:szCs w:val="26"/>
        </w:rPr>
        <w:t>,</w:t>
      </w:r>
      <w:r w:rsidR="00B01CB4" w:rsidRPr="00587F54">
        <w:rPr>
          <w:rFonts w:cs="Arial"/>
          <w:sz w:val="26"/>
          <w:szCs w:val="26"/>
        </w:rPr>
        <w:t xml:space="preserve"> </w:t>
      </w:r>
      <w:r w:rsidR="007106D9" w:rsidRPr="00587F54">
        <w:rPr>
          <w:rFonts w:cs="Arial"/>
          <w:sz w:val="26"/>
          <w:szCs w:val="26"/>
        </w:rPr>
        <w:t>llevada a cabo en la</w:t>
      </w:r>
      <w:r w:rsidR="007106D9" w:rsidRPr="003F6B95">
        <w:rPr>
          <w:rFonts w:cs="Arial"/>
          <w:sz w:val="26"/>
          <w:szCs w:val="26"/>
        </w:rPr>
        <w:t xml:space="preserve"> institución</w:t>
      </w:r>
      <w:r w:rsidR="00E83943" w:rsidRPr="003F6B95">
        <w:rPr>
          <w:rStyle w:val="Refdenotaalpie"/>
          <w:rFonts w:cs="Arial"/>
          <w:sz w:val="26"/>
          <w:szCs w:val="26"/>
          <w:lang w:val="es-MX"/>
        </w:rPr>
        <w:footnoteReference w:id="61"/>
      </w:r>
      <w:r w:rsidR="008442BA" w:rsidRPr="003F6B95">
        <w:rPr>
          <w:rFonts w:cs="Arial"/>
          <w:sz w:val="26"/>
          <w:szCs w:val="26"/>
        </w:rPr>
        <w:t>. En ésta, se hace constar que</w:t>
      </w:r>
      <w:r w:rsidR="00372492" w:rsidRPr="003F6B95">
        <w:rPr>
          <w:rFonts w:cs="Arial"/>
          <w:sz w:val="26"/>
          <w:szCs w:val="26"/>
        </w:rPr>
        <w:t xml:space="preserve"> </w:t>
      </w:r>
      <w:r w:rsidR="008442BA" w:rsidRPr="003F6B95">
        <w:rPr>
          <w:rFonts w:cs="Arial"/>
          <w:sz w:val="26"/>
          <w:szCs w:val="26"/>
        </w:rPr>
        <w:t xml:space="preserve">el </w:t>
      </w:r>
      <w:r w:rsidR="0072184D" w:rsidRPr="003F6B95">
        <w:rPr>
          <w:rFonts w:cs="Arial"/>
          <w:sz w:val="26"/>
          <w:szCs w:val="26"/>
          <w:lang w:val="es-MX"/>
        </w:rPr>
        <w:t xml:space="preserve">abogado del </w:t>
      </w:r>
      <w:r w:rsidR="0072184D" w:rsidRPr="00453D61">
        <w:rPr>
          <w:rFonts w:cs="Arial"/>
          <w:sz w:val="26"/>
          <w:szCs w:val="26"/>
          <w:lang w:val="es-MX"/>
        </w:rPr>
        <w:t>centro comercial</w:t>
      </w:r>
      <w:r w:rsidR="00B00CF1" w:rsidRPr="00453D61">
        <w:rPr>
          <w:rFonts w:cs="Arial"/>
          <w:sz w:val="26"/>
          <w:szCs w:val="26"/>
          <w:lang w:val="es-MX"/>
        </w:rPr>
        <w:t xml:space="preserve"> “Reforma 222”</w:t>
      </w:r>
      <w:r w:rsidR="0072184D" w:rsidRPr="00453D61">
        <w:rPr>
          <w:rFonts w:cs="Arial"/>
          <w:sz w:val="26"/>
          <w:szCs w:val="26"/>
          <w:lang w:val="es-MX"/>
        </w:rPr>
        <w:t>, P</w:t>
      </w:r>
      <w:r w:rsidR="009E3731" w:rsidRPr="00453D61">
        <w:rPr>
          <w:rFonts w:cs="Arial"/>
          <w:sz w:val="26"/>
          <w:szCs w:val="26"/>
          <w:lang w:val="es-MX"/>
        </w:rPr>
        <w:t>edro Antonio Madrigal Andrade,</w:t>
      </w:r>
      <w:r w:rsidR="00BB4A1E" w:rsidRPr="00453D61">
        <w:rPr>
          <w:rFonts w:cs="Arial"/>
          <w:sz w:val="26"/>
          <w:szCs w:val="26"/>
          <w:lang w:val="es-MX"/>
        </w:rPr>
        <w:t xml:space="preserve"> manifestó </w:t>
      </w:r>
      <w:r w:rsidR="00372492" w:rsidRPr="00453D61">
        <w:rPr>
          <w:rFonts w:cs="Arial"/>
          <w:sz w:val="26"/>
          <w:szCs w:val="26"/>
          <w:lang w:val="es-MX"/>
        </w:rPr>
        <w:t xml:space="preserve">a las señoras </w:t>
      </w:r>
      <w:r w:rsidR="00BB4A1E" w:rsidRPr="00453D61">
        <w:rPr>
          <w:rFonts w:cs="Arial"/>
          <w:sz w:val="26"/>
          <w:szCs w:val="26"/>
          <w:lang w:val="es-MX"/>
        </w:rPr>
        <w:t>que “</w:t>
      </w:r>
      <w:r w:rsidR="009E3731" w:rsidRPr="00453D61">
        <w:rPr>
          <w:rFonts w:cs="Arial"/>
          <w:sz w:val="26"/>
          <w:szCs w:val="26"/>
          <w:lang w:val="es-MX"/>
        </w:rPr>
        <w:t>les apena mucho la situación por la que pasaron</w:t>
      </w:r>
      <w:r w:rsidR="00BB4A1E" w:rsidRPr="00453D61">
        <w:rPr>
          <w:rFonts w:cs="Arial"/>
          <w:sz w:val="26"/>
          <w:szCs w:val="26"/>
          <w:lang w:val="es-MX"/>
        </w:rPr>
        <w:t>”</w:t>
      </w:r>
      <w:r w:rsidR="009E3731" w:rsidRPr="00453D61">
        <w:rPr>
          <w:rFonts w:cs="Arial"/>
          <w:sz w:val="26"/>
          <w:szCs w:val="26"/>
          <w:lang w:val="es-MX"/>
        </w:rPr>
        <w:t>.</w:t>
      </w:r>
      <w:r w:rsidR="00A66A26" w:rsidRPr="00453D61">
        <w:rPr>
          <w:rFonts w:cs="Arial"/>
          <w:sz w:val="26"/>
          <w:szCs w:val="26"/>
          <w:lang w:val="es-MX"/>
        </w:rPr>
        <w:t xml:space="preserve"> </w:t>
      </w:r>
      <w:r w:rsidR="002C16DB" w:rsidRPr="00453D61">
        <w:rPr>
          <w:rFonts w:cs="Arial"/>
          <w:sz w:val="26"/>
          <w:szCs w:val="26"/>
          <w:lang w:val="es-MX"/>
        </w:rPr>
        <w:t xml:space="preserve">Por su parte, </w:t>
      </w:r>
      <w:r w:rsidR="00B00CF1" w:rsidRPr="00453D61">
        <w:rPr>
          <w:rFonts w:cs="Arial"/>
          <w:sz w:val="26"/>
          <w:szCs w:val="26"/>
          <w:lang w:val="es-MX"/>
        </w:rPr>
        <w:t xml:space="preserve">el </w:t>
      </w:r>
      <w:r w:rsidR="00B01CB4" w:rsidRPr="00453D61">
        <w:rPr>
          <w:rFonts w:cs="Arial"/>
          <w:sz w:val="26"/>
          <w:szCs w:val="26"/>
        </w:rPr>
        <w:t>representante de Protección Privada 2010</w:t>
      </w:r>
      <w:r w:rsidR="00B00CF1" w:rsidRPr="00453D61">
        <w:rPr>
          <w:rFonts w:cs="Arial"/>
          <w:sz w:val="26"/>
          <w:szCs w:val="26"/>
        </w:rPr>
        <w:t xml:space="preserve">, </w:t>
      </w:r>
      <w:r w:rsidR="00B01CB4" w:rsidRPr="00453D61">
        <w:rPr>
          <w:rFonts w:cs="Arial"/>
          <w:sz w:val="26"/>
          <w:szCs w:val="26"/>
        </w:rPr>
        <w:t>Carlos Antonio Caldera Retana</w:t>
      </w:r>
      <w:r w:rsidR="00B00CF1" w:rsidRPr="00453D61">
        <w:rPr>
          <w:rFonts w:cs="Arial"/>
          <w:sz w:val="26"/>
          <w:szCs w:val="26"/>
        </w:rPr>
        <w:t>,</w:t>
      </w:r>
      <w:r w:rsidR="00B01CB4" w:rsidRPr="00453D61">
        <w:rPr>
          <w:rFonts w:cs="Arial"/>
          <w:sz w:val="26"/>
          <w:szCs w:val="26"/>
        </w:rPr>
        <w:t xml:space="preserve"> </w:t>
      </w:r>
      <w:r w:rsidR="00984179" w:rsidRPr="00453D61">
        <w:rPr>
          <w:rFonts w:cs="Arial"/>
          <w:sz w:val="26"/>
          <w:szCs w:val="26"/>
        </w:rPr>
        <w:t xml:space="preserve">sostuvo </w:t>
      </w:r>
      <w:r w:rsidR="00B01CB4" w:rsidRPr="00453D61">
        <w:rPr>
          <w:rFonts w:cs="Arial"/>
          <w:sz w:val="26"/>
          <w:szCs w:val="26"/>
        </w:rPr>
        <w:t xml:space="preserve">que </w:t>
      </w:r>
      <w:r w:rsidR="00B01CB4" w:rsidRPr="00CE29A6">
        <w:rPr>
          <w:rFonts w:cs="Arial"/>
          <w:sz w:val="26"/>
          <w:szCs w:val="26"/>
        </w:rPr>
        <w:t xml:space="preserve">“se disculpa por el personal”, </w:t>
      </w:r>
      <w:r w:rsidR="00B01CB4" w:rsidRPr="00CE29A6">
        <w:rPr>
          <w:rFonts w:cs="Arial"/>
          <w:sz w:val="26"/>
          <w:szCs w:val="26"/>
        </w:rPr>
        <w:lastRenderedPageBreak/>
        <w:t xml:space="preserve">“ya que las personas no supieron cómo manejar la situación”. </w:t>
      </w:r>
      <w:r w:rsidR="00984179" w:rsidRPr="00CE29A6">
        <w:rPr>
          <w:rFonts w:cs="Arial"/>
          <w:sz w:val="26"/>
          <w:szCs w:val="26"/>
        </w:rPr>
        <w:t>A</w:t>
      </w:r>
      <w:r w:rsidR="00B01CB4" w:rsidRPr="00CE29A6">
        <w:rPr>
          <w:rFonts w:cs="Arial"/>
          <w:sz w:val="26"/>
          <w:szCs w:val="26"/>
        </w:rPr>
        <w:t>ñadió que, “al hablar con el personal que intervino, mencionaron que se confundieron, ya que tampoco fue su intención violentar a las personas, sino era protegerlas”</w:t>
      </w:r>
      <w:r w:rsidR="008F0B83" w:rsidRPr="003F6B95">
        <w:rPr>
          <w:rStyle w:val="Refdenotaalpie"/>
          <w:rFonts w:cs="Arial"/>
          <w:sz w:val="26"/>
          <w:szCs w:val="26"/>
        </w:rPr>
        <w:footnoteReference w:id="62"/>
      </w:r>
      <w:r w:rsidR="00B01CB4" w:rsidRPr="00CE29A6">
        <w:rPr>
          <w:rFonts w:cs="Arial"/>
          <w:sz w:val="26"/>
          <w:szCs w:val="26"/>
        </w:rPr>
        <w:t xml:space="preserve">. </w:t>
      </w:r>
    </w:p>
    <w:p w14:paraId="0EA9AA2B" w14:textId="77777777" w:rsidR="00CE29A6" w:rsidRDefault="00CE29A6" w:rsidP="00CE29A6">
      <w:pPr>
        <w:pStyle w:val="corte4fondo"/>
        <w:ind w:right="51" w:firstLine="0"/>
        <w:rPr>
          <w:rFonts w:cs="Arial"/>
          <w:sz w:val="26"/>
          <w:szCs w:val="26"/>
        </w:rPr>
      </w:pPr>
    </w:p>
    <w:p w14:paraId="04B5E6D0" w14:textId="03030219" w:rsidR="000C0FEC" w:rsidRPr="003F6B95" w:rsidRDefault="00AF171B" w:rsidP="00A66A26">
      <w:pPr>
        <w:pStyle w:val="corte4fondo"/>
        <w:numPr>
          <w:ilvl w:val="0"/>
          <w:numId w:val="2"/>
        </w:numPr>
        <w:ind w:left="0" w:right="51" w:hanging="567"/>
        <w:rPr>
          <w:rFonts w:cs="Arial"/>
          <w:sz w:val="26"/>
          <w:szCs w:val="26"/>
        </w:rPr>
      </w:pPr>
      <w:r>
        <w:rPr>
          <w:rFonts w:cs="Arial"/>
          <w:sz w:val="26"/>
          <w:szCs w:val="26"/>
        </w:rPr>
        <w:t>Por su parte</w:t>
      </w:r>
      <w:r w:rsidR="00B01CB4" w:rsidRPr="003F6B95">
        <w:rPr>
          <w:rFonts w:cs="Arial"/>
          <w:sz w:val="26"/>
          <w:szCs w:val="26"/>
        </w:rPr>
        <w:t xml:space="preserve">, otro </w:t>
      </w:r>
      <w:r w:rsidR="00B01CB4" w:rsidRPr="00453D61">
        <w:rPr>
          <w:rFonts w:cs="Arial"/>
          <w:sz w:val="26"/>
          <w:szCs w:val="26"/>
        </w:rPr>
        <w:t>representante</w:t>
      </w:r>
      <w:r w:rsidR="00B46CD7" w:rsidRPr="00453D61">
        <w:rPr>
          <w:rFonts w:cs="Arial"/>
          <w:sz w:val="26"/>
          <w:szCs w:val="26"/>
        </w:rPr>
        <w:t xml:space="preserve"> de</w:t>
      </w:r>
      <w:r w:rsidR="00B01CB4" w:rsidRPr="00453D61">
        <w:rPr>
          <w:rFonts w:cs="Arial"/>
          <w:sz w:val="26"/>
          <w:szCs w:val="26"/>
        </w:rPr>
        <w:t xml:space="preserve"> Protección Privada 2010</w:t>
      </w:r>
      <w:r w:rsidR="00B46CD7" w:rsidRPr="00453D61">
        <w:rPr>
          <w:rFonts w:cs="Arial"/>
          <w:sz w:val="26"/>
          <w:szCs w:val="26"/>
        </w:rPr>
        <w:t xml:space="preserve">, </w:t>
      </w:r>
      <w:r w:rsidR="00B01CB4" w:rsidRPr="00453D61">
        <w:rPr>
          <w:rFonts w:cs="Arial"/>
          <w:sz w:val="26"/>
          <w:szCs w:val="26"/>
        </w:rPr>
        <w:t>Ángel Vicente Leal González</w:t>
      </w:r>
      <w:r w:rsidR="00B46CD7" w:rsidRPr="00453D61">
        <w:rPr>
          <w:rFonts w:cs="Arial"/>
          <w:sz w:val="26"/>
          <w:szCs w:val="26"/>
        </w:rPr>
        <w:t>, manifestó que</w:t>
      </w:r>
      <w:r w:rsidR="00B01CB4" w:rsidRPr="00453D61">
        <w:rPr>
          <w:rFonts w:cs="Arial"/>
          <w:sz w:val="26"/>
          <w:szCs w:val="26"/>
        </w:rPr>
        <w:t xml:space="preserve"> “</w:t>
      </w:r>
      <w:r w:rsidR="00B01CB4" w:rsidRPr="003F6B95">
        <w:rPr>
          <w:rFonts w:cs="Arial"/>
          <w:sz w:val="26"/>
          <w:szCs w:val="26"/>
        </w:rPr>
        <w:t>se disculpa en nombre de su personal y la empresa por la molestia e inconformidad por lo sucedido, ya que no se manejaron las cosas perfectamente”. Agre</w:t>
      </w:r>
      <w:r w:rsidR="00177623" w:rsidRPr="003F6B95">
        <w:rPr>
          <w:rFonts w:cs="Arial"/>
          <w:sz w:val="26"/>
          <w:szCs w:val="26"/>
        </w:rPr>
        <w:t>gó</w:t>
      </w:r>
      <w:r w:rsidR="00B01CB4" w:rsidRPr="003F6B95">
        <w:rPr>
          <w:rFonts w:cs="Arial"/>
          <w:sz w:val="26"/>
          <w:szCs w:val="26"/>
        </w:rPr>
        <w:t xml:space="preserve"> que</w:t>
      </w:r>
      <w:r w:rsidR="00177623" w:rsidRPr="003F6B95">
        <w:rPr>
          <w:rFonts w:cs="Arial"/>
          <w:sz w:val="26"/>
          <w:szCs w:val="26"/>
        </w:rPr>
        <w:t>,</w:t>
      </w:r>
      <w:r w:rsidR="00B01CB4" w:rsidRPr="003F6B95">
        <w:rPr>
          <w:rFonts w:cs="Arial"/>
          <w:sz w:val="26"/>
          <w:szCs w:val="26"/>
        </w:rPr>
        <w:t xml:space="preserve"> “después de lo sucedido tomaron algunas acciones, como de baja del personal que intervino, sin embargo, le gustaría agregar que dicho personal no supo cómo manejar la situación en virtud de que son temas nuevos que no conocen completamente”</w:t>
      </w:r>
      <w:r w:rsidR="00A40C7D">
        <w:rPr>
          <w:rFonts w:cs="Arial"/>
          <w:sz w:val="26"/>
          <w:szCs w:val="26"/>
        </w:rPr>
        <w:t xml:space="preserve">. </w:t>
      </w:r>
      <w:r>
        <w:rPr>
          <w:rFonts w:cs="Arial"/>
          <w:sz w:val="26"/>
          <w:szCs w:val="26"/>
        </w:rPr>
        <w:t>Además</w:t>
      </w:r>
      <w:r w:rsidR="00A40C7D">
        <w:rPr>
          <w:rFonts w:cs="Arial"/>
          <w:sz w:val="26"/>
          <w:szCs w:val="26"/>
        </w:rPr>
        <w:t>, sostuvo que “</w:t>
      </w:r>
      <w:r w:rsidR="00A40C7D" w:rsidRPr="00A40C7D">
        <w:rPr>
          <w:rFonts w:cs="Arial"/>
          <w:sz w:val="26"/>
          <w:szCs w:val="26"/>
        </w:rPr>
        <w:t>han llevado a cabo charlas y entrevistas con el personal sobre el caso y capacitaciones de trato al cliente y de no discriminación de manera interna</w:t>
      </w:r>
      <w:r w:rsidR="00A40C7D">
        <w:rPr>
          <w:rFonts w:cs="Arial"/>
          <w:sz w:val="26"/>
          <w:szCs w:val="26"/>
        </w:rPr>
        <w:t>”</w:t>
      </w:r>
      <w:r w:rsidR="007F34B7" w:rsidRPr="003F6B95">
        <w:rPr>
          <w:rStyle w:val="Refdenotaalpie"/>
          <w:rFonts w:cs="Arial"/>
          <w:sz w:val="26"/>
          <w:szCs w:val="26"/>
        </w:rPr>
        <w:footnoteReference w:id="63"/>
      </w:r>
      <w:r w:rsidR="00B01CB4" w:rsidRPr="003F6B95">
        <w:rPr>
          <w:rFonts w:cs="Arial"/>
          <w:sz w:val="26"/>
          <w:szCs w:val="26"/>
        </w:rPr>
        <w:t xml:space="preserve">. </w:t>
      </w:r>
    </w:p>
    <w:p w14:paraId="0A850BEB" w14:textId="77777777" w:rsidR="00A7085D" w:rsidRDefault="00A7085D" w:rsidP="00A7085D">
      <w:pPr>
        <w:pStyle w:val="corte4fondo"/>
        <w:ind w:right="51" w:firstLine="0"/>
        <w:rPr>
          <w:rFonts w:cs="Arial"/>
          <w:sz w:val="26"/>
          <w:szCs w:val="26"/>
        </w:rPr>
      </w:pPr>
    </w:p>
    <w:p w14:paraId="6F4AB1B7" w14:textId="72E40721" w:rsidR="00803D68" w:rsidRPr="00587F54" w:rsidRDefault="00B243F7" w:rsidP="003B65AC">
      <w:pPr>
        <w:pStyle w:val="corte4fondo"/>
        <w:numPr>
          <w:ilvl w:val="0"/>
          <w:numId w:val="2"/>
        </w:numPr>
        <w:ind w:left="0" w:right="51" w:hanging="567"/>
        <w:rPr>
          <w:rFonts w:cs="Arial"/>
          <w:sz w:val="26"/>
          <w:szCs w:val="26"/>
        </w:rPr>
      </w:pPr>
      <w:r w:rsidRPr="00587F54">
        <w:rPr>
          <w:rFonts w:cs="Arial"/>
          <w:sz w:val="26"/>
          <w:szCs w:val="26"/>
        </w:rPr>
        <w:t>Además</w:t>
      </w:r>
      <w:r w:rsidR="00AF171B" w:rsidRPr="00587F54">
        <w:rPr>
          <w:rFonts w:cs="Arial"/>
          <w:sz w:val="26"/>
          <w:szCs w:val="26"/>
        </w:rPr>
        <w:t xml:space="preserve">, </w:t>
      </w:r>
      <w:r w:rsidR="006D4317" w:rsidRPr="00587F54">
        <w:rPr>
          <w:rFonts w:cs="Arial"/>
          <w:sz w:val="26"/>
          <w:szCs w:val="26"/>
        </w:rPr>
        <w:t>d</w:t>
      </w:r>
      <w:r w:rsidR="00AF171B" w:rsidRPr="00587F54">
        <w:rPr>
          <w:rFonts w:cs="Arial"/>
          <w:sz w:val="26"/>
          <w:szCs w:val="26"/>
        </w:rPr>
        <w:t>el expediente del COPRED se advierte el escrito de queja presentada por las hoy quejosas</w:t>
      </w:r>
      <w:r w:rsidR="00A7085D" w:rsidRPr="00587F54">
        <w:rPr>
          <w:rFonts w:cs="Arial"/>
          <w:sz w:val="26"/>
          <w:szCs w:val="26"/>
        </w:rPr>
        <w:t>, en el que narraron los hechos discriminatorios por los cuales solicitaron la intervención del COPRED, en los siguientes términos</w:t>
      </w:r>
      <w:r w:rsidR="00B36B61" w:rsidRPr="00587F54">
        <w:rPr>
          <w:rStyle w:val="Refdenotaalpie"/>
          <w:rFonts w:cs="Arial"/>
          <w:sz w:val="26"/>
          <w:szCs w:val="26"/>
        </w:rPr>
        <w:footnoteReference w:id="64"/>
      </w:r>
      <w:r w:rsidR="00A7085D" w:rsidRPr="00587F54">
        <w:rPr>
          <w:rFonts w:cs="Arial"/>
          <w:sz w:val="26"/>
          <w:szCs w:val="26"/>
        </w:rPr>
        <w:t>:</w:t>
      </w:r>
    </w:p>
    <w:p w14:paraId="020CA17E" w14:textId="3840E0A9" w:rsidR="00A7085D" w:rsidRPr="00587F54" w:rsidRDefault="00A0654C" w:rsidP="003B65AC">
      <w:pPr>
        <w:pStyle w:val="corte4fondo"/>
        <w:spacing w:before="240"/>
        <w:ind w:left="284" w:right="333" w:firstLine="0"/>
        <w:rPr>
          <w:rFonts w:cs="Arial"/>
          <w:sz w:val="24"/>
          <w:szCs w:val="24"/>
          <w:lang w:val="es-MX"/>
        </w:rPr>
      </w:pPr>
      <w:r w:rsidRPr="00587F54">
        <w:rPr>
          <w:rFonts w:cs="Arial"/>
          <w:sz w:val="24"/>
          <w:szCs w:val="24"/>
          <w:lang w:val="es-MX"/>
        </w:rPr>
        <w:t>Las peticionarias r</w:t>
      </w:r>
      <w:r w:rsidR="00A7085D" w:rsidRPr="00587F54">
        <w:rPr>
          <w:rFonts w:cs="Arial"/>
          <w:sz w:val="24"/>
          <w:szCs w:val="24"/>
          <w:lang w:val="es-MX"/>
        </w:rPr>
        <w:t xml:space="preserve">efieren que el pasado 25 de noviembre del presente año acudieron a la marcha conmemorativa del día internacional de la eliminación de la violencia hacia las mujeres acompañadas de </w:t>
      </w:r>
      <w:r w:rsidR="00A7085D" w:rsidRPr="00587F54">
        <w:rPr>
          <w:rFonts w:cs="Arial"/>
          <w:color w:val="FF0000"/>
          <w:sz w:val="24"/>
          <w:szCs w:val="24"/>
          <w:lang w:val="es-MX"/>
        </w:rPr>
        <w:t>R</w:t>
      </w:r>
      <w:r w:rsidR="008B1174">
        <w:rPr>
          <w:rFonts w:cs="Arial"/>
          <w:color w:val="FF0000"/>
          <w:sz w:val="24"/>
          <w:szCs w:val="24"/>
          <w:lang w:val="es-MX"/>
        </w:rPr>
        <w:t>J</w:t>
      </w:r>
      <w:r w:rsidR="00A7085D" w:rsidRPr="00587F54">
        <w:rPr>
          <w:rFonts w:cs="Arial"/>
          <w:color w:val="FF0000"/>
          <w:sz w:val="24"/>
          <w:szCs w:val="24"/>
          <w:lang w:val="es-MX"/>
        </w:rPr>
        <w:t>B</w:t>
      </w:r>
      <w:r w:rsidR="00A7085D" w:rsidRPr="008B1174">
        <w:rPr>
          <w:rFonts w:cs="Arial"/>
          <w:color w:val="ED0000"/>
          <w:sz w:val="24"/>
          <w:szCs w:val="24"/>
          <w:lang w:val="es-MX"/>
        </w:rPr>
        <w:t>B</w:t>
      </w:r>
      <w:r w:rsidR="00A7085D" w:rsidRPr="00453D61">
        <w:rPr>
          <w:rFonts w:cs="Arial"/>
          <w:sz w:val="24"/>
          <w:szCs w:val="24"/>
          <w:lang w:val="es-MX"/>
        </w:rPr>
        <w:t xml:space="preserve">, posteriormente </w:t>
      </w:r>
      <w:r w:rsidR="00A7085D" w:rsidRPr="00587F54">
        <w:rPr>
          <w:rFonts w:cs="Arial"/>
          <w:sz w:val="24"/>
          <w:szCs w:val="24"/>
          <w:lang w:val="es-MX"/>
        </w:rPr>
        <w:t xml:space="preserve">ingresaron a la Plaza Comercial conocida como </w:t>
      </w:r>
      <w:r w:rsidR="0026649A" w:rsidRPr="00453D61">
        <w:rPr>
          <w:rFonts w:cs="Arial"/>
          <w:sz w:val="24"/>
          <w:szCs w:val="24"/>
          <w:lang w:val="es-MX"/>
        </w:rPr>
        <w:t>“</w:t>
      </w:r>
      <w:r w:rsidR="00A7085D" w:rsidRPr="00453D61">
        <w:rPr>
          <w:rFonts w:cs="Arial"/>
          <w:sz w:val="24"/>
          <w:szCs w:val="24"/>
          <w:lang w:val="es-MX"/>
        </w:rPr>
        <w:t>Reforma 222</w:t>
      </w:r>
      <w:r w:rsidR="0026649A" w:rsidRPr="00587F54">
        <w:rPr>
          <w:rFonts w:cs="Arial"/>
          <w:sz w:val="24"/>
          <w:szCs w:val="24"/>
          <w:lang w:val="es-MX"/>
        </w:rPr>
        <w:t>”</w:t>
      </w:r>
      <w:r w:rsidR="00A7085D" w:rsidRPr="00587F54">
        <w:rPr>
          <w:rFonts w:cs="Arial"/>
          <w:sz w:val="24"/>
          <w:szCs w:val="24"/>
          <w:lang w:val="es-MX"/>
        </w:rPr>
        <w:t xml:space="preserve">, ya que </w:t>
      </w:r>
      <w:r w:rsidR="00A7085D" w:rsidRPr="00587F54">
        <w:rPr>
          <w:rFonts w:cs="Arial"/>
          <w:color w:val="FF0000"/>
          <w:sz w:val="24"/>
          <w:szCs w:val="24"/>
          <w:lang w:val="es-MX"/>
        </w:rPr>
        <w:t xml:space="preserve">L </w:t>
      </w:r>
      <w:r w:rsidR="00A7085D" w:rsidRPr="00587F54">
        <w:rPr>
          <w:rFonts w:cs="Arial"/>
          <w:sz w:val="24"/>
          <w:szCs w:val="24"/>
          <w:lang w:val="es-MX"/>
        </w:rPr>
        <w:t xml:space="preserve">necesitaba hacer un trámite </w:t>
      </w:r>
      <w:r w:rsidR="00A7085D" w:rsidRPr="00453D61">
        <w:rPr>
          <w:rFonts w:cs="Arial"/>
          <w:sz w:val="24"/>
          <w:szCs w:val="24"/>
          <w:lang w:val="es-MX"/>
        </w:rPr>
        <w:t xml:space="preserve">en Telcel </w:t>
      </w:r>
      <w:r w:rsidR="00A7085D" w:rsidRPr="00587F54">
        <w:rPr>
          <w:rFonts w:cs="Arial"/>
          <w:sz w:val="24"/>
          <w:szCs w:val="24"/>
          <w:lang w:val="es-MX"/>
        </w:rPr>
        <w:t xml:space="preserve">al cual fue acompañada por </w:t>
      </w:r>
      <w:r w:rsidR="00A7085D" w:rsidRPr="00587F54">
        <w:rPr>
          <w:rFonts w:cs="Arial"/>
          <w:color w:val="FF0000"/>
          <w:sz w:val="24"/>
          <w:szCs w:val="24"/>
          <w:lang w:val="es-MX"/>
        </w:rPr>
        <w:t>R</w:t>
      </w:r>
      <w:r w:rsidR="00A7085D" w:rsidRPr="00587F54">
        <w:rPr>
          <w:rFonts w:cs="Arial"/>
          <w:sz w:val="24"/>
          <w:szCs w:val="24"/>
          <w:lang w:val="es-MX"/>
        </w:rPr>
        <w:t xml:space="preserve">, mientras </w:t>
      </w:r>
      <w:r w:rsidR="00A7085D" w:rsidRPr="00587F54">
        <w:rPr>
          <w:rFonts w:cs="Arial"/>
          <w:color w:val="FF0000"/>
          <w:sz w:val="24"/>
          <w:szCs w:val="24"/>
          <w:lang w:val="es-MX"/>
        </w:rPr>
        <w:t xml:space="preserve">J </w:t>
      </w:r>
      <w:r w:rsidR="00A7085D" w:rsidRPr="00587F54">
        <w:rPr>
          <w:rFonts w:cs="Arial"/>
          <w:sz w:val="24"/>
          <w:szCs w:val="24"/>
          <w:lang w:val="es-MX"/>
        </w:rPr>
        <w:t xml:space="preserve">y </w:t>
      </w:r>
      <w:r w:rsidR="00A7085D" w:rsidRPr="00587F54">
        <w:rPr>
          <w:rFonts w:cs="Arial"/>
          <w:color w:val="FF0000"/>
          <w:sz w:val="24"/>
          <w:szCs w:val="24"/>
          <w:lang w:val="es-MX"/>
        </w:rPr>
        <w:t xml:space="preserve">A </w:t>
      </w:r>
      <w:r w:rsidR="00A7085D" w:rsidRPr="00587F54">
        <w:rPr>
          <w:rFonts w:cs="Arial"/>
          <w:sz w:val="24"/>
          <w:szCs w:val="24"/>
          <w:lang w:val="es-MX"/>
        </w:rPr>
        <w:t>se dirigieron al baño.</w:t>
      </w:r>
    </w:p>
    <w:p w14:paraId="354F3D96" w14:textId="1C3FE296" w:rsidR="00A7085D" w:rsidRPr="00587F54" w:rsidRDefault="00A7085D" w:rsidP="003B65AC">
      <w:pPr>
        <w:pStyle w:val="corte4fondo"/>
        <w:ind w:left="284" w:right="333" w:firstLine="0"/>
        <w:rPr>
          <w:rFonts w:cs="Arial"/>
          <w:sz w:val="24"/>
          <w:szCs w:val="24"/>
          <w:lang w:val="es-MX"/>
        </w:rPr>
      </w:pPr>
      <w:r w:rsidRPr="00587F54">
        <w:rPr>
          <w:rFonts w:cs="Arial"/>
          <w:sz w:val="24"/>
          <w:szCs w:val="24"/>
          <w:u w:val="single"/>
          <w:lang w:val="es-MX"/>
        </w:rPr>
        <w:t xml:space="preserve">Al momento en que quisieron ingresar al baño personal de seguridad de la plaza les impidió entrar al mismo argumentando que </w:t>
      </w:r>
      <w:r w:rsidR="0026649A" w:rsidRPr="00587F54">
        <w:rPr>
          <w:rFonts w:cs="Arial"/>
          <w:sz w:val="24"/>
          <w:szCs w:val="24"/>
          <w:u w:val="single"/>
          <w:lang w:val="es-MX"/>
        </w:rPr>
        <w:t>“</w:t>
      </w:r>
      <w:r w:rsidRPr="00587F54">
        <w:rPr>
          <w:rFonts w:cs="Arial"/>
          <w:sz w:val="24"/>
          <w:szCs w:val="24"/>
          <w:u w:val="single"/>
          <w:lang w:val="es-MX"/>
        </w:rPr>
        <w:t>no podían entrar, ya que eran hombres</w:t>
      </w:r>
      <w:r w:rsidR="0026649A" w:rsidRPr="00587F54">
        <w:rPr>
          <w:rFonts w:cs="Arial"/>
          <w:sz w:val="24"/>
          <w:szCs w:val="24"/>
          <w:u w:val="single"/>
          <w:lang w:val="es-MX"/>
        </w:rPr>
        <w:t>”</w:t>
      </w:r>
      <w:r w:rsidRPr="00587F54">
        <w:rPr>
          <w:rFonts w:cs="Arial"/>
          <w:sz w:val="24"/>
          <w:szCs w:val="24"/>
          <w:lang w:val="es-MX"/>
        </w:rPr>
        <w:t xml:space="preserve">, las peticionarias se molestaron por ello y le explicaron que eran mujeres transexuales y tenían derecho de entrar al baño que les corresponde conforme a su identidad de género; sin embargo, </w:t>
      </w:r>
      <w:r w:rsidRPr="00587F54">
        <w:rPr>
          <w:rFonts w:cs="Arial"/>
          <w:sz w:val="24"/>
          <w:szCs w:val="24"/>
          <w:u w:val="single"/>
          <w:lang w:val="es-MX"/>
        </w:rPr>
        <w:t xml:space="preserve">el personal de seguridad continuó diciéndoles que </w:t>
      </w:r>
      <w:r w:rsidR="0026649A" w:rsidRPr="00587F54">
        <w:rPr>
          <w:rFonts w:cs="Arial"/>
          <w:sz w:val="24"/>
          <w:szCs w:val="24"/>
          <w:u w:val="single"/>
          <w:lang w:val="es-MX"/>
        </w:rPr>
        <w:t>“</w:t>
      </w:r>
      <w:r w:rsidRPr="00587F54">
        <w:rPr>
          <w:rFonts w:cs="Arial"/>
          <w:sz w:val="24"/>
          <w:szCs w:val="24"/>
          <w:u w:val="single"/>
          <w:lang w:val="es-MX"/>
        </w:rPr>
        <w:t>eran hombres y que no podían usar el baño</w:t>
      </w:r>
      <w:r w:rsidR="0026649A" w:rsidRPr="00587F54">
        <w:rPr>
          <w:rFonts w:cs="Arial"/>
          <w:sz w:val="24"/>
          <w:szCs w:val="24"/>
          <w:u w:val="single"/>
          <w:lang w:val="es-MX"/>
        </w:rPr>
        <w:t>”</w:t>
      </w:r>
      <w:r w:rsidRPr="00587F54">
        <w:rPr>
          <w:rFonts w:cs="Arial"/>
          <w:sz w:val="24"/>
          <w:szCs w:val="24"/>
          <w:u w:val="single"/>
          <w:lang w:val="es-MX"/>
        </w:rPr>
        <w:t xml:space="preserve">, incluso les pidieron sus identificaciones para dejarlas ingresar al baño, </w:t>
      </w:r>
      <w:r w:rsidRPr="00587F54">
        <w:rPr>
          <w:rFonts w:cs="Arial"/>
          <w:sz w:val="24"/>
          <w:szCs w:val="24"/>
          <w:lang w:val="es-MX"/>
        </w:rPr>
        <w:lastRenderedPageBreak/>
        <w:t xml:space="preserve">ante esto </w:t>
      </w:r>
      <w:r w:rsidRPr="005D734B">
        <w:rPr>
          <w:rFonts w:cs="Arial"/>
          <w:color w:val="FF0000"/>
          <w:sz w:val="24"/>
          <w:szCs w:val="24"/>
          <w:lang w:val="es-MX"/>
        </w:rPr>
        <w:t>J</w:t>
      </w:r>
      <w:r w:rsidRPr="00587F54">
        <w:rPr>
          <w:rFonts w:cs="Arial"/>
          <w:sz w:val="24"/>
          <w:szCs w:val="24"/>
          <w:lang w:val="es-MX"/>
        </w:rPr>
        <w:t xml:space="preserve"> preguntó la razón por la que no se les pedía la credencial a ninguna otra de las mujeres que entraban al baño, sin obtener respuesta alguna.</w:t>
      </w:r>
    </w:p>
    <w:p w14:paraId="12DDC09B" w14:textId="7D113D39" w:rsidR="00A7085D" w:rsidRPr="00587F54" w:rsidRDefault="00A7085D" w:rsidP="003B65AC">
      <w:pPr>
        <w:pStyle w:val="corte4fondo"/>
        <w:ind w:left="284" w:right="333" w:firstLine="0"/>
        <w:rPr>
          <w:rFonts w:cs="Arial"/>
          <w:sz w:val="24"/>
          <w:szCs w:val="24"/>
          <w:lang w:val="es-MX"/>
        </w:rPr>
      </w:pPr>
      <w:r w:rsidRPr="00587F54">
        <w:rPr>
          <w:rFonts w:cs="Arial"/>
          <w:sz w:val="24"/>
          <w:szCs w:val="24"/>
          <w:lang w:val="es-MX"/>
        </w:rPr>
        <w:t xml:space="preserve">A pesar de la negativa del personal de seguridad de la Plaza Comercial, tanto </w:t>
      </w:r>
      <w:r w:rsidRPr="00587F54">
        <w:rPr>
          <w:rFonts w:cs="Arial"/>
          <w:color w:val="FF0000"/>
          <w:sz w:val="24"/>
          <w:szCs w:val="24"/>
          <w:lang w:val="es-MX"/>
        </w:rPr>
        <w:t xml:space="preserve">J </w:t>
      </w:r>
      <w:r w:rsidRPr="00587F54">
        <w:rPr>
          <w:rFonts w:cs="Arial"/>
          <w:sz w:val="24"/>
          <w:szCs w:val="24"/>
          <w:lang w:val="es-MX"/>
        </w:rPr>
        <w:t xml:space="preserve">como </w:t>
      </w:r>
      <w:r w:rsidRPr="00587F54">
        <w:rPr>
          <w:rFonts w:cs="Arial"/>
          <w:color w:val="FF0000"/>
          <w:sz w:val="24"/>
          <w:szCs w:val="24"/>
          <w:lang w:val="es-MX"/>
        </w:rPr>
        <w:t xml:space="preserve">A </w:t>
      </w:r>
      <w:r w:rsidRPr="00587F54">
        <w:rPr>
          <w:rFonts w:cs="Arial"/>
          <w:sz w:val="24"/>
          <w:szCs w:val="24"/>
          <w:lang w:val="es-MX"/>
        </w:rPr>
        <w:t xml:space="preserve">ingresaron al baño, </w:t>
      </w:r>
      <w:r w:rsidRPr="00587F54">
        <w:rPr>
          <w:rFonts w:cs="Arial"/>
          <w:sz w:val="24"/>
          <w:szCs w:val="24"/>
          <w:u w:val="single"/>
          <w:lang w:val="es-MX"/>
        </w:rPr>
        <w:t xml:space="preserve">una vez dentro se percataron de que el personal de seguridad y de limpieza les impedía el ingreso a otras mujeres que querían entrar al baño; mencionando que </w:t>
      </w:r>
      <w:r w:rsidR="000D2C5F" w:rsidRPr="00587F54">
        <w:rPr>
          <w:rFonts w:cs="Arial"/>
          <w:sz w:val="24"/>
          <w:szCs w:val="24"/>
          <w:u w:val="single"/>
          <w:lang w:val="es-MX"/>
        </w:rPr>
        <w:t>“</w:t>
      </w:r>
      <w:r w:rsidRPr="00587F54">
        <w:rPr>
          <w:rFonts w:cs="Arial"/>
          <w:sz w:val="24"/>
          <w:szCs w:val="24"/>
          <w:u w:val="single"/>
          <w:lang w:val="es-MX"/>
        </w:rPr>
        <w:t>no podían entrar ya que había dos hombres en el baño</w:t>
      </w:r>
      <w:r w:rsidR="000D2C5F" w:rsidRPr="00587F54">
        <w:rPr>
          <w:rFonts w:cs="Arial"/>
          <w:sz w:val="24"/>
          <w:szCs w:val="24"/>
          <w:u w:val="single"/>
          <w:lang w:val="es-MX"/>
        </w:rPr>
        <w:t>”</w:t>
      </w:r>
      <w:r w:rsidRPr="00587F54">
        <w:rPr>
          <w:rFonts w:cs="Arial"/>
          <w:sz w:val="24"/>
          <w:szCs w:val="24"/>
          <w:lang w:val="es-MX"/>
        </w:rPr>
        <w:t>. Durante todo el tiempo, el personal de seguridad se negó a identificarse y tuvo un trato indigno hacia las peticionarias.</w:t>
      </w:r>
    </w:p>
    <w:p w14:paraId="5740C4BF" w14:textId="5070EA3F" w:rsidR="00A0654C" w:rsidRPr="00587F54" w:rsidRDefault="00A7085D" w:rsidP="003B65AC">
      <w:pPr>
        <w:pStyle w:val="corte4fondo"/>
        <w:ind w:left="284" w:right="333" w:firstLine="0"/>
        <w:rPr>
          <w:rFonts w:cs="Arial"/>
          <w:sz w:val="24"/>
          <w:szCs w:val="24"/>
          <w:lang w:val="es-MX"/>
        </w:rPr>
      </w:pPr>
      <w:r w:rsidRPr="00587F54">
        <w:rPr>
          <w:rFonts w:cs="Arial"/>
          <w:sz w:val="24"/>
          <w:szCs w:val="24"/>
          <w:lang w:val="es-MX"/>
        </w:rPr>
        <w:t xml:space="preserve">Ante esto, una vez que se encontraron con </w:t>
      </w:r>
      <w:r w:rsidRPr="00587F54">
        <w:rPr>
          <w:rFonts w:cs="Arial"/>
          <w:color w:val="FF0000"/>
          <w:sz w:val="24"/>
          <w:szCs w:val="24"/>
          <w:lang w:val="es-MX"/>
        </w:rPr>
        <w:t xml:space="preserve">L </w:t>
      </w:r>
      <w:r w:rsidRPr="00587F54">
        <w:rPr>
          <w:rFonts w:cs="Arial"/>
          <w:sz w:val="24"/>
          <w:szCs w:val="24"/>
          <w:lang w:val="es-MX"/>
        </w:rPr>
        <w:t xml:space="preserve">y </w:t>
      </w:r>
      <w:r w:rsidRPr="00587F54">
        <w:rPr>
          <w:rFonts w:cs="Arial"/>
          <w:color w:val="FF0000"/>
          <w:sz w:val="24"/>
          <w:szCs w:val="24"/>
          <w:lang w:val="es-MX"/>
        </w:rPr>
        <w:t>R</w:t>
      </w:r>
      <w:r w:rsidRPr="00587F54">
        <w:rPr>
          <w:rFonts w:cs="Arial"/>
          <w:sz w:val="24"/>
          <w:szCs w:val="24"/>
          <w:lang w:val="es-MX"/>
        </w:rPr>
        <w:t xml:space="preserve">, </w:t>
      </w:r>
      <w:r w:rsidRPr="00587F54">
        <w:rPr>
          <w:rFonts w:cs="Arial"/>
          <w:color w:val="FF0000"/>
          <w:sz w:val="24"/>
          <w:szCs w:val="24"/>
          <w:lang w:val="es-MX"/>
        </w:rPr>
        <w:t xml:space="preserve">L </w:t>
      </w:r>
      <w:r w:rsidRPr="00587F54">
        <w:rPr>
          <w:rFonts w:cs="Arial"/>
          <w:sz w:val="24"/>
          <w:szCs w:val="24"/>
          <w:lang w:val="es-MX"/>
        </w:rPr>
        <w:t xml:space="preserve">acudió con una persona de seguridad para preguntar dónde presentar una queja, ya que nadie había querido informarles, indicándoles éste que acudieran a un módulo ubicado debajo de las escaleras. </w:t>
      </w:r>
      <w:r w:rsidRPr="00587F54">
        <w:rPr>
          <w:rFonts w:cs="Arial"/>
          <w:sz w:val="24"/>
          <w:szCs w:val="24"/>
          <w:u w:val="single"/>
          <w:lang w:val="es-MX"/>
        </w:rPr>
        <w:t xml:space="preserve">Cuando intentaron levantar la queja en la plaza comercial, la persona que se encontraba atendiendo tuvo una actitud indiferente y grosera con las peticionarias, inclusive les dio una hoja reciclada con la fotocopia de una credencial de elector para que escribieran su Queja, </w:t>
      </w:r>
      <w:r w:rsidRPr="00587F54">
        <w:rPr>
          <w:rFonts w:cs="Arial"/>
          <w:sz w:val="24"/>
          <w:szCs w:val="24"/>
          <w:lang w:val="es-MX"/>
        </w:rPr>
        <w:t xml:space="preserve">indicándoles que después ella la enviaría vía correo electrónico. Mientras </w:t>
      </w:r>
      <w:r w:rsidRPr="00587F54">
        <w:rPr>
          <w:rFonts w:cs="Arial"/>
          <w:color w:val="FF0000"/>
          <w:sz w:val="24"/>
          <w:szCs w:val="24"/>
          <w:lang w:val="es-MX"/>
        </w:rPr>
        <w:t xml:space="preserve">J </w:t>
      </w:r>
      <w:r w:rsidRPr="00587F54">
        <w:rPr>
          <w:rFonts w:cs="Arial"/>
          <w:sz w:val="24"/>
          <w:szCs w:val="24"/>
          <w:lang w:val="es-MX"/>
        </w:rPr>
        <w:t xml:space="preserve">y </w:t>
      </w:r>
      <w:r w:rsidRPr="00587F54">
        <w:rPr>
          <w:rFonts w:cs="Arial"/>
          <w:color w:val="FF0000"/>
          <w:sz w:val="24"/>
          <w:szCs w:val="24"/>
          <w:lang w:val="es-MX"/>
        </w:rPr>
        <w:t xml:space="preserve">A </w:t>
      </w:r>
      <w:r w:rsidRPr="00587F54">
        <w:rPr>
          <w:rFonts w:cs="Arial"/>
          <w:sz w:val="24"/>
          <w:szCs w:val="24"/>
          <w:lang w:val="es-MX"/>
        </w:rPr>
        <w:t xml:space="preserve">redactaban la queja, </w:t>
      </w:r>
      <w:r w:rsidRPr="00587F54">
        <w:rPr>
          <w:rFonts w:cs="Arial"/>
          <w:color w:val="FF0000"/>
          <w:sz w:val="24"/>
          <w:szCs w:val="24"/>
          <w:u w:val="single"/>
          <w:lang w:val="es-MX"/>
        </w:rPr>
        <w:t xml:space="preserve">L </w:t>
      </w:r>
      <w:r w:rsidRPr="00587F54">
        <w:rPr>
          <w:rFonts w:cs="Arial"/>
          <w:sz w:val="24"/>
          <w:szCs w:val="24"/>
          <w:u w:val="single"/>
          <w:lang w:val="es-MX"/>
        </w:rPr>
        <w:t xml:space="preserve">fue con el elemento de seguridad que se encontraba en la entrada a la plaza a preguntar el nombre de la empresa donde trabajaba, sin embargo, se negó y llamó a </w:t>
      </w:r>
      <w:r w:rsidR="00EA0950" w:rsidRPr="00587F54">
        <w:rPr>
          <w:rFonts w:cs="Arial"/>
          <w:sz w:val="24"/>
          <w:szCs w:val="24"/>
          <w:u w:val="single"/>
          <w:lang w:val="es-MX"/>
        </w:rPr>
        <w:t>“</w:t>
      </w:r>
      <w:r w:rsidRPr="00587F54">
        <w:rPr>
          <w:rFonts w:cs="Arial"/>
          <w:sz w:val="24"/>
          <w:szCs w:val="24"/>
          <w:u w:val="single"/>
          <w:lang w:val="es-MX"/>
        </w:rPr>
        <w:t>administración</w:t>
      </w:r>
      <w:r w:rsidR="00EA0950" w:rsidRPr="00587F54">
        <w:rPr>
          <w:rFonts w:cs="Arial"/>
          <w:sz w:val="24"/>
          <w:szCs w:val="24"/>
          <w:u w:val="single"/>
          <w:lang w:val="es-MX"/>
        </w:rPr>
        <w:t>”</w:t>
      </w:r>
      <w:r w:rsidRPr="00587F54">
        <w:rPr>
          <w:rFonts w:cs="Arial"/>
          <w:sz w:val="24"/>
          <w:szCs w:val="24"/>
          <w:u w:val="single"/>
          <w:lang w:val="es-MX"/>
        </w:rPr>
        <w:t xml:space="preserve"> </w:t>
      </w:r>
      <w:r w:rsidRPr="00587F54">
        <w:rPr>
          <w:rFonts w:cs="Arial"/>
          <w:sz w:val="24"/>
          <w:szCs w:val="24"/>
          <w:lang w:val="es-MX"/>
        </w:rPr>
        <w:t>mencionando que les prohibieron tomar fotografías en el lugar, por lo que decidieron salir de la Plaza sin poder escribir la Queja.</w:t>
      </w:r>
    </w:p>
    <w:p w14:paraId="27426251" w14:textId="42CD89B1" w:rsidR="00DF736F" w:rsidRPr="00AD0E6E" w:rsidRDefault="00DF736F" w:rsidP="00DF736F">
      <w:pPr>
        <w:pStyle w:val="corte4fondo"/>
        <w:ind w:left="284" w:right="333" w:firstLine="0"/>
        <w:jc w:val="right"/>
        <w:rPr>
          <w:rFonts w:cs="Arial"/>
          <w:sz w:val="24"/>
          <w:szCs w:val="24"/>
          <w:lang w:val="es-MX"/>
        </w:rPr>
      </w:pPr>
      <w:r w:rsidRPr="00AD0E6E">
        <w:rPr>
          <w:rFonts w:cs="Arial"/>
          <w:sz w:val="24"/>
          <w:szCs w:val="24"/>
          <w:lang w:val="es-MX"/>
        </w:rPr>
        <w:t>(Énfasis añadido)</w:t>
      </w:r>
    </w:p>
    <w:p w14:paraId="706EE56D" w14:textId="77777777" w:rsidR="00A0654C" w:rsidRPr="00AD0E6E" w:rsidRDefault="00A0654C" w:rsidP="00070BFC">
      <w:pPr>
        <w:pStyle w:val="corte4fondo"/>
        <w:ind w:right="51" w:firstLine="0"/>
        <w:rPr>
          <w:rFonts w:cs="Arial"/>
          <w:sz w:val="26"/>
          <w:szCs w:val="26"/>
        </w:rPr>
      </w:pPr>
    </w:p>
    <w:p w14:paraId="6782EEEF" w14:textId="69F33BC0" w:rsidR="00B243F7" w:rsidRPr="00AD0E6E" w:rsidRDefault="00B243F7" w:rsidP="00E6421D">
      <w:pPr>
        <w:pStyle w:val="corte4fondo"/>
        <w:numPr>
          <w:ilvl w:val="0"/>
          <w:numId w:val="2"/>
        </w:numPr>
        <w:ind w:left="0" w:right="51" w:hanging="567"/>
        <w:rPr>
          <w:rFonts w:cs="Arial"/>
          <w:sz w:val="26"/>
          <w:szCs w:val="26"/>
        </w:rPr>
      </w:pPr>
      <w:r w:rsidRPr="00AD0E6E">
        <w:rPr>
          <w:rFonts w:cs="Arial"/>
          <w:sz w:val="26"/>
          <w:szCs w:val="26"/>
        </w:rPr>
        <w:t xml:space="preserve">Finalmente, de la audiencia de conciliación celebrada ante el COPRED se advierte que las señoras manifestaron </w:t>
      </w:r>
      <w:r w:rsidR="00B3197B" w:rsidRPr="00AD0E6E">
        <w:rPr>
          <w:rFonts w:cs="Arial"/>
          <w:sz w:val="26"/>
          <w:szCs w:val="26"/>
        </w:rPr>
        <w:t>lo siguiente a las empresas</w:t>
      </w:r>
      <w:r w:rsidR="00B3197B" w:rsidRPr="00AD0E6E">
        <w:rPr>
          <w:rStyle w:val="Refdenotaalpie"/>
          <w:rFonts w:cs="Arial"/>
          <w:sz w:val="26"/>
          <w:szCs w:val="26"/>
        </w:rPr>
        <w:footnoteReference w:id="65"/>
      </w:r>
      <w:r w:rsidR="00B3197B" w:rsidRPr="00AD0E6E">
        <w:rPr>
          <w:rFonts w:cs="Arial"/>
          <w:sz w:val="26"/>
          <w:szCs w:val="26"/>
        </w:rPr>
        <w:t xml:space="preserve">: </w:t>
      </w:r>
    </w:p>
    <w:p w14:paraId="093B183E" w14:textId="3CE52962" w:rsidR="00B429EC" w:rsidRPr="00AD0E6E" w:rsidRDefault="00B429EC" w:rsidP="00B92527">
      <w:pPr>
        <w:pStyle w:val="corte4fondo"/>
        <w:spacing w:before="240"/>
        <w:ind w:left="284" w:right="333" w:firstLine="0"/>
        <w:rPr>
          <w:rFonts w:cs="Arial"/>
          <w:sz w:val="24"/>
          <w:szCs w:val="24"/>
          <w:lang w:val="es-MX"/>
        </w:rPr>
      </w:pPr>
      <w:r w:rsidRPr="00AD0E6E">
        <w:rPr>
          <w:rFonts w:cs="Arial"/>
          <w:sz w:val="24"/>
          <w:szCs w:val="24"/>
          <w:lang w:val="es-MX"/>
        </w:rPr>
        <w:t>En uso de la palabra la peticionaria</w:t>
      </w:r>
      <w:r w:rsidRPr="00AD0E6E">
        <w:rPr>
          <w:rFonts w:cs="Arial"/>
          <w:color w:val="FF0000"/>
          <w:sz w:val="24"/>
          <w:szCs w:val="24"/>
          <w:lang w:val="es-MX"/>
        </w:rPr>
        <w:t xml:space="preserve"> JMDF</w:t>
      </w:r>
      <w:r w:rsidRPr="00AD0E6E">
        <w:rPr>
          <w:rFonts w:cs="Arial"/>
          <w:sz w:val="24"/>
          <w:szCs w:val="24"/>
          <w:lang w:val="es-MX"/>
        </w:rPr>
        <w:t xml:space="preserve">, manifiesta que realmente el acto de discriminación como tal lo percibieron porque realmente violentaron su identidad de género sin tomar en cuenta su identidad, ya que algo tan privado como el uso de los sanitarios se vuelve un martirio. Refirió que nunca les había pasado algo similar en otro lugar. Por ejemplo, </w:t>
      </w:r>
      <w:r w:rsidRPr="00AD0E6E">
        <w:rPr>
          <w:rFonts w:cs="Arial"/>
          <w:sz w:val="24"/>
          <w:szCs w:val="24"/>
          <w:u w:val="single"/>
          <w:lang w:val="es-MX"/>
        </w:rPr>
        <w:t>el hecho de pedirles la credencial para ingresar al baño resultó degradante para su identidad de género y su libertad, incluso de auto adscripción, ya que les generó miedo al sentirse exhibidas</w:t>
      </w:r>
      <w:r w:rsidRPr="00AD0E6E">
        <w:rPr>
          <w:rFonts w:cs="Arial"/>
          <w:sz w:val="24"/>
          <w:szCs w:val="24"/>
          <w:lang w:val="es-MX"/>
        </w:rPr>
        <w:t xml:space="preserve">. Al salir acudieron </w:t>
      </w:r>
      <w:r w:rsidRPr="00453D61">
        <w:rPr>
          <w:rFonts w:cs="Arial"/>
          <w:sz w:val="24"/>
          <w:szCs w:val="24"/>
          <w:lang w:val="es-MX"/>
        </w:rPr>
        <w:t xml:space="preserve">a AHF de México, para </w:t>
      </w:r>
      <w:r w:rsidRPr="00AD0E6E">
        <w:rPr>
          <w:rFonts w:cs="Arial"/>
          <w:sz w:val="24"/>
          <w:szCs w:val="24"/>
          <w:lang w:val="es-MX"/>
        </w:rPr>
        <w:t>que les brindaran contención, lugar donde a través de un documento se señala su estado anímico posterior a lo sucedido. Acto seguido realiza la lectura de dicho documento.</w:t>
      </w:r>
    </w:p>
    <w:p w14:paraId="7DE48F48" w14:textId="7045CDA6" w:rsidR="00B429EC" w:rsidRPr="00AD0E6E" w:rsidRDefault="00B429EC" w:rsidP="00C224F9">
      <w:pPr>
        <w:pStyle w:val="corte4fondo"/>
        <w:ind w:left="284" w:right="333" w:firstLine="0"/>
        <w:rPr>
          <w:rFonts w:cs="Arial"/>
          <w:sz w:val="24"/>
          <w:szCs w:val="24"/>
          <w:lang w:val="es-MX"/>
        </w:rPr>
      </w:pPr>
      <w:r w:rsidRPr="00AD0E6E">
        <w:rPr>
          <w:rFonts w:cs="Arial"/>
          <w:sz w:val="24"/>
          <w:szCs w:val="24"/>
          <w:lang w:val="es-MX"/>
        </w:rPr>
        <w:lastRenderedPageBreak/>
        <w:t xml:space="preserve">En uso de la palabra la peticionaria </w:t>
      </w:r>
      <w:r w:rsidRPr="00AD0E6E">
        <w:rPr>
          <w:rFonts w:cs="Arial"/>
          <w:color w:val="FF0000"/>
          <w:sz w:val="24"/>
          <w:szCs w:val="24"/>
          <w:lang w:val="es-MX"/>
        </w:rPr>
        <w:t>AMF</w:t>
      </w:r>
      <w:r w:rsidRPr="00AD0E6E">
        <w:rPr>
          <w:rFonts w:cs="Arial"/>
          <w:sz w:val="24"/>
          <w:szCs w:val="24"/>
          <w:lang w:val="es-MX"/>
        </w:rPr>
        <w:t xml:space="preserve">, refirió que todo lo que se narra en los hechos en su mayoría sí </w:t>
      </w:r>
      <w:r w:rsidR="00062B6F" w:rsidRPr="00AD0E6E">
        <w:rPr>
          <w:rFonts w:cs="Arial"/>
          <w:sz w:val="24"/>
          <w:szCs w:val="24"/>
          <w:lang w:val="es-MX"/>
        </w:rPr>
        <w:t>pasaron,</w:t>
      </w:r>
      <w:r w:rsidRPr="00AD0E6E">
        <w:rPr>
          <w:rFonts w:cs="Arial"/>
          <w:sz w:val="24"/>
          <w:szCs w:val="24"/>
          <w:lang w:val="es-MX"/>
        </w:rPr>
        <w:t xml:space="preserve"> pero sucedieron otras cosas, por ejemplo, el hecho de que </w:t>
      </w:r>
      <w:r w:rsidRPr="00AD0E6E">
        <w:rPr>
          <w:rFonts w:cs="Arial"/>
          <w:color w:val="FF0000"/>
          <w:sz w:val="24"/>
          <w:szCs w:val="24"/>
          <w:u w:val="single"/>
          <w:lang w:val="es-MX"/>
        </w:rPr>
        <w:t xml:space="preserve">R </w:t>
      </w:r>
      <w:r w:rsidRPr="00AD0E6E">
        <w:rPr>
          <w:rFonts w:cs="Arial"/>
          <w:sz w:val="24"/>
          <w:szCs w:val="24"/>
          <w:u w:val="single"/>
          <w:lang w:val="es-MX"/>
        </w:rPr>
        <w:t xml:space="preserve">(un compañero de trabajo en un programa de radio y que es camarógrafo) quiso el grabar lo sucedido y les mencionaron que si querían hacerlo, sería en privado tras una puerta que decía </w:t>
      </w:r>
      <w:r w:rsidR="0096530F" w:rsidRPr="00AD0E6E">
        <w:rPr>
          <w:rFonts w:cs="Arial"/>
          <w:sz w:val="24"/>
          <w:szCs w:val="24"/>
          <w:u w:val="single"/>
          <w:lang w:val="es-MX"/>
        </w:rPr>
        <w:t>“</w:t>
      </w:r>
      <w:r w:rsidRPr="00AD0E6E">
        <w:rPr>
          <w:rFonts w:cs="Arial"/>
          <w:sz w:val="24"/>
          <w:szCs w:val="24"/>
          <w:u w:val="single"/>
          <w:lang w:val="es-MX"/>
        </w:rPr>
        <w:t>Personal Autorizado”, a lo que no estuvieron de acuerdo.</w:t>
      </w:r>
      <w:r w:rsidRPr="00AD0E6E">
        <w:rPr>
          <w:rFonts w:cs="Arial"/>
          <w:sz w:val="24"/>
          <w:szCs w:val="24"/>
          <w:lang w:val="es-MX"/>
        </w:rPr>
        <w:t xml:space="preserve"> Otra cosa importante es la </w:t>
      </w:r>
      <w:r w:rsidRPr="00AD0E6E">
        <w:rPr>
          <w:rFonts w:cs="Arial"/>
          <w:sz w:val="24"/>
          <w:szCs w:val="24"/>
          <w:u w:val="single"/>
          <w:lang w:val="es-MX"/>
        </w:rPr>
        <w:t>exclusión humillante, ya que las dejaron hasta el fondo del sanitario con una fila de mujeres afuera esperando a que ellas salieran</w:t>
      </w:r>
      <w:r w:rsidRPr="00AD0E6E">
        <w:rPr>
          <w:rFonts w:cs="Arial"/>
          <w:sz w:val="24"/>
          <w:szCs w:val="24"/>
          <w:lang w:val="es-MX"/>
        </w:rPr>
        <w:t xml:space="preserve">. Al salir, directamente </w:t>
      </w:r>
      <w:r w:rsidRPr="00AD0E6E">
        <w:rPr>
          <w:rFonts w:cs="Arial"/>
          <w:sz w:val="24"/>
          <w:szCs w:val="24"/>
          <w:u w:val="single"/>
          <w:lang w:val="es-MX"/>
        </w:rPr>
        <w:t>fueron con el personal de seguridad, quien no les quiso dar información alguna, donde no recibieron un trato digno y al bajar las escaleras, cuando decidieron salir de la plaza</w:t>
      </w:r>
      <w:r w:rsidRPr="00AD0E6E">
        <w:rPr>
          <w:rFonts w:cs="Arial"/>
          <w:sz w:val="24"/>
          <w:szCs w:val="24"/>
          <w:lang w:val="es-MX"/>
        </w:rPr>
        <w:t xml:space="preserve">, toda la gente les gritaba cosas como </w:t>
      </w:r>
      <w:r w:rsidR="0096530F" w:rsidRPr="00AD0E6E">
        <w:rPr>
          <w:rFonts w:cs="Arial"/>
          <w:sz w:val="24"/>
          <w:szCs w:val="24"/>
          <w:lang w:val="es-MX"/>
        </w:rPr>
        <w:t>“</w:t>
      </w:r>
      <w:r w:rsidRPr="00AD0E6E">
        <w:rPr>
          <w:rFonts w:cs="Arial"/>
          <w:sz w:val="24"/>
          <w:szCs w:val="24"/>
          <w:lang w:val="es-MX"/>
        </w:rPr>
        <w:t>lero lero no los dejaron entrar</w:t>
      </w:r>
      <w:r w:rsidR="0096530F" w:rsidRPr="00AD0E6E">
        <w:rPr>
          <w:rFonts w:cs="Arial"/>
          <w:sz w:val="24"/>
          <w:szCs w:val="24"/>
          <w:lang w:val="es-MX"/>
        </w:rPr>
        <w:t>”</w:t>
      </w:r>
      <w:r w:rsidRPr="00AD0E6E">
        <w:rPr>
          <w:rFonts w:cs="Arial"/>
          <w:sz w:val="24"/>
          <w:szCs w:val="24"/>
          <w:lang w:val="es-MX"/>
        </w:rPr>
        <w:t xml:space="preserve"> en tono burlesco.</w:t>
      </w:r>
    </w:p>
    <w:p w14:paraId="4459B08C" w14:textId="738453F6" w:rsidR="00B429EC" w:rsidRPr="00AD0E6E" w:rsidRDefault="00B429EC" w:rsidP="00C224F9">
      <w:pPr>
        <w:pStyle w:val="corte4fondo"/>
        <w:ind w:left="284" w:right="333" w:firstLine="0"/>
        <w:rPr>
          <w:rFonts w:cs="Arial"/>
          <w:sz w:val="24"/>
          <w:szCs w:val="24"/>
          <w:lang w:val="es-MX"/>
        </w:rPr>
      </w:pPr>
      <w:r w:rsidRPr="00AD0E6E">
        <w:rPr>
          <w:rFonts w:cs="Arial"/>
          <w:sz w:val="24"/>
          <w:szCs w:val="24"/>
          <w:lang w:val="es-MX"/>
        </w:rPr>
        <w:t xml:space="preserve">En uso de la palabra la peticionaria </w:t>
      </w:r>
      <w:r w:rsidRPr="00AD0E6E">
        <w:rPr>
          <w:rFonts w:cs="Arial"/>
          <w:color w:val="FF0000"/>
          <w:sz w:val="24"/>
          <w:szCs w:val="24"/>
          <w:lang w:val="es-MX"/>
        </w:rPr>
        <w:t>L</w:t>
      </w:r>
      <w:r w:rsidR="00C7589F">
        <w:rPr>
          <w:rFonts w:cs="Arial"/>
          <w:color w:val="FF0000"/>
          <w:sz w:val="24"/>
          <w:szCs w:val="24"/>
          <w:lang w:val="es-MX"/>
        </w:rPr>
        <w:t>N</w:t>
      </w:r>
      <w:r w:rsidRPr="00AD0E6E">
        <w:rPr>
          <w:rFonts w:cs="Arial"/>
          <w:color w:val="FF0000"/>
          <w:sz w:val="24"/>
          <w:szCs w:val="24"/>
          <w:lang w:val="es-MX"/>
        </w:rPr>
        <w:t>GB</w:t>
      </w:r>
      <w:r w:rsidRPr="00AD0E6E">
        <w:rPr>
          <w:rFonts w:cs="Arial"/>
          <w:sz w:val="24"/>
          <w:szCs w:val="24"/>
          <w:lang w:val="es-MX"/>
        </w:rPr>
        <w:t xml:space="preserve">, refirió que: agradece </w:t>
      </w:r>
      <w:r w:rsidR="005655D2" w:rsidRPr="00AD0E6E">
        <w:rPr>
          <w:rFonts w:cs="Arial"/>
          <w:sz w:val="24"/>
          <w:szCs w:val="24"/>
          <w:lang w:val="es-MX"/>
        </w:rPr>
        <w:t>y celebra</w:t>
      </w:r>
      <w:r w:rsidRPr="00AD0E6E">
        <w:rPr>
          <w:rFonts w:cs="Arial"/>
          <w:sz w:val="24"/>
          <w:szCs w:val="24"/>
          <w:lang w:val="es-MX"/>
        </w:rPr>
        <w:t xml:space="preserve"> la asistencia de las partes, menciona </w:t>
      </w:r>
      <w:r w:rsidR="002B17E7" w:rsidRPr="00AD0E6E">
        <w:rPr>
          <w:rFonts w:cs="Arial"/>
          <w:sz w:val="24"/>
          <w:szCs w:val="24"/>
          <w:lang w:val="es-MX"/>
        </w:rPr>
        <w:t>que,</w:t>
      </w:r>
      <w:r w:rsidRPr="00AD0E6E">
        <w:rPr>
          <w:rFonts w:cs="Arial"/>
          <w:sz w:val="24"/>
          <w:szCs w:val="24"/>
          <w:lang w:val="es-MX"/>
        </w:rPr>
        <w:t xml:space="preserve"> siendo usuaria del lugar, le gustaría que se garantizara su seguridad en la misma ya que son lugares que frecuenta constantemente. Menciona que ella no estuvo en lo sucedido en los </w:t>
      </w:r>
      <w:r w:rsidR="002B17E7" w:rsidRPr="00AD0E6E">
        <w:rPr>
          <w:rFonts w:cs="Arial"/>
          <w:sz w:val="24"/>
          <w:szCs w:val="24"/>
          <w:lang w:val="es-MX"/>
        </w:rPr>
        <w:t>sanitarios,</w:t>
      </w:r>
      <w:r w:rsidRPr="00AD0E6E">
        <w:rPr>
          <w:rFonts w:cs="Arial"/>
          <w:sz w:val="24"/>
          <w:szCs w:val="24"/>
          <w:lang w:val="es-MX"/>
        </w:rPr>
        <w:t xml:space="preserve"> pero </w:t>
      </w:r>
      <w:r w:rsidRPr="00AD0E6E">
        <w:rPr>
          <w:rFonts w:cs="Arial"/>
          <w:sz w:val="24"/>
          <w:szCs w:val="24"/>
          <w:u w:val="single"/>
          <w:lang w:val="es-MX"/>
        </w:rPr>
        <w:t>sí en los hechos narrados en el módulo de información donde se negó a escribir la queja en la parte trasera del documento</w:t>
      </w:r>
      <w:r w:rsidR="00C224F9" w:rsidRPr="00AD0E6E">
        <w:rPr>
          <w:rFonts w:cs="Arial"/>
          <w:sz w:val="24"/>
          <w:szCs w:val="24"/>
          <w:u w:val="single"/>
          <w:lang w:val="es-MX"/>
        </w:rPr>
        <w:t xml:space="preserve"> que le dieron para ello, toda vez que eran copias de credencial de elector de personas que no conocía</w:t>
      </w:r>
      <w:r w:rsidR="00C224F9" w:rsidRPr="00AD0E6E">
        <w:rPr>
          <w:rFonts w:cs="Arial"/>
          <w:sz w:val="24"/>
          <w:szCs w:val="24"/>
          <w:lang w:val="es-MX"/>
        </w:rPr>
        <w:t>. Reitera que no se siente segura en la plaza y ha dejado de asistir a ella.</w:t>
      </w:r>
    </w:p>
    <w:p w14:paraId="033CDBCE" w14:textId="77777777" w:rsidR="005655D2" w:rsidRPr="00AD0E6E" w:rsidRDefault="005655D2" w:rsidP="005655D2">
      <w:pPr>
        <w:pStyle w:val="corte4fondo"/>
        <w:ind w:left="284" w:right="333" w:firstLine="0"/>
        <w:jc w:val="right"/>
        <w:rPr>
          <w:rFonts w:cs="Arial"/>
          <w:sz w:val="24"/>
          <w:szCs w:val="24"/>
          <w:lang w:val="es-MX"/>
        </w:rPr>
      </w:pPr>
      <w:r w:rsidRPr="00AD0E6E">
        <w:rPr>
          <w:rFonts w:cs="Arial"/>
          <w:sz w:val="24"/>
          <w:szCs w:val="24"/>
          <w:lang w:val="es-MX"/>
        </w:rPr>
        <w:t>(Énfasis añadido)</w:t>
      </w:r>
    </w:p>
    <w:p w14:paraId="22989BE8" w14:textId="77777777" w:rsidR="00B3197B" w:rsidRPr="00AD0E6E" w:rsidRDefault="00B3197B" w:rsidP="00B3197B">
      <w:pPr>
        <w:pStyle w:val="corte4fondo"/>
        <w:ind w:right="51" w:firstLine="0"/>
        <w:rPr>
          <w:rFonts w:cs="Arial"/>
          <w:sz w:val="26"/>
          <w:szCs w:val="26"/>
        </w:rPr>
      </w:pPr>
    </w:p>
    <w:p w14:paraId="5C759076" w14:textId="18374308" w:rsidR="00B01CB4" w:rsidRPr="003F6B95" w:rsidRDefault="00976F58" w:rsidP="00E6421D">
      <w:pPr>
        <w:pStyle w:val="corte4fondo"/>
        <w:numPr>
          <w:ilvl w:val="0"/>
          <w:numId w:val="2"/>
        </w:numPr>
        <w:ind w:left="0" w:right="51" w:hanging="567"/>
        <w:rPr>
          <w:rFonts w:cs="Arial"/>
          <w:sz w:val="26"/>
          <w:szCs w:val="26"/>
        </w:rPr>
      </w:pPr>
      <w:r w:rsidRPr="00AD0E6E">
        <w:rPr>
          <w:rFonts w:cs="Arial"/>
          <w:sz w:val="26"/>
          <w:szCs w:val="26"/>
        </w:rPr>
        <w:t xml:space="preserve">En </w:t>
      </w:r>
      <w:r w:rsidRPr="00AD0E6E">
        <w:rPr>
          <w:rFonts w:cs="Arial"/>
          <w:sz w:val="26"/>
          <w:szCs w:val="26"/>
          <w:lang w:val="es-MX"/>
        </w:rPr>
        <w:t>adición</w:t>
      </w:r>
      <w:r w:rsidRPr="00AD0E6E">
        <w:rPr>
          <w:rFonts w:cs="Arial"/>
          <w:sz w:val="26"/>
          <w:szCs w:val="26"/>
        </w:rPr>
        <w:t xml:space="preserve"> a lo anterior</w:t>
      </w:r>
      <w:r w:rsidR="00D76D1F" w:rsidRPr="00AD0E6E">
        <w:rPr>
          <w:rFonts w:cs="Arial"/>
          <w:sz w:val="26"/>
          <w:szCs w:val="26"/>
        </w:rPr>
        <w:t>, esta Sala destaca el</w:t>
      </w:r>
      <w:r w:rsidR="002706A2" w:rsidRPr="00AD0E6E">
        <w:rPr>
          <w:rFonts w:cs="Arial"/>
          <w:sz w:val="26"/>
          <w:szCs w:val="26"/>
        </w:rPr>
        <w:t xml:space="preserve"> testimonio </w:t>
      </w:r>
      <w:r w:rsidR="00B01CB4" w:rsidRPr="00AD0E6E">
        <w:rPr>
          <w:rFonts w:cs="Arial"/>
          <w:sz w:val="26"/>
          <w:szCs w:val="26"/>
        </w:rPr>
        <w:t>de</w:t>
      </w:r>
      <w:r w:rsidR="00B01CB4" w:rsidRPr="00AD0E6E">
        <w:rPr>
          <w:rFonts w:cs="Arial"/>
          <w:color w:val="FF0000"/>
          <w:sz w:val="26"/>
          <w:szCs w:val="26"/>
        </w:rPr>
        <w:t xml:space="preserve"> RJBB</w:t>
      </w:r>
      <w:r w:rsidR="002706A2" w:rsidRPr="00AD0E6E">
        <w:rPr>
          <w:rFonts w:cs="Arial"/>
          <w:color w:val="000000" w:themeColor="text1"/>
          <w:sz w:val="26"/>
          <w:szCs w:val="26"/>
        </w:rPr>
        <w:t xml:space="preserve">. En su </w:t>
      </w:r>
      <w:r w:rsidR="002706A2" w:rsidRPr="00AD0E6E">
        <w:rPr>
          <w:rFonts w:cs="Arial"/>
          <w:sz w:val="26"/>
          <w:szCs w:val="26"/>
        </w:rPr>
        <w:t xml:space="preserve">declaración, </w:t>
      </w:r>
      <w:r w:rsidR="00B01CB4" w:rsidRPr="00AD0E6E">
        <w:rPr>
          <w:rFonts w:cs="Arial"/>
          <w:sz w:val="26"/>
          <w:szCs w:val="26"/>
        </w:rPr>
        <w:t xml:space="preserve">el testigo </w:t>
      </w:r>
      <w:r w:rsidR="002706A2" w:rsidRPr="00AD0E6E">
        <w:rPr>
          <w:rFonts w:cs="Arial"/>
          <w:sz w:val="26"/>
          <w:szCs w:val="26"/>
        </w:rPr>
        <w:t xml:space="preserve">sostuvo </w:t>
      </w:r>
      <w:r w:rsidR="00B01CB4" w:rsidRPr="00AD0E6E">
        <w:rPr>
          <w:rFonts w:cs="Arial"/>
          <w:sz w:val="26"/>
          <w:szCs w:val="26"/>
        </w:rPr>
        <w:t>que</w:t>
      </w:r>
      <w:r w:rsidR="00767FF0" w:rsidRPr="00AD0E6E">
        <w:rPr>
          <w:rFonts w:cs="Arial"/>
          <w:sz w:val="26"/>
          <w:szCs w:val="26"/>
        </w:rPr>
        <w:t xml:space="preserve"> </w:t>
      </w:r>
      <w:r w:rsidR="002F0CDE" w:rsidRPr="00AD0E6E">
        <w:rPr>
          <w:rFonts w:cs="Arial"/>
          <w:sz w:val="26"/>
          <w:szCs w:val="26"/>
        </w:rPr>
        <w:t>estaba</w:t>
      </w:r>
      <w:r w:rsidR="002248F1" w:rsidRPr="00AD0E6E">
        <w:rPr>
          <w:rFonts w:cs="Arial"/>
          <w:sz w:val="26"/>
          <w:szCs w:val="26"/>
        </w:rPr>
        <w:t xml:space="preserve"> </w:t>
      </w:r>
      <w:r w:rsidR="002F0CDE" w:rsidRPr="00AD0E6E">
        <w:rPr>
          <w:rFonts w:cs="Arial"/>
          <w:sz w:val="26"/>
          <w:szCs w:val="26"/>
        </w:rPr>
        <w:t>“en</w:t>
      </w:r>
      <w:r w:rsidR="002F0CDE" w:rsidRPr="003F6B95">
        <w:rPr>
          <w:rFonts w:cs="Arial"/>
          <w:sz w:val="26"/>
          <w:szCs w:val="26"/>
        </w:rPr>
        <w:t xml:space="preserve"> el Centro de Atención a </w:t>
      </w:r>
      <w:r w:rsidR="002F0CDE" w:rsidRPr="00453D61">
        <w:rPr>
          <w:rFonts w:cs="Arial"/>
          <w:sz w:val="26"/>
          <w:szCs w:val="26"/>
        </w:rPr>
        <w:t>Clientes Telcel,</w:t>
      </w:r>
      <w:r w:rsidR="002248F1" w:rsidRPr="00453D61">
        <w:rPr>
          <w:rFonts w:cs="Arial"/>
          <w:sz w:val="26"/>
          <w:szCs w:val="26"/>
        </w:rPr>
        <w:t xml:space="preserve"> </w:t>
      </w:r>
      <w:r w:rsidR="00FB2CF9" w:rsidRPr="00453D61">
        <w:rPr>
          <w:rFonts w:cs="Arial"/>
          <w:sz w:val="26"/>
          <w:szCs w:val="26"/>
        </w:rPr>
        <w:t>que se encuentra en la plaza Reforma 222, cuando r</w:t>
      </w:r>
      <w:r w:rsidR="00FB2CF9" w:rsidRPr="003F6B95">
        <w:rPr>
          <w:rFonts w:cs="Arial"/>
          <w:sz w:val="26"/>
          <w:szCs w:val="26"/>
        </w:rPr>
        <w:t xml:space="preserve">ecibo una llamada de </w:t>
      </w:r>
      <w:r w:rsidR="00FB2CF9" w:rsidRPr="003F6B95">
        <w:rPr>
          <w:rFonts w:cs="Arial"/>
          <w:color w:val="FF0000"/>
          <w:sz w:val="26"/>
          <w:szCs w:val="26"/>
        </w:rPr>
        <w:t>J</w:t>
      </w:r>
      <w:r w:rsidR="00FB2CF9" w:rsidRPr="003F6B95">
        <w:rPr>
          <w:rFonts w:cs="Arial"/>
          <w:sz w:val="26"/>
          <w:szCs w:val="26"/>
        </w:rPr>
        <w:t xml:space="preserve">, y se escuchaba alterada, porque no les permitían hacer uso del baño de mujeres a </w:t>
      </w:r>
      <w:r w:rsidR="00FB2CF9" w:rsidRPr="003F6B95">
        <w:rPr>
          <w:rFonts w:cs="Arial"/>
          <w:color w:val="FF0000"/>
          <w:sz w:val="26"/>
          <w:szCs w:val="26"/>
        </w:rPr>
        <w:t xml:space="preserve">J </w:t>
      </w:r>
      <w:r w:rsidR="00FB2CF9" w:rsidRPr="003F6B95">
        <w:rPr>
          <w:rFonts w:cs="Arial"/>
          <w:sz w:val="26"/>
          <w:szCs w:val="26"/>
        </w:rPr>
        <w:t xml:space="preserve">y </w:t>
      </w:r>
      <w:r w:rsidR="00FB2CF9" w:rsidRPr="003F6B95">
        <w:rPr>
          <w:rFonts w:cs="Arial"/>
          <w:color w:val="FF0000"/>
          <w:sz w:val="26"/>
          <w:szCs w:val="26"/>
        </w:rPr>
        <w:t>AMF</w:t>
      </w:r>
      <w:r w:rsidR="00FB2CF9" w:rsidRPr="003F6B95">
        <w:rPr>
          <w:rFonts w:cs="Arial"/>
          <w:sz w:val="26"/>
          <w:szCs w:val="26"/>
        </w:rPr>
        <w:t xml:space="preserve">, </w:t>
      </w:r>
      <w:r w:rsidR="00FB2CF9" w:rsidRPr="00B50D84">
        <w:rPr>
          <w:rFonts w:cs="Arial"/>
          <w:sz w:val="26"/>
          <w:szCs w:val="26"/>
        </w:rPr>
        <w:t>y que me presentara en el baño con mi</w:t>
      </w:r>
      <w:r w:rsidR="00BE1CEE" w:rsidRPr="00B50D84">
        <w:rPr>
          <w:rFonts w:cs="Arial"/>
          <w:sz w:val="26"/>
          <w:szCs w:val="26"/>
        </w:rPr>
        <w:t xml:space="preserve"> </w:t>
      </w:r>
      <w:r w:rsidR="00FB2CF9" w:rsidRPr="00B50D84">
        <w:rPr>
          <w:rFonts w:cs="Arial"/>
          <w:sz w:val="26"/>
          <w:szCs w:val="26"/>
        </w:rPr>
        <w:t xml:space="preserve">cámara, esperando a </w:t>
      </w:r>
      <w:r w:rsidR="00B50D84" w:rsidRPr="00B50D84">
        <w:rPr>
          <w:rFonts w:cs="Arial"/>
          <w:sz w:val="26"/>
          <w:szCs w:val="26"/>
        </w:rPr>
        <w:t xml:space="preserve">que </w:t>
      </w:r>
      <w:r w:rsidR="00FB2CF9" w:rsidRPr="00B50D84">
        <w:rPr>
          <w:rFonts w:cs="Arial"/>
          <w:sz w:val="26"/>
          <w:szCs w:val="26"/>
        </w:rPr>
        <w:t>ellas salieran</w:t>
      </w:r>
      <w:r w:rsidR="00FB2CF9" w:rsidRPr="003F6B95">
        <w:rPr>
          <w:rFonts w:cs="Arial"/>
          <w:sz w:val="26"/>
          <w:szCs w:val="26"/>
        </w:rPr>
        <w:t xml:space="preserve"> para grabar cuando salieran del baño, </w:t>
      </w:r>
      <w:r w:rsidR="00ED3918" w:rsidRPr="003F6B95">
        <w:rPr>
          <w:rFonts w:cs="Arial"/>
          <w:sz w:val="26"/>
          <w:szCs w:val="26"/>
        </w:rPr>
        <w:t xml:space="preserve">y ahí me senté en el área de comidas, esperando a que salieran del baño, </w:t>
      </w:r>
      <w:r w:rsidR="00FB2CF9" w:rsidRPr="003F6B95">
        <w:rPr>
          <w:rFonts w:cs="Arial"/>
          <w:sz w:val="26"/>
          <w:szCs w:val="26"/>
        </w:rPr>
        <w:t>y vi que los de seguridad de dicho centro, no permitían entrar a mujeres al baño, diciéndoles que había dos hombres en el baño, negándoles así su identidad como mujeres trans</w:t>
      </w:r>
      <w:r w:rsidR="002F0CDE" w:rsidRPr="003F6B95">
        <w:rPr>
          <w:rFonts w:cs="Arial"/>
          <w:sz w:val="26"/>
          <w:szCs w:val="26"/>
        </w:rPr>
        <w:t>”</w:t>
      </w:r>
      <w:r w:rsidR="00FB2CF9" w:rsidRPr="003F6B95">
        <w:rPr>
          <w:rFonts w:cs="Arial"/>
          <w:sz w:val="26"/>
          <w:szCs w:val="26"/>
        </w:rPr>
        <w:t>. El testigo añadió que “</w:t>
      </w:r>
      <w:r w:rsidR="00460134" w:rsidRPr="003F6B95">
        <w:rPr>
          <w:rFonts w:cs="Arial"/>
          <w:sz w:val="26"/>
          <w:szCs w:val="26"/>
        </w:rPr>
        <w:t>sabe y le consta que sus rep</w:t>
      </w:r>
      <w:r w:rsidR="00CD69D8" w:rsidRPr="003F6B95">
        <w:rPr>
          <w:rFonts w:cs="Arial"/>
          <w:sz w:val="26"/>
          <w:szCs w:val="26"/>
        </w:rPr>
        <w:t>re</w:t>
      </w:r>
      <w:r w:rsidR="00460134" w:rsidRPr="003F6B95">
        <w:rPr>
          <w:rFonts w:cs="Arial"/>
          <w:sz w:val="26"/>
          <w:szCs w:val="26"/>
        </w:rPr>
        <w:t>sentantes han sido discriminadas por ser mujeres trans</w:t>
      </w:r>
      <w:r w:rsidR="00FB2CF9" w:rsidRPr="003F6B95">
        <w:rPr>
          <w:rFonts w:cs="Arial"/>
          <w:sz w:val="26"/>
          <w:szCs w:val="26"/>
        </w:rPr>
        <w:t>”</w:t>
      </w:r>
      <w:r w:rsidR="00460134" w:rsidRPr="003F6B95">
        <w:rPr>
          <w:rFonts w:cs="Arial"/>
          <w:sz w:val="26"/>
          <w:szCs w:val="26"/>
        </w:rPr>
        <w:t>, “porque estuve presente en el momento que sucedieron los actos y pude grabar parte del acontecimiento”</w:t>
      </w:r>
      <w:r w:rsidR="00767FF0" w:rsidRPr="003F6B95">
        <w:rPr>
          <w:rStyle w:val="Refdenotaalpie"/>
          <w:rFonts w:cs="Arial"/>
          <w:sz w:val="26"/>
          <w:szCs w:val="26"/>
        </w:rPr>
        <w:footnoteReference w:id="66"/>
      </w:r>
      <w:r w:rsidR="00CD69D8" w:rsidRPr="003F6B95">
        <w:rPr>
          <w:rFonts w:cs="Arial"/>
          <w:sz w:val="26"/>
          <w:szCs w:val="26"/>
        </w:rPr>
        <w:t xml:space="preserve">. </w:t>
      </w:r>
    </w:p>
    <w:p w14:paraId="5DE4DAFF" w14:textId="77777777" w:rsidR="00FC796E" w:rsidRPr="003F6B95" w:rsidRDefault="00FC796E" w:rsidP="00E6421D">
      <w:pPr>
        <w:pStyle w:val="corte4fondo"/>
        <w:ind w:firstLine="0"/>
        <w:rPr>
          <w:rFonts w:cs="Arial"/>
          <w:sz w:val="26"/>
          <w:szCs w:val="26"/>
        </w:rPr>
      </w:pPr>
    </w:p>
    <w:p w14:paraId="0B0DDE5F" w14:textId="0ADB1547" w:rsidR="00075C9C" w:rsidRPr="003F6B95" w:rsidRDefault="00787708" w:rsidP="00E6421D">
      <w:pPr>
        <w:pStyle w:val="corte4fondo"/>
        <w:numPr>
          <w:ilvl w:val="0"/>
          <w:numId w:val="2"/>
        </w:numPr>
        <w:ind w:left="0" w:right="51" w:hanging="567"/>
        <w:rPr>
          <w:rFonts w:cs="Arial"/>
          <w:sz w:val="26"/>
          <w:szCs w:val="26"/>
          <w:lang w:val="es-ES"/>
        </w:rPr>
      </w:pPr>
      <w:r>
        <w:rPr>
          <w:rFonts w:cs="Arial"/>
          <w:sz w:val="26"/>
          <w:szCs w:val="26"/>
          <w:lang w:val="es-ES"/>
        </w:rPr>
        <w:lastRenderedPageBreak/>
        <w:t>E</w:t>
      </w:r>
      <w:r w:rsidR="00335A07">
        <w:rPr>
          <w:rFonts w:cs="Arial"/>
          <w:sz w:val="26"/>
          <w:szCs w:val="26"/>
          <w:lang w:val="es-ES"/>
        </w:rPr>
        <w:t>sta Sala</w:t>
      </w:r>
      <w:r w:rsidR="00B968FD">
        <w:rPr>
          <w:rFonts w:cs="Arial"/>
          <w:sz w:val="26"/>
          <w:szCs w:val="26"/>
          <w:lang w:val="es-ES"/>
        </w:rPr>
        <w:t xml:space="preserve"> </w:t>
      </w:r>
      <w:r>
        <w:rPr>
          <w:rFonts w:cs="Arial"/>
          <w:sz w:val="26"/>
          <w:szCs w:val="26"/>
          <w:lang w:val="es-ES"/>
        </w:rPr>
        <w:t xml:space="preserve">también </w:t>
      </w:r>
      <w:r w:rsidR="00335A07">
        <w:rPr>
          <w:rFonts w:cs="Arial"/>
          <w:sz w:val="26"/>
          <w:szCs w:val="26"/>
          <w:lang w:val="es-ES"/>
        </w:rPr>
        <w:t xml:space="preserve">advierte que </w:t>
      </w:r>
      <w:r w:rsidR="00FC796E" w:rsidRPr="003F6B95">
        <w:rPr>
          <w:rFonts w:cs="Arial"/>
          <w:sz w:val="26"/>
          <w:szCs w:val="26"/>
          <w:lang w:val="es-ES"/>
        </w:rPr>
        <w:t>e</w:t>
      </w:r>
      <w:r w:rsidR="004844A1" w:rsidRPr="003F6B95">
        <w:rPr>
          <w:rFonts w:cs="Arial"/>
          <w:sz w:val="26"/>
          <w:szCs w:val="26"/>
          <w:lang w:val="es-ES"/>
        </w:rPr>
        <w:t>l testigo</w:t>
      </w:r>
      <w:r w:rsidR="00075C9C" w:rsidRPr="003F6B95">
        <w:rPr>
          <w:rFonts w:cs="Arial"/>
          <w:sz w:val="26"/>
          <w:szCs w:val="26"/>
          <w:lang w:val="es-ES"/>
        </w:rPr>
        <w:t xml:space="preserve"> </w:t>
      </w:r>
      <w:r w:rsidR="00075C9C" w:rsidRPr="003F6B95">
        <w:rPr>
          <w:rFonts w:cs="Arial"/>
          <w:color w:val="FF0000"/>
          <w:sz w:val="26"/>
          <w:szCs w:val="26"/>
          <w:lang w:val="es-ES"/>
        </w:rPr>
        <w:t>AMM</w:t>
      </w:r>
      <w:r w:rsidR="004844A1" w:rsidRPr="003F6B95">
        <w:rPr>
          <w:rFonts w:cs="Arial"/>
          <w:color w:val="FF0000"/>
          <w:sz w:val="26"/>
          <w:szCs w:val="26"/>
          <w:lang w:val="es-ES"/>
        </w:rPr>
        <w:t xml:space="preserve"> </w:t>
      </w:r>
      <w:r w:rsidR="004844A1" w:rsidRPr="003F6B95">
        <w:rPr>
          <w:rFonts w:cs="Arial"/>
          <w:color w:val="000000" w:themeColor="text1"/>
          <w:sz w:val="26"/>
          <w:szCs w:val="26"/>
          <w:lang w:val="es-ES"/>
        </w:rPr>
        <w:t xml:space="preserve">declaró que, el </w:t>
      </w:r>
      <w:r w:rsidR="00397871" w:rsidRPr="003F6B95">
        <w:rPr>
          <w:rFonts w:cs="Arial"/>
          <w:color w:val="000000" w:themeColor="text1"/>
          <w:sz w:val="26"/>
          <w:szCs w:val="26"/>
          <w:lang w:val="es-ES"/>
        </w:rPr>
        <w:t>25 de noviembre de 2015</w:t>
      </w:r>
      <w:r w:rsidR="00922E20" w:rsidRPr="003F6B95">
        <w:rPr>
          <w:rFonts w:cs="Arial"/>
          <w:color w:val="000000" w:themeColor="text1"/>
          <w:sz w:val="26"/>
          <w:szCs w:val="26"/>
          <w:lang w:val="es-ES"/>
        </w:rPr>
        <w:t xml:space="preserve">, vio “a las señoritas </w:t>
      </w:r>
      <w:r w:rsidR="00922E20" w:rsidRPr="003F6B95">
        <w:rPr>
          <w:rFonts w:cs="Arial"/>
          <w:color w:val="FF0000"/>
          <w:sz w:val="26"/>
          <w:szCs w:val="26"/>
          <w:lang w:val="es-ES"/>
        </w:rPr>
        <w:t xml:space="preserve">L </w:t>
      </w:r>
      <w:r w:rsidR="00922E20" w:rsidRPr="003F6B95">
        <w:rPr>
          <w:rFonts w:cs="Arial"/>
          <w:color w:val="000000" w:themeColor="text1"/>
          <w:sz w:val="26"/>
          <w:szCs w:val="26"/>
          <w:lang w:val="es-ES"/>
        </w:rPr>
        <w:t xml:space="preserve">y </w:t>
      </w:r>
      <w:r w:rsidR="00922E20" w:rsidRPr="003F6B95">
        <w:rPr>
          <w:rFonts w:cs="Arial"/>
          <w:color w:val="FF0000"/>
          <w:sz w:val="26"/>
          <w:szCs w:val="26"/>
          <w:lang w:val="es-ES"/>
        </w:rPr>
        <w:t>J</w:t>
      </w:r>
      <w:r w:rsidR="00922E20" w:rsidRPr="003F6B95">
        <w:rPr>
          <w:rFonts w:cs="Arial"/>
          <w:color w:val="000000" w:themeColor="text1"/>
          <w:sz w:val="26"/>
          <w:szCs w:val="26"/>
          <w:lang w:val="es-ES"/>
        </w:rPr>
        <w:t xml:space="preserve">, en las instalaciones </w:t>
      </w:r>
      <w:r w:rsidR="00922E20" w:rsidRPr="00453D61">
        <w:rPr>
          <w:rFonts w:cs="Arial"/>
          <w:sz w:val="26"/>
          <w:szCs w:val="26"/>
          <w:lang w:val="es-ES"/>
        </w:rPr>
        <w:t xml:space="preserve">de AHF México, </w:t>
      </w:r>
      <w:r w:rsidR="00922E20" w:rsidRPr="003F6B95">
        <w:rPr>
          <w:rFonts w:cs="Arial"/>
          <w:color w:val="000000" w:themeColor="text1"/>
          <w:sz w:val="26"/>
          <w:szCs w:val="26"/>
          <w:lang w:val="es-ES"/>
        </w:rPr>
        <w:t xml:space="preserve">una </w:t>
      </w:r>
      <w:r w:rsidR="00F141CD" w:rsidRPr="003F6B95">
        <w:rPr>
          <w:rFonts w:cs="Arial"/>
          <w:color w:val="000000" w:themeColor="text1"/>
          <w:sz w:val="26"/>
          <w:szCs w:val="26"/>
          <w:lang w:val="es-ES"/>
        </w:rPr>
        <w:t xml:space="preserve">asociación civil, </w:t>
      </w:r>
      <w:r w:rsidR="00922E20" w:rsidRPr="003F6B95">
        <w:rPr>
          <w:rFonts w:cs="Arial"/>
          <w:color w:val="000000" w:themeColor="text1"/>
          <w:sz w:val="26"/>
          <w:szCs w:val="26"/>
          <w:lang w:val="es-ES"/>
        </w:rPr>
        <w:t>que se dedica a la defensa de los derechos humanos y a la diversidad sexual, particularmente solicitaron apoyo personal, porque ellas sabían mi formación profesional”</w:t>
      </w:r>
      <w:r w:rsidR="00172905" w:rsidRPr="003F6B95">
        <w:rPr>
          <w:rFonts w:cs="Arial"/>
          <w:color w:val="000000" w:themeColor="text1"/>
          <w:sz w:val="26"/>
          <w:szCs w:val="26"/>
          <w:lang w:val="es-ES"/>
        </w:rPr>
        <w:t>. Al respecto, el testigo sostuvo que “</w:t>
      </w:r>
      <w:r w:rsidR="00172905" w:rsidRPr="003F6B95">
        <w:rPr>
          <w:rFonts w:cs="Arial"/>
          <w:color w:val="FF0000"/>
          <w:sz w:val="26"/>
          <w:szCs w:val="26"/>
          <w:lang w:val="es-ES"/>
        </w:rPr>
        <w:t>L y J</w:t>
      </w:r>
      <w:r w:rsidR="00172905" w:rsidRPr="003F6B95">
        <w:rPr>
          <w:rFonts w:cs="Arial"/>
          <w:color w:val="000000" w:themeColor="text1"/>
          <w:sz w:val="26"/>
          <w:szCs w:val="26"/>
          <w:lang w:val="es-ES"/>
        </w:rPr>
        <w:t xml:space="preserve">, mostraban ansiedad, angustia, miedo, inseguridad por lo acontecido en la plaza de </w:t>
      </w:r>
      <w:r w:rsidR="00172905" w:rsidRPr="00453D61">
        <w:rPr>
          <w:rFonts w:cs="Arial"/>
          <w:sz w:val="26"/>
          <w:szCs w:val="26"/>
          <w:lang w:val="es-ES"/>
        </w:rPr>
        <w:t>Reforma 222</w:t>
      </w:r>
      <w:r w:rsidR="00172905" w:rsidRPr="003F6B95">
        <w:rPr>
          <w:rFonts w:cs="Arial"/>
          <w:color w:val="000000" w:themeColor="text1"/>
          <w:sz w:val="26"/>
          <w:szCs w:val="26"/>
          <w:lang w:val="es-ES"/>
        </w:rPr>
        <w:t>”, y que</w:t>
      </w:r>
      <w:r w:rsidR="00062905" w:rsidRPr="003F6B95">
        <w:rPr>
          <w:rFonts w:cs="Arial"/>
          <w:color w:val="000000" w:themeColor="text1"/>
          <w:sz w:val="26"/>
          <w:szCs w:val="26"/>
          <w:lang w:val="es-ES"/>
        </w:rPr>
        <w:t xml:space="preserve"> su labor tal día </w:t>
      </w:r>
      <w:r w:rsidR="00172905" w:rsidRPr="003F6B95">
        <w:rPr>
          <w:rFonts w:cs="Arial"/>
          <w:color w:val="000000" w:themeColor="text1"/>
          <w:sz w:val="26"/>
          <w:szCs w:val="26"/>
          <w:lang w:val="es-ES"/>
        </w:rPr>
        <w:t xml:space="preserve">“fue brindar </w:t>
      </w:r>
      <w:r w:rsidR="00F141CD" w:rsidRPr="003F6B95">
        <w:rPr>
          <w:rFonts w:cs="Arial"/>
          <w:color w:val="000000" w:themeColor="text1"/>
          <w:sz w:val="26"/>
          <w:szCs w:val="26"/>
          <w:lang w:val="es-ES"/>
        </w:rPr>
        <w:t>primeros auxilios psicológicos, a fin de disminuir sus emociones y sentimientos negativos</w:t>
      </w:r>
      <w:r w:rsidR="00172905" w:rsidRPr="003F6B95">
        <w:rPr>
          <w:rFonts w:cs="Arial"/>
          <w:color w:val="000000" w:themeColor="text1"/>
          <w:sz w:val="26"/>
          <w:szCs w:val="26"/>
          <w:lang w:val="es-ES"/>
        </w:rPr>
        <w:t>”</w:t>
      </w:r>
      <w:r w:rsidR="00BC7DC3" w:rsidRPr="003F6B95">
        <w:rPr>
          <w:rStyle w:val="Refdenotaalpie"/>
          <w:rFonts w:cs="Arial"/>
          <w:sz w:val="26"/>
          <w:szCs w:val="26"/>
          <w:lang w:val="es-ES"/>
        </w:rPr>
        <w:footnoteReference w:id="67"/>
      </w:r>
      <w:r w:rsidR="00BC7DC3" w:rsidRPr="003F6B95">
        <w:rPr>
          <w:rFonts w:cs="Arial"/>
          <w:sz w:val="26"/>
          <w:szCs w:val="26"/>
          <w:lang w:val="es-ES"/>
        </w:rPr>
        <w:t>.</w:t>
      </w:r>
    </w:p>
    <w:p w14:paraId="16DA7061" w14:textId="346319C0" w:rsidR="00075C9C" w:rsidRPr="003F6B95" w:rsidRDefault="00075C9C" w:rsidP="00987653">
      <w:pPr>
        <w:pStyle w:val="corte4fondo"/>
        <w:ind w:firstLine="0"/>
        <w:rPr>
          <w:rFonts w:cs="Arial"/>
          <w:sz w:val="26"/>
          <w:szCs w:val="26"/>
        </w:rPr>
      </w:pPr>
    </w:p>
    <w:p w14:paraId="7C1A288F" w14:textId="1DF05244" w:rsidR="000838A5" w:rsidRPr="00B266BE" w:rsidRDefault="00DD0F43" w:rsidP="000838A5">
      <w:pPr>
        <w:pStyle w:val="corte4fondo"/>
        <w:numPr>
          <w:ilvl w:val="0"/>
          <w:numId w:val="2"/>
        </w:numPr>
        <w:ind w:left="0" w:right="51" w:hanging="567"/>
        <w:rPr>
          <w:rFonts w:cs="Arial"/>
          <w:sz w:val="26"/>
          <w:szCs w:val="26"/>
        </w:rPr>
      </w:pPr>
      <w:r w:rsidRPr="003F6B95">
        <w:rPr>
          <w:rFonts w:cs="Arial"/>
          <w:sz w:val="26"/>
          <w:szCs w:val="26"/>
        </w:rPr>
        <w:t>L</w:t>
      </w:r>
      <w:r w:rsidR="000838A5" w:rsidRPr="003F6B95">
        <w:rPr>
          <w:rFonts w:cs="Arial"/>
          <w:sz w:val="26"/>
          <w:szCs w:val="26"/>
        </w:rPr>
        <w:t xml:space="preserve">as actoras </w:t>
      </w:r>
      <w:r w:rsidRPr="003F6B95">
        <w:rPr>
          <w:rFonts w:cs="Arial"/>
          <w:sz w:val="26"/>
          <w:szCs w:val="26"/>
        </w:rPr>
        <w:t xml:space="preserve">también </w:t>
      </w:r>
      <w:r w:rsidR="000838A5" w:rsidRPr="003F6B95">
        <w:rPr>
          <w:rFonts w:cs="Arial"/>
          <w:sz w:val="26"/>
          <w:szCs w:val="26"/>
        </w:rPr>
        <w:t xml:space="preserve">proporcionaron </w:t>
      </w:r>
      <w:r w:rsidR="003C54EF" w:rsidRPr="003F6B95">
        <w:rPr>
          <w:rFonts w:cs="Arial"/>
          <w:sz w:val="26"/>
          <w:szCs w:val="26"/>
        </w:rPr>
        <w:t xml:space="preserve">diversas </w:t>
      </w:r>
      <w:r w:rsidR="000838A5" w:rsidRPr="003F6B95">
        <w:rPr>
          <w:rFonts w:cs="Arial"/>
          <w:sz w:val="26"/>
          <w:szCs w:val="26"/>
        </w:rPr>
        <w:t xml:space="preserve">videograbaciones del día de los hechos. A continuación, se </w:t>
      </w:r>
      <w:r w:rsidR="003D587B" w:rsidRPr="003F6B95">
        <w:rPr>
          <w:rFonts w:cs="Arial"/>
          <w:sz w:val="26"/>
          <w:szCs w:val="26"/>
        </w:rPr>
        <w:t>re</w:t>
      </w:r>
      <w:r w:rsidR="003D587B" w:rsidRPr="00B266BE">
        <w:rPr>
          <w:rFonts w:cs="Arial"/>
          <w:sz w:val="26"/>
          <w:szCs w:val="26"/>
        </w:rPr>
        <w:t>lata e</w:t>
      </w:r>
      <w:r w:rsidR="000838A5" w:rsidRPr="00B266BE">
        <w:rPr>
          <w:rFonts w:cs="Arial"/>
          <w:sz w:val="26"/>
          <w:szCs w:val="26"/>
        </w:rPr>
        <w:t>l contenido de t</w:t>
      </w:r>
      <w:r w:rsidR="000838A5" w:rsidRPr="00B84800">
        <w:rPr>
          <w:rFonts w:cs="Arial"/>
          <w:sz w:val="26"/>
          <w:szCs w:val="26"/>
        </w:rPr>
        <w:t>ales videos</w:t>
      </w:r>
      <w:r w:rsidR="00B84800" w:rsidRPr="003E4EB1">
        <w:rPr>
          <w:rStyle w:val="Refdenotaalpie"/>
          <w:rFonts w:cs="Arial"/>
          <w:sz w:val="26"/>
          <w:szCs w:val="26"/>
        </w:rPr>
        <w:footnoteReference w:id="68"/>
      </w:r>
      <w:r w:rsidR="000838A5" w:rsidRPr="00B84800">
        <w:rPr>
          <w:rFonts w:cs="Arial"/>
          <w:sz w:val="26"/>
          <w:szCs w:val="26"/>
        </w:rPr>
        <w:t xml:space="preserve">. </w:t>
      </w:r>
    </w:p>
    <w:p w14:paraId="310C5FF7" w14:textId="77777777" w:rsidR="003D587B" w:rsidRPr="00B266BE" w:rsidRDefault="003D587B" w:rsidP="003D587B">
      <w:pPr>
        <w:pStyle w:val="corte4fondo"/>
        <w:ind w:right="51" w:firstLine="0"/>
        <w:rPr>
          <w:rFonts w:cs="Arial"/>
          <w:sz w:val="26"/>
          <w:szCs w:val="26"/>
        </w:rPr>
      </w:pPr>
    </w:p>
    <w:p w14:paraId="2811BA3D" w14:textId="28E63601" w:rsidR="003D587B" w:rsidRPr="00E45A7B" w:rsidRDefault="002A1621" w:rsidP="00E6421D">
      <w:pPr>
        <w:pStyle w:val="corte4fondo"/>
        <w:numPr>
          <w:ilvl w:val="3"/>
          <w:numId w:val="6"/>
        </w:numPr>
        <w:spacing w:after="240"/>
        <w:ind w:left="567" w:right="51"/>
        <w:rPr>
          <w:rFonts w:cs="Arial"/>
          <w:b/>
          <w:bCs/>
          <w:sz w:val="24"/>
          <w:szCs w:val="24"/>
        </w:rPr>
      </w:pPr>
      <w:r w:rsidRPr="00E45A7B">
        <w:rPr>
          <w:rFonts w:cs="Arial"/>
          <w:b/>
          <w:bCs/>
          <w:sz w:val="24"/>
          <w:szCs w:val="24"/>
        </w:rPr>
        <w:t>V</w:t>
      </w:r>
      <w:r w:rsidR="003D587B" w:rsidRPr="00E45A7B">
        <w:rPr>
          <w:rFonts w:cs="Arial"/>
          <w:b/>
          <w:bCs/>
          <w:sz w:val="24"/>
          <w:szCs w:val="24"/>
        </w:rPr>
        <w:t xml:space="preserve">ideo </w:t>
      </w:r>
      <w:r w:rsidR="00B30E7D" w:rsidRPr="00E45A7B">
        <w:rPr>
          <w:rFonts w:cs="Arial"/>
          <w:b/>
          <w:bCs/>
          <w:sz w:val="24"/>
          <w:szCs w:val="24"/>
        </w:rPr>
        <w:t xml:space="preserve">1, </w:t>
      </w:r>
      <w:r w:rsidRPr="00E45A7B">
        <w:rPr>
          <w:rFonts w:cs="Arial"/>
          <w:b/>
          <w:bCs/>
          <w:sz w:val="24"/>
          <w:szCs w:val="24"/>
        </w:rPr>
        <w:t xml:space="preserve">con </w:t>
      </w:r>
      <w:r w:rsidR="003D587B" w:rsidRPr="00E45A7B">
        <w:rPr>
          <w:rFonts w:cs="Arial"/>
          <w:b/>
          <w:bCs/>
          <w:sz w:val="24"/>
          <w:szCs w:val="24"/>
        </w:rPr>
        <w:t>duración de</w:t>
      </w:r>
      <w:r w:rsidR="00B9249E" w:rsidRPr="00E45A7B">
        <w:rPr>
          <w:rFonts w:cs="Arial"/>
          <w:b/>
          <w:bCs/>
          <w:sz w:val="24"/>
          <w:szCs w:val="24"/>
        </w:rPr>
        <w:t xml:space="preserve"> dos minutos con cuarenta y nueve segundos</w:t>
      </w:r>
      <w:r w:rsidR="003D587B" w:rsidRPr="00E45A7B">
        <w:rPr>
          <w:rFonts w:cs="Arial"/>
          <w:b/>
          <w:bCs/>
          <w:sz w:val="24"/>
          <w:szCs w:val="24"/>
        </w:rPr>
        <w:t>:</w:t>
      </w:r>
    </w:p>
    <w:p w14:paraId="1F0AD781" w14:textId="50253C3F" w:rsidR="00A05937" w:rsidRPr="00E45A7B" w:rsidRDefault="00A05937" w:rsidP="00DF65FF">
      <w:pPr>
        <w:spacing w:after="60" w:line="276" w:lineRule="auto"/>
        <w:ind w:left="567"/>
        <w:jc w:val="both"/>
        <w:rPr>
          <w:rFonts w:ascii="Arial" w:hAnsi="Arial" w:cs="Arial"/>
          <w:sz w:val="22"/>
          <w:szCs w:val="22"/>
        </w:rPr>
      </w:pPr>
      <w:r w:rsidRPr="00E45A7B">
        <w:rPr>
          <w:rFonts w:ascii="Arial" w:hAnsi="Arial" w:cs="Arial"/>
          <w:sz w:val="22"/>
          <w:szCs w:val="22"/>
        </w:rPr>
        <w:t>*</w:t>
      </w:r>
      <w:r w:rsidR="000B5A9E" w:rsidRPr="00E45A7B">
        <w:rPr>
          <w:rFonts w:ascii="Arial" w:hAnsi="Arial" w:cs="Arial"/>
          <w:sz w:val="22"/>
          <w:szCs w:val="22"/>
        </w:rPr>
        <w:t>La mujer</w:t>
      </w:r>
      <w:r w:rsidRPr="00E45A7B">
        <w:rPr>
          <w:rFonts w:ascii="Arial" w:hAnsi="Arial" w:cs="Arial"/>
          <w:sz w:val="22"/>
          <w:szCs w:val="22"/>
        </w:rPr>
        <w:t xml:space="preserve"> 1 y la mujer 2 se encuentran afuera de una puerta, y dirigen </w:t>
      </w:r>
      <w:r w:rsidR="00A869CE" w:rsidRPr="00E45A7B">
        <w:rPr>
          <w:rFonts w:ascii="Arial" w:hAnsi="Arial" w:cs="Arial"/>
          <w:sz w:val="22"/>
          <w:szCs w:val="22"/>
        </w:rPr>
        <w:t xml:space="preserve">su voz </w:t>
      </w:r>
      <w:r w:rsidRPr="00E45A7B">
        <w:rPr>
          <w:rFonts w:ascii="Arial" w:hAnsi="Arial" w:cs="Arial"/>
          <w:sz w:val="22"/>
          <w:szCs w:val="22"/>
        </w:rPr>
        <w:t>a una persona, quien parece ser un guardia de seguridad</w:t>
      </w:r>
      <w:r w:rsidR="0042793F" w:rsidRPr="00E45A7B">
        <w:rPr>
          <w:rFonts w:ascii="Arial" w:hAnsi="Arial" w:cs="Arial"/>
          <w:sz w:val="22"/>
          <w:szCs w:val="22"/>
        </w:rPr>
        <w:t>*</w:t>
      </w:r>
      <w:r w:rsidRPr="00E45A7B">
        <w:rPr>
          <w:rFonts w:ascii="Arial" w:hAnsi="Arial" w:cs="Arial"/>
          <w:sz w:val="22"/>
          <w:szCs w:val="22"/>
        </w:rPr>
        <w:t xml:space="preserve">. </w:t>
      </w:r>
    </w:p>
    <w:p w14:paraId="5A3F2F58" w14:textId="69E773AA" w:rsidR="00CB3D7A" w:rsidRPr="00E45A7B" w:rsidRDefault="00CB3D7A" w:rsidP="00DF65FF">
      <w:pPr>
        <w:spacing w:after="60" w:line="276" w:lineRule="auto"/>
        <w:ind w:left="567"/>
        <w:jc w:val="both"/>
        <w:rPr>
          <w:rFonts w:ascii="Arial" w:hAnsi="Arial" w:cs="Arial"/>
          <w:sz w:val="22"/>
          <w:szCs w:val="22"/>
        </w:rPr>
      </w:pPr>
      <w:r w:rsidRPr="00E45A7B">
        <w:rPr>
          <w:rFonts w:ascii="Arial" w:hAnsi="Arial" w:cs="Arial"/>
          <w:sz w:val="22"/>
          <w:szCs w:val="22"/>
        </w:rPr>
        <w:t xml:space="preserve">Mujer </w:t>
      </w:r>
      <w:r w:rsidR="00B33EE5" w:rsidRPr="00E45A7B">
        <w:rPr>
          <w:rFonts w:ascii="Arial" w:hAnsi="Arial" w:cs="Arial"/>
          <w:sz w:val="22"/>
          <w:szCs w:val="22"/>
        </w:rPr>
        <w:t>1</w:t>
      </w:r>
      <w:r w:rsidRPr="00E45A7B">
        <w:rPr>
          <w:rFonts w:ascii="Arial" w:hAnsi="Arial" w:cs="Arial"/>
          <w:sz w:val="22"/>
          <w:szCs w:val="22"/>
        </w:rPr>
        <w:t>: A la gente no le estás pidiendo identificación</w:t>
      </w:r>
      <w:r w:rsidR="001E28D8" w:rsidRPr="00E45A7B">
        <w:rPr>
          <w:rFonts w:ascii="Arial" w:hAnsi="Arial" w:cs="Arial"/>
          <w:sz w:val="22"/>
          <w:szCs w:val="22"/>
        </w:rPr>
        <w:t>.</w:t>
      </w:r>
    </w:p>
    <w:p w14:paraId="45081D2F" w14:textId="6F4D3C50" w:rsidR="00CB3D7A" w:rsidRPr="00E45A7B" w:rsidRDefault="00CB3D7A" w:rsidP="00DF65FF">
      <w:pPr>
        <w:spacing w:after="60" w:line="276" w:lineRule="auto"/>
        <w:ind w:left="567"/>
        <w:jc w:val="both"/>
        <w:rPr>
          <w:rFonts w:ascii="Arial" w:hAnsi="Arial" w:cs="Arial"/>
          <w:sz w:val="22"/>
          <w:szCs w:val="22"/>
        </w:rPr>
      </w:pPr>
      <w:r w:rsidRPr="00E45A7B">
        <w:rPr>
          <w:rFonts w:ascii="Arial" w:hAnsi="Arial" w:cs="Arial"/>
          <w:sz w:val="22"/>
          <w:szCs w:val="22"/>
        </w:rPr>
        <w:t xml:space="preserve">Mujer </w:t>
      </w:r>
      <w:r w:rsidR="00B33EE5" w:rsidRPr="00E45A7B">
        <w:rPr>
          <w:rFonts w:ascii="Arial" w:hAnsi="Arial" w:cs="Arial"/>
          <w:sz w:val="22"/>
          <w:szCs w:val="22"/>
        </w:rPr>
        <w:t>2</w:t>
      </w:r>
      <w:r w:rsidRPr="00E45A7B">
        <w:rPr>
          <w:rFonts w:ascii="Arial" w:hAnsi="Arial" w:cs="Arial"/>
          <w:sz w:val="22"/>
          <w:szCs w:val="22"/>
        </w:rPr>
        <w:t>: ¿Quieres que te enseñe lo que traigo abajo de las piernas?</w:t>
      </w:r>
    </w:p>
    <w:p w14:paraId="63546239" w14:textId="77777777" w:rsidR="00CB3D7A" w:rsidRPr="00E45A7B" w:rsidRDefault="00CB3D7A" w:rsidP="00DF65FF">
      <w:pPr>
        <w:spacing w:after="60" w:line="276" w:lineRule="auto"/>
        <w:ind w:left="567"/>
        <w:jc w:val="both"/>
        <w:rPr>
          <w:rFonts w:ascii="Arial" w:hAnsi="Arial" w:cs="Arial"/>
          <w:sz w:val="22"/>
          <w:szCs w:val="22"/>
        </w:rPr>
      </w:pPr>
      <w:r w:rsidRPr="00E45A7B">
        <w:rPr>
          <w:rFonts w:ascii="Arial" w:hAnsi="Arial" w:cs="Arial"/>
          <w:sz w:val="22"/>
          <w:szCs w:val="22"/>
        </w:rPr>
        <w:t>Guardia: Al baño de damas no pueden entrar.</w:t>
      </w:r>
    </w:p>
    <w:p w14:paraId="37490FDB" w14:textId="010FB710" w:rsidR="00CB3D7A" w:rsidRPr="00E45A7B" w:rsidRDefault="00CB3D7A" w:rsidP="00DF65FF">
      <w:pPr>
        <w:spacing w:after="60" w:line="276" w:lineRule="auto"/>
        <w:ind w:left="567"/>
        <w:jc w:val="both"/>
        <w:rPr>
          <w:rFonts w:ascii="Arial" w:hAnsi="Arial" w:cs="Arial"/>
          <w:sz w:val="22"/>
          <w:szCs w:val="22"/>
        </w:rPr>
      </w:pPr>
      <w:r w:rsidRPr="00E45A7B">
        <w:rPr>
          <w:rFonts w:ascii="Arial" w:hAnsi="Arial" w:cs="Arial"/>
          <w:sz w:val="22"/>
          <w:szCs w:val="22"/>
        </w:rPr>
        <w:t xml:space="preserve">Mujer </w:t>
      </w:r>
      <w:r w:rsidR="00B33EE5" w:rsidRPr="00E45A7B">
        <w:rPr>
          <w:rFonts w:ascii="Arial" w:hAnsi="Arial" w:cs="Arial"/>
          <w:sz w:val="22"/>
          <w:szCs w:val="22"/>
        </w:rPr>
        <w:t>2</w:t>
      </w:r>
      <w:r w:rsidRPr="00E45A7B">
        <w:rPr>
          <w:rFonts w:ascii="Arial" w:hAnsi="Arial" w:cs="Arial"/>
          <w:sz w:val="22"/>
          <w:szCs w:val="22"/>
        </w:rPr>
        <w:t>: Sí puedo entrar al baño.</w:t>
      </w:r>
    </w:p>
    <w:p w14:paraId="08F214A9" w14:textId="52EE86CD" w:rsidR="00CB3D7A" w:rsidRPr="00E45A7B" w:rsidRDefault="00CB3D7A" w:rsidP="00DF65FF">
      <w:pPr>
        <w:spacing w:after="60" w:line="276" w:lineRule="auto"/>
        <w:ind w:left="567"/>
        <w:jc w:val="both"/>
        <w:rPr>
          <w:rFonts w:ascii="Arial" w:hAnsi="Arial" w:cs="Arial"/>
          <w:sz w:val="22"/>
          <w:szCs w:val="22"/>
        </w:rPr>
      </w:pPr>
      <w:r w:rsidRPr="00E45A7B">
        <w:rPr>
          <w:rFonts w:ascii="Arial" w:hAnsi="Arial" w:cs="Arial"/>
          <w:sz w:val="22"/>
          <w:szCs w:val="22"/>
        </w:rPr>
        <w:t xml:space="preserve">Mujer </w:t>
      </w:r>
      <w:r w:rsidR="00B33EE5" w:rsidRPr="00E45A7B">
        <w:rPr>
          <w:rFonts w:ascii="Arial" w:hAnsi="Arial" w:cs="Arial"/>
          <w:sz w:val="22"/>
          <w:szCs w:val="22"/>
        </w:rPr>
        <w:t>1</w:t>
      </w:r>
      <w:r w:rsidRPr="00E45A7B">
        <w:rPr>
          <w:rFonts w:ascii="Arial" w:hAnsi="Arial" w:cs="Arial"/>
          <w:sz w:val="22"/>
          <w:szCs w:val="22"/>
        </w:rPr>
        <w:t>. ¡Vamos a entrar! ¡Vamos a entrar!</w:t>
      </w:r>
    </w:p>
    <w:p w14:paraId="4A0F518A" w14:textId="39BD58C3" w:rsidR="00CB3D7A" w:rsidRPr="00E45A7B" w:rsidRDefault="00CB3D7A" w:rsidP="00DF65FF">
      <w:pPr>
        <w:spacing w:after="60" w:line="276" w:lineRule="auto"/>
        <w:ind w:left="567"/>
        <w:jc w:val="both"/>
        <w:rPr>
          <w:rFonts w:ascii="Arial" w:hAnsi="Arial" w:cs="Arial"/>
          <w:sz w:val="22"/>
          <w:szCs w:val="22"/>
        </w:rPr>
      </w:pPr>
      <w:r w:rsidRPr="00E45A7B">
        <w:rPr>
          <w:rFonts w:ascii="Arial" w:hAnsi="Arial" w:cs="Arial"/>
          <w:sz w:val="22"/>
          <w:szCs w:val="22"/>
        </w:rPr>
        <w:t xml:space="preserve">Mujer </w:t>
      </w:r>
      <w:r w:rsidR="00B33EE5" w:rsidRPr="00E45A7B">
        <w:rPr>
          <w:rFonts w:ascii="Arial" w:hAnsi="Arial" w:cs="Arial"/>
          <w:sz w:val="22"/>
          <w:szCs w:val="22"/>
        </w:rPr>
        <w:t>2</w:t>
      </w:r>
      <w:r w:rsidRPr="00E45A7B">
        <w:rPr>
          <w:rFonts w:ascii="Arial" w:hAnsi="Arial" w:cs="Arial"/>
          <w:sz w:val="22"/>
          <w:szCs w:val="22"/>
        </w:rPr>
        <w:t>: ¿Cómo te atreves?</w:t>
      </w:r>
    </w:p>
    <w:p w14:paraId="48B7F32C" w14:textId="3002FFF7" w:rsidR="00CB3D7A" w:rsidRPr="00E45A7B" w:rsidRDefault="00CB3D7A" w:rsidP="00DF65FF">
      <w:pPr>
        <w:spacing w:after="60" w:line="276" w:lineRule="auto"/>
        <w:ind w:left="567"/>
        <w:jc w:val="both"/>
        <w:rPr>
          <w:rFonts w:ascii="Arial" w:hAnsi="Arial" w:cs="Arial"/>
          <w:sz w:val="22"/>
          <w:szCs w:val="22"/>
        </w:rPr>
      </w:pPr>
      <w:r w:rsidRPr="00E45A7B">
        <w:rPr>
          <w:rFonts w:ascii="Arial" w:hAnsi="Arial" w:cs="Arial"/>
          <w:sz w:val="22"/>
          <w:szCs w:val="22"/>
        </w:rPr>
        <w:t xml:space="preserve">Mujer </w:t>
      </w:r>
      <w:r w:rsidR="00B33EE5" w:rsidRPr="00E45A7B">
        <w:rPr>
          <w:rFonts w:ascii="Arial" w:hAnsi="Arial" w:cs="Arial"/>
          <w:sz w:val="22"/>
          <w:szCs w:val="22"/>
        </w:rPr>
        <w:t>1</w:t>
      </w:r>
      <w:r w:rsidRPr="00E45A7B">
        <w:rPr>
          <w:rFonts w:ascii="Arial" w:hAnsi="Arial" w:cs="Arial"/>
          <w:sz w:val="22"/>
          <w:szCs w:val="22"/>
        </w:rPr>
        <w:t>: Este tipo, hoy 25 de noviembre</w:t>
      </w:r>
      <w:r w:rsidR="00B16329" w:rsidRPr="00E45A7B">
        <w:rPr>
          <w:rFonts w:ascii="Arial" w:hAnsi="Arial" w:cs="Arial"/>
          <w:sz w:val="22"/>
          <w:szCs w:val="22"/>
        </w:rPr>
        <w:t>…</w:t>
      </w:r>
    </w:p>
    <w:p w14:paraId="53F8C93B" w14:textId="3B86A225" w:rsidR="00CB3D7A" w:rsidRPr="00E45A7B" w:rsidRDefault="00CB3D7A" w:rsidP="00DF65FF">
      <w:pPr>
        <w:spacing w:after="60" w:line="276" w:lineRule="auto"/>
        <w:ind w:left="567"/>
        <w:jc w:val="both"/>
        <w:rPr>
          <w:rFonts w:ascii="Arial" w:hAnsi="Arial" w:cs="Arial"/>
          <w:sz w:val="22"/>
          <w:szCs w:val="22"/>
        </w:rPr>
      </w:pPr>
      <w:r w:rsidRPr="00E45A7B">
        <w:rPr>
          <w:rFonts w:ascii="Arial" w:hAnsi="Arial" w:cs="Arial"/>
          <w:sz w:val="22"/>
          <w:szCs w:val="22"/>
        </w:rPr>
        <w:t xml:space="preserve">Mujer </w:t>
      </w:r>
      <w:r w:rsidR="00B33EE5" w:rsidRPr="00E45A7B">
        <w:rPr>
          <w:rFonts w:ascii="Arial" w:hAnsi="Arial" w:cs="Arial"/>
          <w:sz w:val="22"/>
          <w:szCs w:val="22"/>
        </w:rPr>
        <w:t>2</w:t>
      </w:r>
      <w:r w:rsidRPr="00E45A7B">
        <w:rPr>
          <w:rFonts w:ascii="Arial" w:hAnsi="Arial" w:cs="Arial"/>
          <w:sz w:val="22"/>
          <w:szCs w:val="22"/>
        </w:rPr>
        <w:t xml:space="preserve">: Día de la eliminación de la violencia contra la mujer… </w:t>
      </w:r>
      <w:r w:rsidR="006465AE" w:rsidRPr="00E45A7B">
        <w:rPr>
          <w:rFonts w:ascii="Arial" w:hAnsi="Arial" w:cs="Arial"/>
          <w:sz w:val="22"/>
          <w:szCs w:val="22"/>
        </w:rPr>
        <w:t>A</w:t>
      </w:r>
      <w:r w:rsidRPr="00E45A7B">
        <w:rPr>
          <w:rFonts w:ascii="Arial" w:hAnsi="Arial" w:cs="Arial"/>
          <w:sz w:val="22"/>
          <w:szCs w:val="22"/>
        </w:rPr>
        <w:t xml:space="preserve"> ver</w:t>
      </w:r>
      <w:r w:rsidR="002F0FE7">
        <w:rPr>
          <w:rFonts w:ascii="Arial" w:hAnsi="Arial" w:cs="Arial"/>
          <w:sz w:val="22"/>
          <w:szCs w:val="22"/>
        </w:rPr>
        <w:t>,</w:t>
      </w:r>
      <w:r w:rsidRPr="00E45A7B">
        <w:rPr>
          <w:rFonts w:ascii="Arial" w:hAnsi="Arial" w:cs="Arial"/>
          <w:sz w:val="22"/>
          <w:szCs w:val="22"/>
        </w:rPr>
        <w:t xml:space="preserve"> y muestra tu cara</w:t>
      </w:r>
      <w:r w:rsidR="0069298A">
        <w:rPr>
          <w:rFonts w:ascii="Arial" w:hAnsi="Arial" w:cs="Arial"/>
          <w:sz w:val="22"/>
          <w:szCs w:val="22"/>
        </w:rPr>
        <w:t xml:space="preserve"> </w:t>
      </w:r>
      <w:r w:rsidRPr="00E45A7B">
        <w:rPr>
          <w:rFonts w:ascii="Arial" w:hAnsi="Arial" w:cs="Arial"/>
          <w:sz w:val="22"/>
          <w:szCs w:val="22"/>
        </w:rPr>
        <w:t>por favor</w:t>
      </w:r>
      <w:r w:rsidR="0069298A">
        <w:rPr>
          <w:rFonts w:ascii="Arial" w:hAnsi="Arial" w:cs="Arial"/>
          <w:sz w:val="22"/>
          <w:szCs w:val="22"/>
        </w:rPr>
        <w:t>. S</w:t>
      </w:r>
      <w:r w:rsidRPr="00E45A7B">
        <w:rPr>
          <w:rFonts w:ascii="Arial" w:hAnsi="Arial" w:cs="Arial"/>
          <w:sz w:val="22"/>
          <w:szCs w:val="22"/>
        </w:rPr>
        <w:t>onríe como sonríes ahorita. ¡Sonríe! ¿Cómo te llamas?</w:t>
      </w:r>
    </w:p>
    <w:p w14:paraId="0A4CCC01" w14:textId="575F3B6C" w:rsidR="00CB3D7A" w:rsidRPr="00453D61" w:rsidRDefault="00CB3D7A" w:rsidP="00DF65FF">
      <w:pPr>
        <w:spacing w:after="60" w:line="276" w:lineRule="auto"/>
        <w:ind w:left="567"/>
        <w:jc w:val="both"/>
        <w:rPr>
          <w:rFonts w:ascii="Arial" w:hAnsi="Arial" w:cs="Arial"/>
          <w:sz w:val="22"/>
          <w:szCs w:val="22"/>
        </w:rPr>
      </w:pPr>
      <w:r w:rsidRPr="00E45A7B">
        <w:rPr>
          <w:rFonts w:ascii="Arial" w:hAnsi="Arial" w:cs="Arial"/>
          <w:sz w:val="22"/>
          <w:szCs w:val="22"/>
        </w:rPr>
        <w:t xml:space="preserve">Mujer </w:t>
      </w:r>
      <w:r w:rsidR="00B33EE5" w:rsidRPr="00E45A7B">
        <w:rPr>
          <w:rFonts w:ascii="Arial" w:hAnsi="Arial" w:cs="Arial"/>
          <w:sz w:val="22"/>
          <w:szCs w:val="22"/>
        </w:rPr>
        <w:t>1</w:t>
      </w:r>
      <w:r w:rsidRPr="00E45A7B">
        <w:rPr>
          <w:rFonts w:ascii="Arial" w:hAnsi="Arial" w:cs="Arial"/>
          <w:sz w:val="22"/>
          <w:szCs w:val="22"/>
        </w:rPr>
        <w:t>: Esto</w:t>
      </w:r>
      <w:r w:rsidR="001E0D4C" w:rsidRPr="00E45A7B">
        <w:rPr>
          <w:rFonts w:ascii="Arial" w:hAnsi="Arial" w:cs="Arial"/>
          <w:sz w:val="22"/>
          <w:szCs w:val="22"/>
        </w:rPr>
        <w:t>y</w:t>
      </w:r>
      <w:r w:rsidRPr="00E45A7B">
        <w:rPr>
          <w:rFonts w:ascii="Arial" w:hAnsi="Arial" w:cs="Arial"/>
          <w:sz w:val="22"/>
          <w:szCs w:val="22"/>
        </w:rPr>
        <w:t xml:space="preserve"> aquí </w:t>
      </w:r>
      <w:r w:rsidRPr="00453D61">
        <w:rPr>
          <w:rFonts w:ascii="Arial" w:hAnsi="Arial" w:cs="Arial"/>
          <w:sz w:val="22"/>
          <w:szCs w:val="22"/>
        </w:rPr>
        <w:t>en Reforma 222</w:t>
      </w:r>
      <w:r w:rsidR="00834819" w:rsidRPr="00453D61">
        <w:rPr>
          <w:rFonts w:ascii="Arial" w:hAnsi="Arial" w:cs="Arial"/>
          <w:sz w:val="22"/>
          <w:szCs w:val="22"/>
        </w:rPr>
        <w:t>.</w:t>
      </w:r>
    </w:p>
    <w:p w14:paraId="3F3B0799" w14:textId="55097ABA" w:rsidR="00CB3D7A" w:rsidRPr="00E45A7B" w:rsidRDefault="00CB3D7A" w:rsidP="00DF65FF">
      <w:pPr>
        <w:spacing w:after="60" w:line="276" w:lineRule="auto"/>
        <w:ind w:left="567"/>
        <w:jc w:val="both"/>
        <w:rPr>
          <w:rFonts w:ascii="Arial" w:hAnsi="Arial" w:cs="Arial"/>
          <w:sz w:val="22"/>
          <w:szCs w:val="22"/>
        </w:rPr>
      </w:pPr>
      <w:r w:rsidRPr="00E45A7B">
        <w:rPr>
          <w:rFonts w:ascii="Arial" w:hAnsi="Arial" w:cs="Arial"/>
          <w:sz w:val="22"/>
          <w:szCs w:val="22"/>
        </w:rPr>
        <w:t xml:space="preserve">Mujer </w:t>
      </w:r>
      <w:r w:rsidR="00B33EE5" w:rsidRPr="00E45A7B">
        <w:rPr>
          <w:rFonts w:ascii="Arial" w:hAnsi="Arial" w:cs="Arial"/>
          <w:sz w:val="22"/>
          <w:szCs w:val="22"/>
        </w:rPr>
        <w:t>2</w:t>
      </w:r>
      <w:r w:rsidRPr="00E45A7B">
        <w:rPr>
          <w:rFonts w:ascii="Arial" w:hAnsi="Arial" w:cs="Arial"/>
          <w:sz w:val="22"/>
          <w:szCs w:val="22"/>
        </w:rPr>
        <w:t>: Identifícate tú</w:t>
      </w:r>
      <w:r w:rsidR="00834819" w:rsidRPr="00E45A7B">
        <w:rPr>
          <w:rFonts w:ascii="Arial" w:hAnsi="Arial" w:cs="Arial"/>
          <w:sz w:val="22"/>
          <w:szCs w:val="22"/>
        </w:rPr>
        <w:t>.</w:t>
      </w:r>
    </w:p>
    <w:p w14:paraId="569F4C20" w14:textId="67B61440" w:rsidR="00CB3D7A" w:rsidRPr="00E45A7B" w:rsidRDefault="00CB3D7A" w:rsidP="00DF65FF">
      <w:pPr>
        <w:spacing w:after="60" w:line="276" w:lineRule="auto"/>
        <w:ind w:left="567"/>
        <w:jc w:val="both"/>
        <w:rPr>
          <w:rFonts w:ascii="Arial" w:hAnsi="Arial" w:cs="Arial"/>
          <w:sz w:val="22"/>
          <w:szCs w:val="22"/>
        </w:rPr>
      </w:pPr>
      <w:r w:rsidRPr="00E45A7B">
        <w:rPr>
          <w:rFonts w:ascii="Arial" w:hAnsi="Arial" w:cs="Arial"/>
          <w:sz w:val="22"/>
          <w:szCs w:val="22"/>
        </w:rPr>
        <w:t xml:space="preserve">Guardia: </w:t>
      </w:r>
      <w:r w:rsidR="00834819" w:rsidRPr="00E45A7B">
        <w:rPr>
          <w:rFonts w:ascii="Arial" w:hAnsi="Arial" w:cs="Arial"/>
          <w:sz w:val="22"/>
          <w:szCs w:val="22"/>
        </w:rPr>
        <w:t>T</w:t>
      </w:r>
      <w:r w:rsidRPr="00E45A7B">
        <w:rPr>
          <w:rFonts w:ascii="Arial" w:hAnsi="Arial" w:cs="Arial"/>
          <w:sz w:val="22"/>
          <w:szCs w:val="22"/>
        </w:rPr>
        <w:t>ú</w:t>
      </w:r>
      <w:r w:rsidR="00834819" w:rsidRPr="00E45A7B">
        <w:rPr>
          <w:rFonts w:ascii="Arial" w:hAnsi="Arial" w:cs="Arial"/>
          <w:sz w:val="22"/>
          <w:szCs w:val="22"/>
        </w:rPr>
        <w:t>.</w:t>
      </w:r>
    </w:p>
    <w:p w14:paraId="383855C5" w14:textId="5F92F4BB" w:rsidR="00CB3D7A" w:rsidRPr="00E45A7B" w:rsidRDefault="00CB3D7A" w:rsidP="00DF65FF">
      <w:pPr>
        <w:spacing w:after="60" w:line="276" w:lineRule="auto"/>
        <w:ind w:left="567"/>
        <w:jc w:val="both"/>
        <w:rPr>
          <w:rFonts w:ascii="Arial" w:hAnsi="Arial" w:cs="Arial"/>
          <w:sz w:val="22"/>
          <w:szCs w:val="22"/>
        </w:rPr>
      </w:pPr>
      <w:r w:rsidRPr="00E45A7B">
        <w:rPr>
          <w:rFonts w:ascii="Arial" w:hAnsi="Arial" w:cs="Arial"/>
          <w:sz w:val="22"/>
          <w:szCs w:val="22"/>
        </w:rPr>
        <w:t xml:space="preserve">Mujer </w:t>
      </w:r>
      <w:r w:rsidR="00B33EE5" w:rsidRPr="00E45A7B">
        <w:rPr>
          <w:rFonts w:ascii="Arial" w:hAnsi="Arial" w:cs="Arial"/>
          <w:sz w:val="22"/>
          <w:szCs w:val="22"/>
        </w:rPr>
        <w:t>2</w:t>
      </w:r>
      <w:r w:rsidRPr="00E45A7B">
        <w:rPr>
          <w:rFonts w:ascii="Arial" w:hAnsi="Arial" w:cs="Arial"/>
          <w:sz w:val="22"/>
          <w:szCs w:val="22"/>
        </w:rPr>
        <w:t>: Yo me llamo</w:t>
      </w:r>
      <w:r w:rsidRPr="00E45A7B">
        <w:rPr>
          <w:rFonts w:ascii="Arial" w:hAnsi="Arial" w:cs="Arial"/>
          <w:color w:val="FF0000"/>
          <w:sz w:val="22"/>
          <w:szCs w:val="22"/>
        </w:rPr>
        <w:t xml:space="preserve"> AF</w:t>
      </w:r>
      <w:r w:rsidRPr="00E45A7B">
        <w:rPr>
          <w:rFonts w:ascii="Arial" w:hAnsi="Arial" w:cs="Arial"/>
          <w:sz w:val="22"/>
          <w:szCs w:val="22"/>
        </w:rPr>
        <w:t>. Identifícate tú.</w:t>
      </w:r>
    </w:p>
    <w:p w14:paraId="404C7F63" w14:textId="628BED88" w:rsidR="00D27DD6" w:rsidRPr="00E45A7B" w:rsidRDefault="00D27DD6" w:rsidP="00DF65FF">
      <w:pPr>
        <w:spacing w:after="60" w:line="276" w:lineRule="auto"/>
        <w:ind w:left="567"/>
        <w:jc w:val="both"/>
        <w:rPr>
          <w:rFonts w:ascii="Arial" w:hAnsi="Arial" w:cs="Arial"/>
          <w:sz w:val="22"/>
          <w:szCs w:val="22"/>
        </w:rPr>
      </w:pPr>
      <w:r w:rsidRPr="00E45A7B">
        <w:rPr>
          <w:rFonts w:ascii="Arial" w:hAnsi="Arial" w:cs="Arial"/>
          <w:sz w:val="22"/>
          <w:szCs w:val="22"/>
        </w:rPr>
        <w:t>*La m</w:t>
      </w:r>
      <w:r w:rsidR="00CB3D7A" w:rsidRPr="00E45A7B">
        <w:rPr>
          <w:rFonts w:ascii="Arial" w:hAnsi="Arial" w:cs="Arial"/>
          <w:sz w:val="22"/>
          <w:szCs w:val="22"/>
        </w:rPr>
        <w:t xml:space="preserve">ujer </w:t>
      </w:r>
      <w:r w:rsidRPr="00E45A7B">
        <w:rPr>
          <w:rFonts w:ascii="Arial" w:hAnsi="Arial" w:cs="Arial"/>
          <w:sz w:val="22"/>
          <w:szCs w:val="22"/>
        </w:rPr>
        <w:t>1 e</w:t>
      </w:r>
      <w:r w:rsidR="00CB3D7A" w:rsidRPr="00E45A7B">
        <w:rPr>
          <w:rFonts w:ascii="Arial" w:hAnsi="Arial" w:cs="Arial"/>
          <w:sz w:val="22"/>
          <w:szCs w:val="22"/>
        </w:rPr>
        <w:t>nfoca c</w:t>
      </w:r>
      <w:r w:rsidR="000211EC" w:rsidRPr="00E45A7B">
        <w:rPr>
          <w:rFonts w:ascii="Arial" w:hAnsi="Arial" w:cs="Arial"/>
          <w:sz w:val="22"/>
          <w:szCs w:val="22"/>
        </w:rPr>
        <w:t>ó</w:t>
      </w:r>
      <w:r w:rsidR="00CB3D7A" w:rsidRPr="00E45A7B">
        <w:rPr>
          <w:rFonts w:ascii="Arial" w:hAnsi="Arial" w:cs="Arial"/>
          <w:sz w:val="22"/>
          <w:szCs w:val="22"/>
        </w:rPr>
        <w:t xml:space="preserve">mo entra otra </w:t>
      </w:r>
      <w:r w:rsidR="00740754" w:rsidRPr="00E45A7B">
        <w:rPr>
          <w:rFonts w:ascii="Arial" w:hAnsi="Arial" w:cs="Arial"/>
          <w:sz w:val="22"/>
          <w:szCs w:val="22"/>
        </w:rPr>
        <w:t xml:space="preserve">persona </w:t>
      </w:r>
      <w:r w:rsidR="00CB3D7A" w:rsidRPr="00E45A7B">
        <w:rPr>
          <w:rFonts w:ascii="Arial" w:hAnsi="Arial" w:cs="Arial"/>
          <w:sz w:val="22"/>
          <w:szCs w:val="22"/>
        </w:rPr>
        <w:t>al baño*</w:t>
      </w:r>
      <w:r w:rsidR="00EC7DEF" w:rsidRPr="00E45A7B">
        <w:rPr>
          <w:rFonts w:ascii="Arial" w:hAnsi="Arial" w:cs="Arial"/>
          <w:sz w:val="22"/>
          <w:szCs w:val="22"/>
        </w:rPr>
        <w:t>.</w:t>
      </w:r>
    </w:p>
    <w:p w14:paraId="643F40DA" w14:textId="622088F7" w:rsidR="00CB3D7A" w:rsidRPr="00E45A7B" w:rsidRDefault="00D27DD6" w:rsidP="00DF65FF">
      <w:pPr>
        <w:spacing w:after="60" w:line="276" w:lineRule="auto"/>
        <w:ind w:left="567"/>
        <w:jc w:val="both"/>
        <w:rPr>
          <w:rFonts w:ascii="Arial" w:hAnsi="Arial" w:cs="Arial"/>
          <w:sz w:val="22"/>
          <w:szCs w:val="22"/>
        </w:rPr>
      </w:pPr>
      <w:r w:rsidRPr="00E45A7B">
        <w:rPr>
          <w:rFonts w:ascii="Arial" w:hAnsi="Arial" w:cs="Arial"/>
          <w:sz w:val="22"/>
          <w:szCs w:val="22"/>
        </w:rPr>
        <w:t xml:space="preserve">Mujer 1: </w:t>
      </w:r>
      <w:r w:rsidR="00CB3D7A" w:rsidRPr="00E45A7B">
        <w:rPr>
          <w:rFonts w:ascii="Arial" w:hAnsi="Arial" w:cs="Arial"/>
          <w:sz w:val="22"/>
          <w:szCs w:val="22"/>
        </w:rPr>
        <w:t>¡Ahí está una persona! ¿</w:t>
      </w:r>
      <w:r w:rsidR="00EC7DEF" w:rsidRPr="00E45A7B">
        <w:rPr>
          <w:rFonts w:ascii="Arial" w:hAnsi="Arial" w:cs="Arial"/>
          <w:sz w:val="22"/>
          <w:szCs w:val="22"/>
        </w:rPr>
        <w:t>Y</w:t>
      </w:r>
      <w:r w:rsidR="00CB3D7A" w:rsidRPr="00E45A7B">
        <w:rPr>
          <w:rFonts w:ascii="Arial" w:hAnsi="Arial" w:cs="Arial"/>
          <w:sz w:val="22"/>
          <w:szCs w:val="22"/>
        </w:rPr>
        <w:t xml:space="preserve"> por qué no le pides la identificación?</w:t>
      </w:r>
    </w:p>
    <w:p w14:paraId="69A7E6AD" w14:textId="1E6F49C3" w:rsidR="00CB3D7A" w:rsidRPr="00E45A7B" w:rsidRDefault="00CB3D7A" w:rsidP="00DF65FF">
      <w:pPr>
        <w:spacing w:after="60" w:line="276" w:lineRule="auto"/>
        <w:ind w:left="567"/>
        <w:jc w:val="both"/>
        <w:rPr>
          <w:rFonts w:ascii="Arial" w:hAnsi="Arial" w:cs="Arial"/>
          <w:sz w:val="22"/>
          <w:szCs w:val="22"/>
        </w:rPr>
      </w:pPr>
      <w:r w:rsidRPr="00E45A7B">
        <w:rPr>
          <w:rFonts w:ascii="Arial" w:hAnsi="Arial" w:cs="Arial"/>
          <w:sz w:val="22"/>
          <w:szCs w:val="22"/>
        </w:rPr>
        <w:t xml:space="preserve">Guardia: Te identificas como </w:t>
      </w:r>
      <w:r w:rsidRPr="00E45A7B">
        <w:rPr>
          <w:rFonts w:ascii="Arial" w:hAnsi="Arial" w:cs="Arial"/>
          <w:color w:val="FF0000"/>
          <w:sz w:val="22"/>
          <w:szCs w:val="22"/>
        </w:rPr>
        <w:t>AF</w:t>
      </w:r>
      <w:r w:rsidR="000211EC" w:rsidRPr="00E45A7B">
        <w:rPr>
          <w:rFonts w:ascii="Arial" w:hAnsi="Arial" w:cs="Arial"/>
          <w:sz w:val="22"/>
          <w:szCs w:val="22"/>
        </w:rPr>
        <w:t>…</w:t>
      </w:r>
    </w:p>
    <w:p w14:paraId="694961DF" w14:textId="42168CD7" w:rsidR="00CB3D7A" w:rsidRPr="00E45A7B" w:rsidRDefault="00CB3D7A" w:rsidP="00DF65FF">
      <w:pPr>
        <w:spacing w:after="60" w:line="276" w:lineRule="auto"/>
        <w:ind w:left="567"/>
        <w:jc w:val="both"/>
        <w:rPr>
          <w:rFonts w:ascii="Arial" w:hAnsi="Arial" w:cs="Arial"/>
          <w:sz w:val="22"/>
          <w:szCs w:val="22"/>
        </w:rPr>
      </w:pPr>
      <w:r w:rsidRPr="00E45A7B">
        <w:rPr>
          <w:rFonts w:ascii="Arial" w:hAnsi="Arial" w:cs="Arial"/>
          <w:sz w:val="22"/>
          <w:szCs w:val="22"/>
        </w:rPr>
        <w:t xml:space="preserve">Mujer </w:t>
      </w:r>
      <w:r w:rsidR="00B33EE5" w:rsidRPr="00E45A7B">
        <w:rPr>
          <w:rFonts w:ascii="Arial" w:hAnsi="Arial" w:cs="Arial"/>
          <w:sz w:val="22"/>
          <w:szCs w:val="22"/>
        </w:rPr>
        <w:t>2</w:t>
      </w:r>
      <w:r w:rsidRPr="00E45A7B">
        <w:rPr>
          <w:rFonts w:ascii="Arial" w:hAnsi="Arial" w:cs="Arial"/>
          <w:sz w:val="22"/>
          <w:szCs w:val="22"/>
        </w:rPr>
        <w:t>: No</w:t>
      </w:r>
      <w:r w:rsidR="000211EC" w:rsidRPr="00E45A7B">
        <w:rPr>
          <w:rFonts w:ascii="Arial" w:hAnsi="Arial" w:cs="Arial"/>
          <w:sz w:val="22"/>
          <w:szCs w:val="22"/>
        </w:rPr>
        <w:t>,</w:t>
      </w:r>
      <w:r w:rsidRPr="00E45A7B">
        <w:rPr>
          <w:rFonts w:ascii="Arial" w:hAnsi="Arial" w:cs="Arial"/>
          <w:sz w:val="22"/>
          <w:szCs w:val="22"/>
        </w:rPr>
        <w:t xml:space="preserve"> no</w:t>
      </w:r>
      <w:r w:rsidR="000211EC" w:rsidRPr="00E45A7B">
        <w:rPr>
          <w:rFonts w:ascii="Arial" w:hAnsi="Arial" w:cs="Arial"/>
          <w:sz w:val="22"/>
          <w:szCs w:val="22"/>
        </w:rPr>
        <w:t>,</w:t>
      </w:r>
      <w:r w:rsidRPr="00E45A7B">
        <w:rPr>
          <w:rFonts w:ascii="Arial" w:hAnsi="Arial" w:cs="Arial"/>
          <w:sz w:val="22"/>
          <w:szCs w:val="22"/>
        </w:rPr>
        <w:t xml:space="preserve"> no, quiero que ahorita que entre una chica le pidas la identificación</w:t>
      </w:r>
      <w:r w:rsidR="00167D07" w:rsidRPr="00E45A7B">
        <w:rPr>
          <w:rFonts w:ascii="Arial" w:hAnsi="Arial" w:cs="Arial"/>
          <w:sz w:val="22"/>
          <w:szCs w:val="22"/>
        </w:rPr>
        <w:t>.</w:t>
      </w:r>
    </w:p>
    <w:p w14:paraId="3F3C9ED9" w14:textId="77777777" w:rsidR="00CB3D7A" w:rsidRPr="00E45A7B" w:rsidRDefault="00CB3D7A" w:rsidP="00DF65FF">
      <w:pPr>
        <w:spacing w:after="60" w:line="276" w:lineRule="auto"/>
        <w:ind w:left="567"/>
        <w:jc w:val="both"/>
        <w:rPr>
          <w:rFonts w:ascii="Arial" w:hAnsi="Arial" w:cs="Arial"/>
          <w:sz w:val="22"/>
          <w:szCs w:val="22"/>
        </w:rPr>
      </w:pPr>
      <w:r w:rsidRPr="00E45A7B">
        <w:rPr>
          <w:rFonts w:ascii="Arial" w:hAnsi="Arial" w:cs="Arial"/>
          <w:sz w:val="22"/>
          <w:szCs w:val="22"/>
        </w:rPr>
        <w:t>Guardia: Si no tienes la capacidad de…</w:t>
      </w:r>
    </w:p>
    <w:p w14:paraId="004C86BB" w14:textId="5E906AAA" w:rsidR="00CB3D7A" w:rsidRPr="00E45A7B" w:rsidRDefault="00CB3D7A" w:rsidP="00DF65FF">
      <w:pPr>
        <w:spacing w:after="60" w:line="276" w:lineRule="auto"/>
        <w:ind w:left="567"/>
        <w:jc w:val="both"/>
        <w:rPr>
          <w:rFonts w:ascii="Arial" w:hAnsi="Arial" w:cs="Arial"/>
          <w:sz w:val="22"/>
          <w:szCs w:val="22"/>
          <w:lang w:val="es-ES_tradnl"/>
        </w:rPr>
      </w:pPr>
      <w:r w:rsidRPr="00E45A7B">
        <w:rPr>
          <w:rFonts w:ascii="Arial" w:hAnsi="Arial" w:cs="Arial"/>
          <w:sz w:val="22"/>
          <w:szCs w:val="22"/>
        </w:rPr>
        <w:t xml:space="preserve">Mujer </w:t>
      </w:r>
      <w:r w:rsidR="00B33EE5" w:rsidRPr="00E45A7B">
        <w:rPr>
          <w:rFonts w:ascii="Arial" w:hAnsi="Arial" w:cs="Arial"/>
          <w:sz w:val="22"/>
          <w:szCs w:val="22"/>
        </w:rPr>
        <w:t>2</w:t>
      </w:r>
      <w:r w:rsidRPr="00E45A7B">
        <w:rPr>
          <w:rFonts w:ascii="Arial" w:hAnsi="Arial" w:cs="Arial"/>
          <w:sz w:val="22"/>
          <w:szCs w:val="22"/>
        </w:rPr>
        <w:t xml:space="preserve">: ¡Si </w:t>
      </w:r>
      <w:r w:rsidR="004758B3" w:rsidRPr="00E45A7B">
        <w:rPr>
          <w:rFonts w:ascii="Arial" w:hAnsi="Arial" w:cs="Arial"/>
          <w:sz w:val="22"/>
          <w:szCs w:val="22"/>
        </w:rPr>
        <w:t>tú</w:t>
      </w:r>
      <w:r w:rsidRPr="00E45A7B">
        <w:rPr>
          <w:rFonts w:ascii="Arial" w:hAnsi="Arial" w:cs="Arial"/>
          <w:sz w:val="22"/>
          <w:szCs w:val="22"/>
        </w:rPr>
        <w:t xml:space="preserve"> no tienes la capacidad de ser un humano! ¡Porque no tienes humanidad! Lo que estás haciendo es una mugre, eres un ignorante. Oilo </w:t>
      </w:r>
      <w:r w:rsidR="00167D07" w:rsidRPr="00E45A7B">
        <w:rPr>
          <w:rFonts w:ascii="Arial" w:hAnsi="Arial" w:cs="Arial"/>
          <w:sz w:val="22"/>
          <w:szCs w:val="22"/>
        </w:rPr>
        <w:t xml:space="preserve">(sic) </w:t>
      </w:r>
      <w:r w:rsidRPr="00E45A7B">
        <w:rPr>
          <w:rFonts w:ascii="Arial" w:hAnsi="Arial" w:cs="Arial"/>
          <w:sz w:val="22"/>
          <w:szCs w:val="22"/>
        </w:rPr>
        <w:t>bien.</w:t>
      </w:r>
    </w:p>
    <w:p w14:paraId="7452DAB9" w14:textId="3D361779" w:rsidR="0042793F" w:rsidRPr="00E45A7B" w:rsidRDefault="00CB3D7A" w:rsidP="00DF65FF">
      <w:pPr>
        <w:spacing w:after="60" w:line="276" w:lineRule="auto"/>
        <w:ind w:left="567"/>
        <w:jc w:val="both"/>
        <w:rPr>
          <w:rFonts w:ascii="Arial" w:hAnsi="Arial" w:cs="Arial"/>
          <w:sz w:val="22"/>
          <w:szCs w:val="22"/>
        </w:rPr>
      </w:pPr>
      <w:r w:rsidRPr="00E45A7B">
        <w:rPr>
          <w:rFonts w:ascii="Arial" w:hAnsi="Arial" w:cs="Arial"/>
          <w:sz w:val="22"/>
          <w:szCs w:val="22"/>
        </w:rPr>
        <w:lastRenderedPageBreak/>
        <w:t>*</w:t>
      </w:r>
      <w:r w:rsidR="002F1285" w:rsidRPr="00E45A7B">
        <w:rPr>
          <w:rFonts w:ascii="Arial" w:hAnsi="Arial" w:cs="Arial"/>
          <w:sz w:val="22"/>
          <w:szCs w:val="22"/>
        </w:rPr>
        <w:t xml:space="preserve">El video cambia </w:t>
      </w:r>
      <w:r w:rsidRPr="00E45A7B">
        <w:rPr>
          <w:rFonts w:ascii="Arial" w:hAnsi="Arial" w:cs="Arial"/>
          <w:sz w:val="22"/>
          <w:szCs w:val="22"/>
        </w:rPr>
        <w:t>a otra toma</w:t>
      </w:r>
      <w:r w:rsidR="002F1285" w:rsidRPr="00E45A7B">
        <w:rPr>
          <w:rFonts w:ascii="Arial" w:hAnsi="Arial" w:cs="Arial"/>
          <w:sz w:val="22"/>
          <w:szCs w:val="22"/>
        </w:rPr>
        <w:t xml:space="preserve">. </w:t>
      </w:r>
      <w:r w:rsidR="0042793F" w:rsidRPr="00E45A7B">
        <w:rPr>
          <w:rFonts w:ascii="Arial" w:hAnsi="Arial" w:cs="Arial"/>
          <w:sz w:val="22"/>
          <w:szCs w:val="22"/>
        </w:rPr>
        <w:t>La mujer 2 (quien graba el video) y la mujer 1 se encuentran al interior de un baño. Las dos mujeres se dirigen a la cámara y manifiestan lo siguiente</w:t>
      </w:r>
      <w:r w:rsidR="002F1285" w:rsidRPr="00E45A7B">
        <w:rPr>
          <w:rFonts w:ascii="Arial" w:hAnsi="Arial" w:cs="Arial"/>
          <w:sz w:val="22"/>
          <w:szCs w:val="22"/>
        </w:rPr>
        <w:t>*</w:t>
      </w:r>
      <w:r w:rsidR="0042793F" w:rsidRPr="00E45A7B">
        <w:rPr>
          <w:rFonts w:ascii="Arial" w:hAnsi="Arial" w:cs="Arial"/>
          <w:sz w:val="22"/>
          <w:szCs w:val="22"/>
        </w:rPr>
        <w:t xml:space="preserve">. </w:t>
      </w:r>
    </w:p>
    <w:p w14:paraId="15E3AFD6" w14:textId="56D454F6" w:rsidR="002F1285" w:rsidRPr="00E45A7B" w:rsidRDefault="00CB3D7A" w:rsidP="00DF65FF">
      <w:pPr>
        <w:spacing w:after="60" w:line="276" w:lineRule="auto"/>
        <w:ind w:left="567"/>
        <w:jc w:val="both"/>
        <w:rPr>
          <w:rFonts w:ascii="Arial" w:hAnsi="Arial" w:cs="Arial"/>
          <w:sz w:val="22"/>
          <w:szCs w:val="22"/>
        </w:rPr>
      </w:pPr>
      <w:r w:rsidRPr="00E45A7B">
        <w:rPr>
          <w:rFonts w:ascii="Arial" w:hAnsi="Arial" w:cs="Arial"/>
          <w:sz w:val="22"/>
          <w:szCs w:val="22"/>
        </w:rPr>
        <w:t xml:space="preserve">Mujer </w:t>
      </w:r>
      <w:r w:rsidR="00B33EE5" w:rsidRPr="00E45A7B">
        <w:rPr>
          <w:rFonts w:ascii="Arial" w:hAnsi="Arial" w:cs="Arial"/>
          <w:sz w:val="22"/>
          <w:szCs w:val="22"/>
        </w:rPr>
        <w:t>2</w:t>
      </w:r>
      <w:r w:rsidRPr="00E45A7B">
        <w:rPr>
          <w:rFonts w:ascii="Arial" w:hAnsi="Arial" w:cs="Arial"/>
          <w:sz w:val="22"/>
          <w:szCs w:val="22"/>
        </w:rPr>
        <w:t xml:space="preserve">: Tu </w:t>
      </w:r>
      <w:r w:rsidR="00FE34E5">
        <w:rPr>
          <w:rFonts w:ascii="Arial" w:hAnsi="Arial" w:cs="Arial"/>
          <w:sz w:val="22"/>
          <w:szCs w:val="22"/>
        </w:rPr>
        <w:t>*</w:t>
      </w:r>
      <w:r w:rsidR="002F1285" w:rsidRPr="00E45A7B">
        <w:rPr>
          <w:rFonts w:ascii="Arial" w:hAnsi="Arial" w:cs="Arial"/>
          <w:sz w:val="22"/>
          <w:szCs w:val="22"/>
        </w:rPr>
        <w:t>*</w:t>
      </w:r>
      <w:r w:rsidR="004C03D1" w:rsidRPr="00E45A7B">
        <w:rPr>
          <w:rFonts w:ascii="Arial" w:hAnsi="Arial" w:cs="Arial"/>
          <w:sz w:val="22"/>
          <w:szCs w:val="22"/>
        </w:rPr>
        <w:t>*</w:t>
      </w:r>
      <w:r w:rsidR="00FE34E5">
        <w:rPr>
          <w:rFonts w:ascii="Arial" w:hAnsi="Arial" w:cs="Arial"/>
          <w:sz w:val="22"/>
          <w:szCs w:val="22"/>
        </w:rPr>
        <w:t>*</w:t>
      </w:r>
      <w:r w:rsidRPr="00E45A7B">
        <w:rPr>
          <w:rFonts w:ascii="Arial" w:hAnsi="Arial" w:cs="Arial"/>
          <w:sz w:val="22"/>
          <w:szCs w:val="22"/>
        </w:rPr>
        <w:t xml:space="preserve"> </w:t>
      </w:r>
      <w:r w:rsidR="002F1285" w:rsidRPr="00E45A7B">
        <w:rPr>
          <w:rFonts w:ascii="Arial" w:hAnsi="Arial" w:cs="Arial"/>
          <w:sz w:val="22"/>
          <w:szCs w:val="22"/>
        </w:rPr>
        <w:t>“</w:t>
      </w:r>
      <w:r w:rsidRPr="00E45A7B">
        <w:rPr>
          <w:rFonts w:ascii="Arial" w:hAnsi="Arial" w:cs="Arial"/>
          <w:sz w:val="22"/>
          <w:szCs w:val="22"/>
        </w:rPr>
        <w:t>ciudad amigable</w:t>
      </w:r>
      <w:r w:rsidR="002F1285" w:rsidRPr="00E45A7B">
        <w:rPr>
          <w:rFonts w:ascii="Arial" w:hAnsi="Arial" w:cs="Arial"/>
          <w:sz w:val="22"/>
          <w:szCs w:val="22"/>
        </w:rPr>
        <w:t>”</w:t>
      </w:r>
      <w:r w:rsidRPr="00E45A7B">
        <w:rPr>
          <w:rFonts w:ascii="Arial" w:hAnsi="Arial" w:cs="Arial"/>
          <w:sz w:val="22"/>
          <w:szCs w:val="22"/>
        </w:rPr>
        <w:t xml:space="preserve">, CDMX. Ahí la tienen. </w:t>
      </w:r>
    </w:p>
    <w:p w14:paraId="365E9B7A" w14:textId="525786A5" w:rsidR="00CB3D7A" w:rsidRPr="00E45A7B" w:rsidRDefault="00CB3D7A" w:rsidP="00DF65FF">
      <w:pPr>
        <w:spacing w:after="60" w:line="276" w:lineRule="auto"/>
        <w:ind w:left="567"/>
        <w:jc w:val="both"/>
        <w:rPr>
          <w:rFonts w:ascii="Arial" w:hAnsi="Arial" w:cs="Arial"/>
          <w:sz w:val="22"/>
          <w:szCs w:val="22"/>
        </w:rPr>
      </w:pPr>
      <w:r w:rsidRPr="00E45A7B">
        <w:rPr>
          <w:rFonts w:ascii="Arial" w:hAnsi="Arial" w:cs="Arial"/>
          <w:sz w:val="22"/>
          <w:szCs w:val="22"/>
        </w:rPr>
        <w:t>*</w:t>
      </w:r>
      <w:r w:rsidR="002F1285" w:rsidRPr="00E45A7B">
        <w:rPr>
          <w:rFonts w:ascii="Arial" w:hAnsi="Arial" w:cs="Arial"/>
          <w:sz w:val="22"/>
          <w:szCs w:val="22"/>
        </w:rPr>
        <w:t xml:space="preserve">La mujer 2 </w:t>
      </w:r>
      <w:r w:rsidRPr="00E45A7B">
        <w:rPr>
          <w:rFonts w:ascii="Arial" w:hAnsi="Arial" w:cs="Arial"/>
          <w:sz w:val="22"/>
          <w:szCs w:val="22"/>
        </w:rPr>
        <w:t xml:space="preserve">cierra la puerta del </w:t>
      </w:r>
      <w:r w:rsidR="001E0D4C" w:rsidRPr="00E45A7B">
        <w:rPr>
          <w:rFonts w:ascii="Arial" w:hAnsi="Arial" w:cs="Arial"/>
          <w:sz w:val="22"/>
          <w:szCs w:val="22"/>
        </w:rPr>
        <w:t xml:space="preserve">uno de los cubículos del </w:t>
      </w:r>
      <w:r w:rsidRPr="00E45A7B">
        <w:rPr>
          <w:rFonts w:ascii="Arial" w:hAnsi="Arial" w:cs="Arial"/>
          <w:sz w:val="22"/>
          <w:szCs w:val="22"/>
        </w:rPr>
        <w:t>sanitario*</w:t>
      </w:r>
      <w:r w:rsidR="001E0D4C" w:rsidRPr="00E45A7B">
        <w:rPr>
          <w:rFonts w:ascii="Arial" w:hAnsi="Arial" w:cs="Arial"/>
          <w:sz w:val="22"/>
          <w:szCs w:val="22"/>
        </w:rPr>
        <w:t>.</w:t>
      </w:r>
    </w:p>
    <w:p w14:paraId="43048188" w14:textId="1596A4BF" w:rsidR="00CB3D7A" w:rsidRPr="00E45A7B" w:rsidRDefault="00CB3D7A" w:rsidP="00DF65FF">
      <w:pPr>
        <w:pStyle w:val="corte4fondo"/>
        <w:spacing w:after="60" w:line="276" w:lineRule="auto"/>
        <w:ind w:left="567" w:right="51" w:firstLine="0"/>
        <w:rPr>
          <w:rFonts w:cs="Arial"/>
          <w:sz w:val="22"/>
          <w:szCs w:val="22"/>
        </w:rPr>
      </w:pPr>
      <w:r w:rsidRPr="00E45A7B">
        <w:rPr>
          <w:rFonts w:cs="Arial"/>
          <w:sz w:val="22"/>
          <w:szCs w:val="22"/>
        </w:rPr>
        <w:t xml:space="preserve">Mujer </w:t>
      </w:r>
      <w:r w:rsidR="00B33EE5" w:rsidRPr="00E45A7B">
        <w:rPr>
          <w:rFonts w:cs="Arial"/>
          <w:sz w:val="22"/>
          <w:szCs w:val="22"/>
        </w:rPr>
        <w:t>2</w:t>
      </w:r>
      <w:r w:rsidRPr="00E45A7B">
        <w:rPr>
          <w:rFonts w:cs="Arial"/>
          <w:sz w:val="22"/>
          <w:szCs w:val="22"/>
        </w:rPr>
        <w:t xml:space="preserve">: Pues no conforme con que no nos querían dejar entrar al baño y nos pidieron nuestra identificación, aun sin saber si habíamos ya homologado o hecho el cambio de identidad de género oficial, ¡ah bueno! Nos dejaron adentro del baño, pero ya no están dejando meter a nadie al baño porque hay </w:t>
      </w:r>
      <w:r w:rsidR="00817B55" w:rsidRPr="00E45A7B">
        <w:rPr>
          <w:rFonts w:cs="Arial"/>
          <w:sz w:val="22"/>
          <w:szCs w:val="22"/>
        </w:rPr>
        <w:t>“</w:t>
      </w:r>
      <w:r w:rsidRPr="00E45A7B">
        <w:rPr>
          <w:rFonts w:cs="Arial"/>
          <w:sz w:val="22"/>
          <w:szCs w:val="22"/>
        </w:rPr>
        <w:t>dos hombres</w:t>
      </w:r>
      <w:r w:rsidR="00817B55" w:rsidRPr="00E45A7B">
        <w:rPr>
          <w:rFonts w:cs="Arial"/>
          <w:sz w:val="22"/>
          <w:szCs w:val="22"/>
        </w:rPr>
        <w:t>”</w:t>
      </w:r>
      <w:r w:rsidRPr="00E45A7B">
        <w:rPr>
          <w:rFonts w:cs="Arial"/>
          <w:sz w:val="22"/>
          <w:szCs w:val="22"/>
        </w:rPr>
        <w:t xml:space="preserve"> aquí en el baño. Miren, no es mentira, estamos solo en el baño y cerrada la puerta.</w:t>
      </w:r>
    </w:p>
    <w:p w14:paraId="43A27969" w14:textId="50A11EFC" w:rsidR="00E61D22" w:rsidRPr="00E45A7B" w:rsidRDefault="00E61D22" w:rsidP="00DF65FF">
      <w:pPr>
        <w:pStyle w:val="corte4fondo"/>
        <w:spacing w:after="60" w:line="276" w:lineRule="auto"/>
        <w:ind w:left="567" w:right="51" w:firstLine="0"/>
        <w:rPr>
          <w:rFonts w:cs="Arial"/>
          <w:sz w:val="22"/>
          <w:szCs w:val="22"/>
        </w:rPr>
      </w:pPr>
      <w:r w:rsidRPr="00E45A7B">
        <w:rPr>
          <w:rFonts w:cs="Arial"/>
          <w:sz w:val="22"/>
          <w:szCs w:val="22"/>
        </w:rPr>
        <w:t>*La mujer 2 muestra el sanitario sin presencia de otras personas*.</w:t>
      </w:r>
    </w:p>
    <w:p w14:paraId="13DC6FA4" w14:textId="677E006C" w:rsidR="00CB3D7A" w:rsidRPr="00E45A7B" w:rsidRDefault="00CB3D7A" w:rsidP="00DF65FF">
      <w:pPr>
        <w:pStyle w:val="corte4fondo"/>
        <w:spacing w:after="60" w:line="276" w:lineRule="auto"/>
        <w:ind w:left="567" w:right="51" w:firstLine="0"/>
        <w:rPr>
          <w:rFonts w:cs="Arial"/>
          <w:sz w:val="22"/>
          <w:szCs w:val="22"/>
        </w:rPr>
      </w:pPr>
      <w:r w:rsidRPr="00E45A7B">
        <w:rPr>
          <w:rFonts w:cs="Arial"/>
          <w:sz w:val="22"/>
          <w:szCs w:val="22"/>
        </w:rPr>
        <w:t xml:space="preserve">Mujer </w:t>
      </w:r>
      <w:r w:rsidR="00B33EE5" w:rsidRPr="00E45A7B">
        <w:rPr>
          <w:rFonts w:cs="Arial"/>
          <w:sz w:val="22"/>
          <w:szCs w:val="22"/>
        </w:rPr>
        <w:t>1</w:t>
      </w:r>
      <w:r w:rsidRPr="00E45A7B">
        <w:rPr>
          <w:rFonts w:cs="Arial"/>
          <w:sz w:val="22"/>
          <w:szCs w:val="22"/>
        </w:rPr>
        <w:t>: Están diciendo a la gente, que no entren porque evidentemente… ahorita vamos a ver toda la amedrentación.</w:t>
      </w:r>
    </w:p>
    <w:p w14:paraId="2A06DBC8" w14:textId="2C1181D8" w:rsidR="00CB3D7A" w:rsidRPr="00E45A7B" w:rsidRDefault="00CB3D7A" w:rsidP="00DF65FF">
      <w:pPr>
        <w:pStyle w:val="corte4fondo"/>
        <w:spacing w:after="60" w:line="276" w:lineRule="auto"/>
        <w:ind w:left="567" w:right="51" w:firstLine="0"/>
        <w:rPr>
          <w:rFonts w:cs="Arial"/>
          <w:sz w:val="22"/>
          <w:szCs w:val="22"/>
        </w:rPr>
      </w:pPr>
      <w:r w:rsidRPr="00E45A7B">
        <w:rPr>
          <w:rFonts w:cs="Arial"/>
          <w:sz w:val="22"/>
          <w:szCs w:val="22"/>
        </w:rPr>
        <w:t>*</w:t>
      </w:r>
      <w:r w:rsidR="00817B55" w:rsidRPr="00E45A7B">
        <w:rPr>
          <w:rFonts w:cs="Arial"/>
          <w:sz w:val="22"/>
          <w:szCs w:val="22"/>
        </w:rPr>
        <w:t>A</w:t>
      </w:r>
      <w:r w:rsidRPr="00E45A7B">
        <w:rPr>
          <w:rFonts w:cs="Arial"/>
          <w:sz w:val="22"/>
          <w:szCs w:val="22"/>
        </w:rPr>
        <w:t xml:space="preserve">bren la puerta del </w:t>
      </w:r>
      <w:r w:rsidR="00817B55" w:rsidRPr="00E45A7B">
        <w:rPr>
          <w:rFonts w:cs="Arial"/>
          <w:sz w:val="22"/>
          <w:szCs w:val="22"/>
        </w:rPr>
        <w:t xml:space="preserve">sanitario </w:t>
      </w:r>
      <w:r w:rsidRPr="00E45A7B">
        <w:rPr>
          <w:rFonts w:cs="Arial"/>
          <w:sz w:val="22"/>
          <w:szCs w:val="22"/>
        </w:rPr>
        <w:t>y salen*</w:t>
      </w:r>
      <w:r w:rsidR="00817B55" w:rsidRPr="00E45A7B">
        <w:rPr>
          <w:rFonts w:cs="Arial"/>
          <w:sz w:val="22"/>
          <w:szCs w:val="22"/>
        </w:rPr>
        <w:t>.</w:t>
      </w:r>
    </w:p>
    <w:p w14:paraId="46981194" w14:textId="67E31E80" w:rsidR="00CB3D7A" w:rsidRPr="00E45A7B" w:rsidRDefault="00CB3D7A" w:rsidP="00DF65FF">
      <w:pPr>
        <w:pStyle w:val="corte4fondo"/>
        <w:spacing w:after="60" w:line="276" w:lineRule="auto"/>
        <w:ind w:left="567" w:right="51" w:firstLine="0"/>
        <w:rPr>
          <w:rFonts w:cs="Arial"/>
          <w:sz w:val="22"/>
          <w:szCs w:val="22"/>
        </w:rPr>
      </w:pPr>
      <w:r w:rsidRPr="00E45A7B">
        <w:rPr>
          <w:rFonts w:cs="Arial"/>
          <w:sz w:val="22"/>
          <w:szCs w:val="22"/>
        </w:rPr>
        <w:t xml:space="preserve">Mujer </w:t>
      </w:r>
      <w:r w:rsidR="00B33EE5" w:rsidRPr="00E45A7B">
        <w:rPr>
          <w:rFonts w:cs="Arial"/>
          <w:sz w:val="22"/>
          <w:szCs w:val="22"/>
        </w:rPr>
        <w:t>2</w:t>
      </w:r>
      <w:r w:rsidRPr="00E45A7B">
        <w:rPr>
          <w:rFonts w:cs="Arial"/>
          <w:sz w:val="22"/>
          <w:szCs w:val="22"/>
        </w:rPr>
        <w:t>: Ajá, y de hecho tienen a la gente formada, la verdad la están formando como si deveras no pudiéramos entrar al baño.</w:t>
      </w:r>
    </w:p>
    <w:p w14:paraId="0C24811D" w14:textId="57F065DB" w:rsidR="00CB3D7A" w:rsidRPr="00E45A7B" w:rsidRDefault="00CB3D7A" w:rsidP="00DF65FF">
      <w:pPr>
        <w:pStyle w:val="corte4fondo"/>
        <w:spacing w:after="60" w:line="276" w:lineRule="auto"/>
        <w:ind w:left="567" w:right="51" w:firstLine="0"/>
        <w:rPr>
          <w:rFonts w:cs="Arial"/>
          <w:sz w:val="22"/>
          <w:szCs w:val="22"/>
        </w:rPr>
      </w:pPr>
      <w:r w:rsidRPr="00E45A7B">
        <w:rPr>
          <w:rFonts w:cs="Arial"/>
          <w:sz w:val="22"/>
          <w:szCs w:val="22"/>
        </w:rPr>
        <w:t>*</w:t>
      </w:r>
      <w:r w:rsidR="00656A03" w:rsidRPr="00E45A7B">
        <w:rPr>
          <w:rFonts w:cs="Arial"/>
          <w:sz w:val="22"/>
          <w:szCs w:val="22"/>
        </w:rPr>
        <w:t>La m</w:t>
      </w:r>
      <w:r w:rsidRPr="00E45A7B">
        <w:rPr>
          <w:rFonts w:cs="Arial"/>
          <w:sz w:val="22"/>
          <w:szCs w:val="22"/>
        </w:rPr>
        <w:t xml:space="preserve">ujer </w:t>
      </w:r>
      <w:r w:rsidR="00B33EE5" w:rsidRPr="00E45A7B">
        <w:rPr>
          <w:rFonts w:cs="Arial"/>
          <w:sz w:val="22"/>
          <w:szCs w:val="22"/>
        </w:rPr>
        <w:t>2</w:t>
      </w:r>
      <w:r w:rsidRPr="00E45A7B">
        <w:rPr>
          <w:rFonts w:cs="Arial"/>
          <w:sz w:val="22"/>
          <w:szCs w:val="22"/>
        </w:rPr>
        <w:t xml:space="preserve"> se dirige a quienes parecen ser personal de seguridad del centro comercial*</w:t>
      </w:r>
      <w:r w:rsidR="00656A03" w:rsidRPr="00E45A7B">
        <w:rPr>
          <w:rFonts w:cs="Arial"/>
          <w:sz w:val="22"/>
          <w:szCs w:val="22"/>
        </w:rPr>
        <w:t>.</w:t>
      </w:r>
    </w:p>
    <w:p w14:paraId="6F75FFDC" w14:textId="22FE0B62" w:rsidR="00656A03" w:rsidRPr="00E45A7B" w:rsidRDefault="00CB3D7A" w:rsidP="00DF65FF">
      <w:pPr>
        <w:pStyle w:val="corte4fondo"/>
        <w:spacing w:after="60" w:line="276" w:lineRule="auto"/>
        <w:ind w:left="567" w:right="51" w:firstLine="0"/>
        <w:rPr>
          <w:rFonts w:cs="Arial"/>
          <w:sz w:val="22"/>
          <w:szCs w:val="22"/>
        </w:rPr>
      </w:pPr>
      <w:r w:rsidRPr="00E45A7B">
        <w:rPr>
          <w:rFonts w:cs="Arial"/>
          <w:sz w:val="22"/>
          <w:szCs w:val="22"/>
        </w:rPr>
        <w:t xml:space="preserve">Mujer </w:t>
      </w:r>
      <w:r w:rsidR="00B33EE5" w:rsidRPr="00E45A7B">
        <w:rPr>
          <w:rFonts w:cs="Arial"/>
          <w:sz w:val="22"/>
          <w:szCs w:val="22"/>
        </w:rPr>
        <w:t>2</w:t>
      </w:r>
      <w:r w:rsidRPr="00E45A7B">
        <w:rPr>
          <w:rFonts w:cs="Arial"/>
          <w:sz w:val="22"/>
          <w:szCs w:val="22"/>
        </w:rPr>
        <w:t xml:space="preserve">: Oiga un favor, </w:t>
      </w:r>
      <w:r w:rsidR="00CB6B37" w:rsidRPr="00E45A7B">
        <w:rPr>
          <w:rFonts w:cs="Arial"/>
          <w:sz w:val="22"/>
          <w:szCs w:val="22"/>
        </w:rPr>
        <w:t>¿</w:t>
      </w:r>
      <w:r w:rsidRPr="00E45A7B">
        <w:rPr>
          <w:rFonts w:cs="Arial"/>
          <w:sz w:val="22"/>
          <w:szCs w:val="22"/>
        </w:rPr>
        <w:t>la persona que estaba aquí quién es</w:t>
      </w:r>
      <w:r w:rsidR="00CB6B37" w:rsidRPr="00E45A7B">
        <w:rPr>
          <w:rFonts w:cs="Arial"/>
          <w:sz w:val="22"/>
          <w:szCs w:val="22"/>
        </w:rPr>
        <w:t>? S</w:t>
      </w:r>
      <w:r w:rsidRPr="00E45A7B">
        <w:rPr>
          <w:rFonts w:cs="Arial"/>
          <w:sz w:val="22"/>
          <w:szCs w:val="22"/>
        </w:rPr>
        <w:t xml:space="preserve">u nombre por favor. </w:t>
      </w:r>
    </w:p>
    <w:p w14:paraId="145C9E52" w14:textId="28FEFECE" w:rsidR="00656A03" w:rsidRPr="00E45A7B" w:rsidRDefault="00CB3D7A" w:rsidP="00DF65FF">
      <w:pPr>
        <w:pStyle w:val="corte4fondo"/>
        <w:spacing w:after="60" w:line="276" w:lineRule="auto"/>
        <w:ind w:left="567" w:right="51" w:firstLine="0"/>
        <w:rPr>
          <w:rFonts w:cs="Arial"/>
          <w:sz w:val="22"/>
          <w:szCs w:val="22"/>
        </w:rPr>
      </w:pPr>
      <w:r w:rsidRPr="00E45A7B">
        <w:rPr>
          <w:rFonts w:cs="Arial"/>
          <w:sz w:val="22"/>
          <w:szCs w:val="22"/>
        </w:rPr>
        <w:t>*</w:t>
      </w:r>
      <w:r w:rsidR="00656A03" w:rsidRPr="00E45A7B">
        <w:rPr>
          <w:rFonts w:cs="Arial"/>
          <w:sz w:val="22"/>
          <w:szCs w:val="22"/>
        </w:rPr>
        <w:t>La mujer 2 s</w:t>
      </w:r>
      <w:r w:rsidRPr="00E45A7B">
        <w:rPr>
          <w:rFonts w:cs="Arial"/>
          <w:sz w:val="22"/>
          <w:szCs w:val="22"/>
        </w:rPr>
        <w:t>e dirige a</w:t>
      </w:r>
      <w:r w:rsidR="00F7220B" w:rsidRPr="00E45A7B">
        <w:rPr>
          <w:rFonts w:cs="Arial"/>
          <w:sz w:val="22"/>
          <w:szCs w:val="22"/>
        </w:rPr>
        <w:t xml:space="preserve"> un guardia</w:t>
      </w:r>
      <w:r w:rsidRPr="00E45A7B">
        <w:rPr>
          <w:rFonts w:cs="Arial"/>
          <w:sz w:val="22"/>
          <w:szCs w:val="22"/>
        </w:rPr>
        <w:t xml:space="preserve"> </w:t>
      </w:r>
      <w:r w:rsidR="00F7220B" w:rsidRPr="00E45A7B">
        <w:rPr>
          <w:rFonts w:cs="Arial"/>
          <w:sz w:val="22"/>
          <w:szCs w:val="22"/>
        </w:rPr>
        <w:t>específico*.</w:t>
      </w:r>
      <w:r w:rsidRPr="00E45A7B">
        <w:rPr>
          <w:rFonts w:cs="Arial"/>
          <w:sz w:val="22"/>
          <w:szCs w:val="22"/>
        </w:rPr>
        <w:t xml:space="preserve"> </w:t>
      </w:r>
    </w:p>
    <w:p w14:paraId="7F690D92" w14:textId="5981E8A5" w:rsidR="00D071C0" w:rsidRPr="00E45A7B" w:rsidRDefault="00656A03" w:rsidP="00DF65FF">
      <w:pPr>
        <w:pStyle w:val="corte4fondo"/>
        <w:spacing w:after="60" w:line="276" w:lineRule="auto"/>
        <w:ind w:left="567" w:right="51" w:firstLine="0"/>
        <w:rPr>
          <w:rFonts w:cs="Arial"/>
          <w:sz w:val="22"/>
          <w:szCs w:val="22"/>
        </w:rPr>
      </w:pPr>
      <w:r w:rsidRPr="00E45A7B">
        <w:rPr>
          <w:rFonts w:cs="Arial"/>
          <w:sz w:val="22"/>
          <w:szCs w:val="22"/>
        </w:rPr>
        <w:t xml:space="preserve">Mujer 2: </w:t>
      </w:r>
      <w:r w:rsidR="00CB3D7A" w:rsidRPr="00E45A7B">
        <w:rPr>
          <w:rFonts w:cs="Arial"/>
          <w:sz w:val="22"/>
          <w:szCs w:val="22"/>
        </w:rPr>
        <w:t xml:space="preserve">¿Cuál es el nombre de la persona que estaba </w:t>
      </w:r>
      <w:r w:rsidR="00F7220B" w:rsidRPr="00E45A7B">
        <w:rPr>
          <w:rFonts w:cs="Arial"/>
          <w:sz w:val="22"/>
          <w:szCs w:val="22"/>
        </w:rPr>
        <w:t>aquí</w:t>
      </w:r>
      <w:r w:rsidR="00CB3D7A" w:rsidRPr="00E45A7B">
        <w:rPr>
          <w:rFonts w:cs="Arial"/>
          <w:sz w:val="22"/>
          <w:szCs w:val="22"/>
        </w:rPr>
        <w:t>? No sé si tu conoces las nuevas leyes de identidad oficial, en la cual, a nosotros no nos pueden pedir una identificación para entrar al baño, porque no se les piden…</w:t>
      </w:r>
    </w:p>
    <w:p w14:paraId="30D361F2" w14:textId="5FA1415D" w:rsidR="00CB3D7A" w:rsidRPr="00E45A7B" w:rsidRDefault="00DE7824" w:rsidP="00DF65FF">
      <w:pPr>
        <w:pStyle w:val="corte4fondo"/>
        <w:spacing w:after="60" w:line="276" w:lineRule="auto"/>
        <w:ind w:left="567" w:right="51" w:firstLine="0"/>
        <w:rPr>
          <w:rFonts w:cs="Arial"/>
          <w:sz w:val="22"/>
          <w:szCs w:val="22"/>
        </w:rPr>
      </w:pPr>
      <w:r w:rsidRPr="00E45A7B">
        <w:rPr>
          <w:rFonts w:cs="Arial"/>
          <w:sz w:val="22"/>
          <w:szCs w:val="22"/>
        </w:rPr>
        <w:t xml:space="preserve">Mujer 2: </w:t>
      </w:r>
      <w:r w:rsidR="00CB3D7A" w:rsidRPr="00E45A7B">
        <w:rPr>
          <w:rFonts w:cs="Arial"/>
          <w:sz w:val="22"/>
          <w:szCs w:val="22"/>
        </w:rPr>
        <w:t xml:space="preserve">Sí, </w:t>
      </w:r>
      <w:r w:rsidRPr="00E45A7B">
        <w:rPr>
          <w:rFonts w:cs="Arial"/>
          <w:sz w:val="22"/>
          <w:szCs w:val="22"/>
        </w:rPr>
        <w:t>é</w:t>
      </w:r>
      <w:r w:rsidR="00CB3D7A" w:rsidRPr="00E45A7B">
        <w:rPr>
          <w:rFonts w:cs="Arial"/>
          <w:sz w:val="22"/>
          <w:szCs w:val="22"/>
        </w:rPr>
        <w:t xml:space="preserve">l puede grabar, </w:t>
      </w:r>
      <w:r w:rsidR="00ED7D9B" w:rsidRPr="00E45A7B">
        <w:rPr>
          <w:rFonts w:cs="Arial"/>
          <w:sz w:val="22"/>
          <w:szCs w:val="22"/>
        </w:rPr>
        <w:t>é</w:t>
      </w:r>
      <w:r w:rsidR="00CB3D7A" w:rsidRPr="00E45A7B">
        <w:rPr>
          <w:rFonts w:cs="Arial"/>
          <w:sz w:val="22"/>
          <w:szCs w:val="22"/>
        </w:rPr>
        <w:t>l viene conmigo.</w:t>
      </w:r>
    </w:p>
    <w:p w14:paraId="0A566A9E" w14:textId="48557E74" w:rsidR="00CB3D7A" w:rsidRPr="00E45A7B" w:rsidRDefault="00DE7824" w:rsidP="00DF65FF">
      <w:pPr>
        <w:pStyle w:val="corte4fondo"/>
        <w:spacing w:after="60" w:line="276" w:lineRule="auto"/>
        <w:ind w:left="567" w:right="51" w:firstLine="0"/>
        <w:rPr>
          <w:rFonts w:cs="Arial"/>
          <w:sz w:val="22"/>
          <w:szCs w:val="22"/>
        </w:rPr>
      </w:pPr>
      <w:r w:rsidRPr="00E45A7B">
        <w:rPr>
          <w:rFonts w:cs="Arial"/>
          <w:sz w:val="22"/>
          <w:szCs w:val="22"/>
        </w:rPr>
        <w:t>Guardia 1:</w:t>
      </w:r>
      <w:r w:rsidR="00CB3D7A" w:rsidRPr="00E45A7B">
        <w:rPr>
          <w:rFonts w:cs="Arial"/>
          <w:sz w:val="22"/>
          <w:szCs w:val="22"/>
        </w:rPr>
        <w:t xml:space="preserve"> Nada más permíteme *inaudible*</w:t>
      </w:r>
      <w:r w:rsidR="00656A03" w:rsidRPr="00E45A7B">
        <w:rPr>
          <w:rFonts w:cs="Arial"/>
          <w:sz w:val="22"/>
          <w:szCs w:val="22"/>
        </w:rPr>
        <w:t>.</w:t>
      </w:r>
    </w:p>
    <w:p w14:paraId="5BFA517B" w14:textId="12E0F0AD" w:rsidR="00CB3D7A" w:rsidRPr="00E45A7B" w:rsidRDefault="00CB3D7A" w:rsidP="00DF65FF">
      <w:pPr>
        <w:pStyle w:val="corte4fondo"/>
        <w:spacing w:after="60" w:line="276" w:lineRule="auto"/>
        <w:ind w:left="567" w:right="51" w:firstLine="0"/>
        <w:rPr>
          <w:rFonts w:cs="Arial"/>
          <w:sz w:val="22"/>
          <w:szCs w:val="22"/>
        </w:rPr>
      </w:pPr>
      <w:r w:rsidRPr="00E45A7B">
        <w:rPr>
          <w:rFonts w:cs="Arial"/>
          <w:sz w:val="22"/>
          <w:szCs w:val="22"/>
        </w:rPr>
        <w:t xml:space="preserve">Mujer </w:t>
      </w:r>
      <w:r w:rsidR="00890490" w:rsidRPr="00E45A7B">
        <w:rPr>
          <w:rFonts w:cs="Arial"/>
          <w:sz w:val="22"/>
          <w:szCs w:val="22"/>
        </w:rPr>
        <w:t>2</w:t>
      </w:r>
      <w:r w:rsidRPr="00E45A7B">
        <w:rPr>
          <w:rFonts w:cs="Arial"/>
          <w:sz w:val="22"/>
          <w:szCs w:val="22"/>
        </w:rPr>
        <w:t>: ¡Dame un argumento legal! ¡Dame un argumento legal!</w:t>
      </w:r>
    </w:p>
    <w:p w14:paraId="0E4B29F1" w14:textId="5302EFB7" w:rsidR="00CB3D7A" w:rsidRPr="00E45A7B" w:rsidRDefault="00CB3D7A" w:rsidP="00DF65FF">
      <w:pPr>
        <w:pStyle w:val="corte4fondo"/>
        <w:spacing w:after="60" w:line="276" w:lineRule="auto"/>
        <w:ind w:left="567" w:right="51" w:firstLine="0"/>
        <w:rPr>
          <w:rFonts w:cs="Arial"/>
          <w:sz w:val="22"/>
          <w:szCs w:val="22"/>
        </w:rPr>
      </w:pPr>
      <w:r w:rsidRPr="00E45A7B">
        <w:rPr>
          <w:rFonts w:cs="Arial"/>
          <w:sz w:val="22"/>
          <w:szCs w:val="22"/>
        </w:rPr>
        <w:t xml:space="preserve">Mujer </w:t>
      </w:r>
      <w:r w:rsidR="00B33EE5" w:rsidRPr="00E45A7B">
        <w:rPr>
          <w:rFonts w:cs="Arial"/>
          <w:sz w:val="22"/>
          <w:szCs w:val="22"/>
        </w:rPr>
        <w:t>2</w:t>
      </w:r>
      <w:r w:rsidRPr="00E45A7B">
        <w:rPr>
          <w:rFonts w:cs="Arial"/>
          <w:sz w:val="22"/>
          <w:szCs w:val="22"/>
        </w:rPr>
        <w:t>: Bueno pero, el argumento legal de tu lugar privado</w:t>
      </w:r>
      <w:r w:rsidR="00ED7D9B" w:rsidRPr="00E45A7B">
        <w:rPr>
          <w:rFonts w:cs="Arial"/>
          <w:sz w:val="22"/>
          <w:szCs w:val="22"/>
        </w:rPr>
        <w:t>,</w:t>
      </w:r>
      <w:r w:rsidRPr="00E45A7B">
        <w:rPr>
          <w:rFonts w:cs="Arial"/>
          <w:sz w:val="22"/>
          <w:szCs w:val="22"/>
        </w:rPr>
        <w:t xml:space="preserve"> ¿cuál es? ¿Las mujeres transexuales no pueden entrar al baño?</w:t>
      </w:r>
    </w:p>
    <w:p w14:paraId="08E1332A" w14:textId="40A86FFB" w:rsidR="00CB3D7A" w:rsidRPr="00E45A7B" w:rsidRDefault="00CB3D7A" w:rsidP="00DF65FF">
      <w:pPr>
        <w:pStyle w:val="corte4fondo"/>
        <w:spacing w:after="60" w:line="276" w:lineRule="auto"/>
        <w:ind w:left="567" w:right="51" w:firstLine="0"/>
        <w:rPr>
          <w:rFonts w:cs="Arial"/>
          <w:sz w:val="22"/>
          <w:szCs w:val="22"/>
        </w:rPr>
      </w:pPr>
      <w:r w:rsidRPr="00E45A7B">
        <w:rPr>
          <w:rFonts w:cs="Arial"/>
          <w:sz w:val="22"/>
          <w:szCs w:val="22"/>
        </w:rPr>
        <w:t>*</w:t>
      </w:r>
      <w:r w:rsidR="00DE7824" w:rsidRPr="00E45A7B">
        <w:rPr>
          <w:rFonts w:cs="Arial"/>
          <w:sz w:val="22"/>
          <w:szCs w:val="22"/>
        </w:rPr>
        <w:t xml:space="preserve">El guardia 1 </w:t>
      </w:r>
      <w:r w:rsidRPr="00E45A7B">
        <w:rPr>
          <w:rFonts w:cs="Arial"/>
          <w:sz w:val="22"/>
          <w:szCs w:val="22"/>
        </w:rPr>
        <w:t>comenta algo inaudible</w:t>
      </w:r>
      <w:r w:rsidR="00ED7D9B" w:rsidRPr="00E45A7B">
        <w:rPr>
          <w:rFonts w:cs="Arial"/>
          <w:sz w:val="22"/>
          <w:szCs w:val="22"/>
        </w:rPr>
        <w:t>*.</w:t>
      </w:r>
    </w:p>
    <w:p w14:paraId="41B118CA" w14:textId="77777777" w:rsidR="00ED7D9B" w:rsidRPr="00E45A7B" w:rsidRDefault="00CB3D7A" w:rsidP="00DF65FF">
      <w:pPr>
        <w:pStyle w:val="corte4fondo"/>
        <w:spacing w:after="60" w:line="276" w:lineRule="auto"/>
        <w:ind w:left="567" w:right="51" w:firstLine="0"/>
        <w:rPr>
          <w:rFonts w:cs="Arial"/>
          <w:sz w:val="22"/>
          <w:szCs w:val="22"/>
        </w:rPr>
      </w:pPr>
      <w:r w:rsidRPr="00E45A7B">
        <w:rPr>
          <w:rFonts w:cs="Arial"/>
          <w:sz w:val="22"/>
          <w:szCs w:val="22"/>
        </w:rPr>
        <w:t xml:space="preserve">Mujer </w:t>
      </w:r>
      <w:r w:rsidR="00B33EE5" w:rsidRPr="00E45A7B">
        <w:rPr>
          <w:rFonts w:cs="Arial"/>
          <w:sz w:val="22"/>
          <w:szCs w:val="22"/>
        </w:rPr>
        <w:t>2</w:t>
      </w:r>
      <w:r w:rsidRPr="00E45A7B">
        <w:rPr>
          <w:rFonts w:cs="Arial"/>
          <w:sz w:val="22"/>
          <w:szCs w:val="22"/>
        </w:rPr>
        <w:t>: No</w:t>
      </w:r>
      <w:r w:rsidR="00ED7D9B" w:rsidRPr="00E45A7B">
        <w:rPr>
          <w:rFonts w:cs="Arial"/>
          <w:sz w:val="22"/>
          <w:szCs w:val="22"/>
        </w:rPr>
        <w:t>,</w:t>
      </w:r>
      <w:r w:rsidRPr="00E45A7B">
        <w:rPr>
          <w:rFonts w:cs="Arial"/>
          <w:sz w:val="22"/>
          <w:szCs w:val="22"/>
        </w:rPr>
        <w:t xml:space="preserve"> aquí afuera, aquí… Este…</w:t>
      </w:r>
    </w:p>
    <w:p w14:paraId="51AB5B29" w14:textId="6D5DFE23" w:rsidR="00ED7D9B" w:rsidRPr="00E45A7B" w:rsidRDefault="00ED7D9B" w:rsidP="00DF65FF">
      <w:pPr>
        <w:pStyle w:val="corte4fondo"/>
        <w:spacing w:after="60" w:line="276" w:lineRule="auto"/>
        <w:ind w:left="567" w:right="51" w:firstLine="0"/>
        <w:rPr>
          <w:rFonts w:cs="Arial"/>
          <w:sz w:val="22"/>
          <w:szCs w:val="22"/>
        </w:rPr>
      </w:pPr>
      <w:r w:rsidRPr="00E45A7B">
        <w:rPr>
          <w:rFonts w:cs="Arial"/>
          <w:sz w:val="22"/>
          <w:szCs w:val="22"/>
        </w:rPr>
        <w:t xml:space="preserve">*Mientras la mujer 2 habla, el guardia 1 se aleja </w:t>
      </w:r>
      <w:r w:rsidR="004D598D">
        <w:rPr>
          <w:rFonts w:cs="Arial"/>
          <w:sz w:val="22"/>
          <w:szCs w:val="22"/>
        </w:rPr>
        <w:t xml:space="preserve">abruptamente </w:t>
      </w:r>
      <w:r w:rsidRPr="00E45A7B">
        <w:rPr>
          <w:rFonts w:cs="Arial"/>
          <w:sz w:val="22"/>
          <w:szCs w:val="22"/>
        </w:rPr>
        <w:t>con el guardia 2 hacia una salida*.</w:t>
      </w:r>
      <w:r w:rsidR="00CB3D7A" w:rsidRPr="00E45A7B">
        <w:rPr>
          <w:rFonts w:cs="Arial"/>
          <w:sz w:val="22"/>
          <w:szCs w:val="22"/>
        </w:rPr>
        <w:t xml:space="preserve"> </w:t>
      </w:r>
    </w:p>
    <w:p w14:paraId="1B81F7C9" w14:textId="68E87941" w:rsidR="00F315F3" w:rsidRPr="00E45A7B" w:rsidRDefault="00ED7D9B" w:rsidP="00DF65FF">
      <w:pPr>
        <w:pStyle w:val="corte4fondo"/>
        <w:spacing w:after="60" w:line="276" w:lineRule="auto"/>
        <w:ind w:left="567" w:right="51" w:firstLine="0"/>
        <w:rPr>
          <w:rFonts w:cs="Arial"/>
          <w:sz w:val="22"/>
          <w:szCs w:val="22"/>
        </w:rPr>
      </w:pPr>
      <w:r w:rsidRPr="00E45A7B">
        <w:rPr>
          <w:rFonts w:cs="Arial"/>
          <w:sz w:val="22"/>
          <w:szCs w:val="22"/>
        </w:rPr>
        <w:t>Mujer 2:</w:t>
      </w:r>
      <w:r w:rsidR="00CB3D7A" w:rsidRPr="00E45A7B">
        <w:rPr>
          <w:rFonts w:cs="Arial"/>
          <w:sz w:val="22"/>
          <w:szCs w:val="22"/>
        </w:rPr>
        <w:t xml:space="preserve"> </w:t>
      </w:r>
      <w:r w:rsidR="002C0EBB" w:rsidRPr="00E45A7B">
        <w:rPr>
          <w:rFonts w:cs="Arial"/>
          <w:sz w:val="22"/>
          <w:szCs w:val="22"/>
        </w:rPr>
        <w:t>Y l</w:t>
      </w:r>
      <w:r w:rsidR="00CB3D7A" w:rsidRPr="00E45A7B">
        <w:rPr>
          <w:rFonts w:cs="Arial"/>
          <w:sz w:val="22"/>
          <w:szCs w:val="22"/>
        </w:rPr>
        <w:t>uego</w:t>
      </w:r>
      <w:r w:rsidR="002C0EBB" w:rsidRPr="00E45A7B">
        <w:rPr>
          <w:rFonts w:cs="Arial"/>
          <w:sz w:val="22"/>
          <w:szCs w:val="22"/>
        </w:rPr>
        <w:t>, a</w:t>
      </w:r>
      <w:r w:rsidR="00CB3D7A" w:rsidRPr="00E45A7B">
        <w:rPr>
          <w:rFonts w:cs="Arial"/>
          <w:sz w:val="22"/>
          <w:szCs w:val="22"/>
        </w:rPr>
        <w:t>sí nos dejan nada más</w:t>
      </w:r>
      <w:r w:rsidR="002C0EBB" w:rsidRPr="00E45A7B">
        <w:rPr>
          <w:rFonts w:cs="Arial"/>
          <w:sz w:val="22"/>
          <w:szCs w:val="22"/>
        </w:rPr>
        <w:t>. N</w:t>
      </w:r>
      <w:r w:rsidR="00CB3D7A" w:rsidRPr="00E45A7B">
        <w:rPr>
          <w:rFonts w:cs="Arial"/>
          <w:sz w:val="22"/>
          <w:szCs w:val="22"/>
        </w:rPr>
        <w:t xml:space="preserve">o dieron nombres, no dieron nada. Pero es esta marca de guardias de seguridad. </w:t>
      </w:r>
    </w:p>
    <w:p w14:paraId="1FF8DDB7" w14:textId="77777777" w:rsidR="00CB3D7A" w:rsidRPr="00070BFC" w:rsidRDefault="00CB3D7A" w:rsidP="00D73B0E">
      <w:pPr>
        <w:pStyle w:val="corte4fondo"/>
        <w:ind w:right="51" w:firstLine="0"/>
        <w:rPr>
          <w:rFonts w:cs="Arial"/>
          <w:sz w:val="26"/>
          <w:szCs w:val="26"/>
        </w:rPr>
      </w:pPr>
    </w:p>
    <w:p w14:paraId="71AECA85" w14:textId="392F4EB2" w:rsidR="007473A8" w:rsidRPr="00E45A7B" w:rsidRDefault="002A1621" w:rsidP="00E6421D">
      <w:pPr>
        <w:pStyle w:val="corte4fondo"/>
        <w:numPr>
          <w:ilvl w:val="3"/>
          <w:numId w:val="6"/>
        </w:numPr>
        <w:spacing w:after="240"/>
        <w:ind w:left="567" w:right="51"/>
        <w:rPr>
          <w:rFonts w:cs="Arial"/>
          <w:b/>
          <w:bCs/>
          <w:sz w:val="24"/>
          <w:szCs w:val="24"/>
        </w:rPr>
      </w:pPr>
      <w:r w:rsidRPr="00E45A7B">
        <w:rPr>
          <w:rFonts w:cs="Arial"/>
          <w:b/>
          <w:bCs/>
          <w:sz w:val="24"/>
          <w:szCs w:val="24"/>
        </w:rPr>
        <w:t>V</w:t>
      </w:r>
      <w:r w:rsidR="003D587B" w:rsidRPr="00E45A7B">
        <w:rPr>
          <w:rFonts w:cs="Arial"/>
          <w:b/>
          <w:bCs/>
          <w:sz w:val="24"/>
          <w:szCs w:val="24"/>
        </w:rPr>
        <w:t xml:space="preserve">ideo </w:t>
      </w:r>
      <w:r w:rsidR="00B30E7D" w:rsidRPr="00E45A7B">
        <w:rPr>
          <w:rFonts w:cs="Arial"/>
          <w:b/>
          <w:bCs/>
          <w:sz w:val="24"/>
          <w:szCs w:val="24"/>
        </w:rPr>
        <w:t xml:space="preserve">2, </w:t>
      </w:r>
      <w:r w:rsidRPr="00E45A7B">
        <w:rPr>
          <w:rFonts w:cs="Arial"/>
          <w:b/>
          <w:bCs/>
          <w:sz w:val="24"/>
          <w:szCs w:val="24"/>
        </w:rPr>
        <w:t xml:space="preserve">con </w:t>
      </w:r>
      <w:r w:rsidR="003D587B" w:rsidRPr="00E45A7B">
        <w:rPr>
          <w:rFonts w:cs="Arial"/>
          <w:b/>
          <w:bCs/>
          <w:sz w:val="24"/>
          <w:szCs w:val="24"/>
        </w:rPr>
        <w:t>duración de</w:t>
      </w:r>
      <w:r w:rsidR="00555C92" w:rsidRPr="00E45A7B">
        <w:rPr>
          <w:rFonts w:cs="Arial"/>
          <w:b/>
          <w:bCs/>
          <w:sz w:val="24"/>
          <w:szCs w:val="24"/>
        </w:rPr>
        <w:t xml:space="preserve"> cuarenta y tres segundos</w:t>
      </w:r>
      <w:r w:rsidR="003D587B" w:rsidRPr="00E45A7B">
        <w:rPr>
          <w:rFonts w:cs="Arial"/>
          <w:b/>
          <w:bCs/>
          <w:sz w:val="24"/>
          <w:szCs w:val="24"/>
        </w:rPr>
        <w:t>:</w:t>
      </w:r>
    </w:p>
    <w:p w14:paraId="005C5105" w14:textId="4F9C3EB3" w:rsidR="007026B8" w:rsidRPr="00E45A7B" w:rsidRDefault="003E1726" w:rsidP="00DF65FF">
      <w:pPr>
        <w:pStyle w:val="corte4fondo"/>
        <w:spacing w:after="60"/>
        <w:ind w:left="567" w:right="51" w:firstLine="0"/>
        <w:rPr>
          <w:rFonts w:cs="Arial"/>
          <w:sz w:val="22"/>
          <w:szCs w:val="22"/>
        </w:rPr>
      </w:pPr>
      <w:r w:rsidRPr="00E45A7B">
        <w:rPr>
          <w:rFonts w:cs="Arial"/>
          <w:sz w:val="22"/>
          <w:szCs w:val="22"/>
        </w:rPr>
        <w:t xml:space="preserve">*El video parece mostrar </w:t>
      </w:r>
      <w:r w:rsidRPr="006C165D">
        <w:rPr>
          <w:rFonts w:cs="Arial"/>
          <w:sz w:val="22"/>
          <w:szCs w:val="22"/>
        </w:rPr>
        <w:t xml:space="preserve">los mismos sucesos que el video 1 </w:t>
      </w:r>
      <w:r w:rsidRPr="00684576">
        <w:rPr>
          <w:rFonts w:cs="Arial"/>
          <w:sz w:val="22"/>
          <w:szCs w:val="22"/>
        </w:rPr>
        <w:t xml:space="preserve">(desde el minuto </w:t>
      </w:r>
      <w:r w:rsidR="00D41247" w:rsidRPr="00684576">
        <w:rPr>
          <w:rFonts w:cs="Arial"/>
          <w:sz w:val="22"/>
          <w:szCs w:val="22"/>
        </w:rPr>
        <w:t>dos</w:t>
      </w:r>
      <w:r w:rsidR="006C165D" w:rsidRPr="00684576">
        <w:rPr>
          <w:rFonts w:cs="Arial"/>
          <w:sz w:val="22"/>
          <w:szCs w:val="22"/>
        </w:rPr>
        <w:t xml:space="preserve">, </w:t>
      </w:r>
      <w:r w:rsidR="00D41247" w:rsidRPr="00684576">
        <w:rPr>
          <w:rFonts w:cs="Arial"/>
          <w:sz w:val="22"/>
          <w:szCs w:val="22"/>
        </w:rPr>
        <w:t xml:space="preserve">con </w:t>
      </w:r>
      <w:r w:rsidR="006C165D" w:rsidRPr="00684576">
        <w:rPr>
          <w:rFonts w:cs="Arial"/>
          <w:sz w:val="22"/>
          <w:szCs w:val="22"/>
        </w:rPr>
        <w:t xml:space="preserve">ocho segundos </w:t>
      </w:r>
      <w:r w:rsidRPr="00684576">
        <w:rPr>
          <w:rFonts w:cs="Arial"/>
          <w:sz w:val="22"/>
          <w:szCs w:val="22"/>
        </w:rPr>
        <w:t>de tal video),</w:t>
      </w:r>
      <w:r w:rsidRPr="006C165D">
        <w:rPr>
          <w:rFonts w:cs="Arial"/>
          <w:sz w:val="22"/>
          <w:szCs w:val="22"/>
        </w:rPr>
        <w:t xml:space="preserve"> grab</w:t>
      </w:r>
      <w:r w:rsidRPr="00E45A7B">
        <w:rPr>
          <w:rFonts w:cs="Arial"/>
          <w:sz w:val="22"/>
          <w:szCs w:val="22"/>
        </w:rPr>
        <w:t xml:space="preserve">ado por un tercero*. </w:t>
      </w:r>
    </w:p>
    <w:p w14:paraId="4C8C5E5D" w14:textId="00847D90" w:rsidR="00740A05" w:rsidRPr="00E45A7B" w:rsidRDefault="00740A05" w:rsidP="00DF65FF">
      <w:pPr>
        <w:spacing w:after="60" w:line="276" w:lineRule="auto"/>
        <w:ind w:left="567"/>
        <w:jc w:val="both"/>
        <w:rPr>
          <w:rFonts w:ascii="Arial" w:hAnsi="Arial" w:cs="Arial"/>
          <w:sz w:val="22"/>
          <w:szCs w:val="22"/>
        </w:rPr>
      </w:pPr>
      <w:r w:rsidRPr="00E45A7B">
        <w:rPr>
          <w:rFonts w:ascii="Arial" w:hAnsi="Arial" w:cs="Arial"/>
          <w:sz w:val="22"/>
          <w:szCs w:val="22"/>
        </w:rPr>
        <w:t>*</w:t>
      </w:r>
      <w:r w:rsidR="003349F9" w:rsidRPr="00E45A7B">
        <w:rPr>
          <w:rFonts w:ascii="Arial" w:hAnsi="Arial" w:cs="Arial"/>
          <w:sz w:val="22"/>
          <w:szCs w:val="22"/>
        </w:rPr>
        <w:t>Se observa</w:t>
      </w:r>
      <w:r w:rsidRPr="00E45A7B">
        <w:rPr>
          <w:rFonts w:ascii="Arial" w:hAnsi="Arial" w:cs="Arial"/>
          <w:sz w:val="22"/>
          <w:szCs w:val="22"/>
        </w:rPr>
        <w:t xml:space="preserve"> </w:t>
      </w:r>
      <w:r w:rsidR="003349F9" w:rsidRPr="00E45A7B">
        <w:rPr>
          <w:rFonts w:ascii="Arial" w:hAnsi="Arial" w:cs="Arial"/>
          <w:sz w:val="22"/>
          <w:szCs w:val="22"/>
        </w:rPr>
        <w:t>un</w:t>
      </w:r>
      <w:r w:rsidRPr="00E45A7B">
        <w:rPr>
          <w:rFonts w:ascii="Arial" w:hAnsi="Arial" w:cs="Arial"/>
          <w:sz w:val="22"/>
          <w:szCs w:val="22"/>
        </w:rPr>
        <w:t xml:space="preserve"> área de comida</w:t>
      </w:r>
      <w:r w:rsidR="003349F9" w:rsidRPr="00E45A7B">
        <w:rPr>
          <w:rFonts w:ascii="Arial" w:hAnsi="Arial" w:cs="Arial"/>
          <w:sz w:val="22"/>
          <w:szCs w:val="22"/>
        </w:rPr>
        <w:t xml:space="preserve"> rápida</w:t>
      </w:r>
      <w:r w:rsidR="00B6528B" w:rsidRPr="00E45A7B">
        <w:rPr>
          <w:rFonts w:ascii="Arial" w:hAnsi="Arial" w:cs="Arial"/>
          <w:sz w:val="22"/>
          <w:szCs w:val="22"/>
        </w:rPr>
        <w:t xml:space="preserve">. </w:t>
      </w:r>
      <w:r w:rsidR="000D00E0" w:rsidRPr="00E45A7B">
        <w:rPr>
          <w:rFonts w:ascii="Arial" w:hAnsi="Arial" w:cs="Arial"/>
          <w:sz w:val="22"/>
          <w:szCs w:val="22"/>
        </w:rPr>
        <w:t xml:space="preserve">La persona con el dispositivo </w:t>
      </w:r>
      <w:r w:rsidR="00B6528B" w:rsidRPr="00E45A7B">
        <w:rPr>
          <w:rFonts w:ascii="Arial" w:hAnsi="Arial" w:cs="Arial"/>
          <w:sz w:val="22"/>
          <w:szCs w:val="22"/>
        </w:rPr>
        <w:t xml:space="preserve">se acerca </w:t>
      </w:r>
      <w:r w:rsidRPr="00E45A7B">
        <w:rPr>
          <w:rFonts w:ascii="Arial" w:hAnsi="Arial" w:cs="Arial"/>
          <w:sz w:val="22"/>
          <w:szCs w:val="22"/>
        </w:rPr>
        <w:t xml:space="preserve">a grabar la conversación entre </w:t>
      </w:r>
      <w:r w:rsidR="00B6528B" w:rsidRPr="00E45A7B">
        <w:rPr>
          <w:rFonts w:ascii="Arial" w:hAnsi="Arial" w:cs="Arial"/>
          <w:sz w:val="22"/>
          <w:szCs w:val="22"/>
        </w:rPr>
        <w:t xml:space="preserve">la </w:t>
      </w:r>
      <w:r w:rsidRPr="00E45A7B">
        <w:rPr>
          <w:rFonts w:ascii="Arial" w:hAnsi="Arial" w:cs="Arial"/>
          <w:sz w:val="22"/>
          <w:szCs w:val="22"/>
        </w:rPr>
        <w:t xml:space="preserve">mujer 1, mujer 2 y </w:t>
      </w:r>
      <w:r w:rsidR="00B6528B" w:rsidRPr="00E45A7B">
        <w:rPr>
          <w:rFonts w:ascii="Arial" w:hAnsi="Arial" w:cs="Arial"/>
          <w:sz w:val="22"/>
          <w:szCs w:val="22"/>
        </w:rPr>
        <w:t>el</w:t>
      </w:r>
      <w:r w:rsidRPr="00E45A7B">
        <w:rPr>
          <w:rFonts w:ascii="Arial" w:hAnsi="Arial" w:cs="Arial"/>
          <w:sz w:val="22"/>
          <w:szCs w:val="22"/>
        </w:rPr>
        <w:t xml:space="preserve"> guardia </w:t>
      </w:r>
      <w:r w:rsidR="00B6528B" w:rsidRPr="00E45A7B">
        <w:rPr>
          <w:rFonts w:ascii="Arial" w:hAnsi="Arial" w:cs="Arial"/>
          <w:sz w:val="22"/>
          <w:szCs w:val="22"/>
        </w:rPr>
        <w:t>1</w:t>
      </w:r>
      <w:r w:rsidR="002F0EDF" w:rsidRPr="00E45A7B">
        <w:rPr>
          <w:rFonts w:ascii="Arial" w:hAnsi="Arial" w:cs="Arial"/>
          <w:sz w:val="22"/>
          <w:szCs w:val="22"/>
        </w:rPr>
        <w:t>, afuera de los sanitarios</w:t>
      </w:r>
      <w:r w:rsidR="00B6528B" w:rsidRPr="00E45A7B">
        <w:rPr>
          <w:rFonts w:ascii="Arial" w:hAnsi="Arial" w:cs="Arial"/>
          <w:sz w:val="22"/>
          <w:szCs w:val="22"/>
        </w:rPr>
        <w:t xml:space="preserve">*. </w:t>
      </w:r>
    </w:p>
    <w:p w14:paraId="19F100AA" w14:textId="77777777" w:rsidR="002F0EDF" w:rsidRPr="00E45A7B" w:rsidRDefault="00740A05" w:rsidP="00DF65FF">
      <w:pPr>
        <w:spacing w:after="60" w:line="276" w:lineRule="auto"/>
        <w:ind w:left="567"/>
        <w:jc w:val="both"/>
        <w:rPr>
          <w:rFonts w:ascii="Arial" w:hAnsi="Arial" w:cs="Arial"/>
          <w:sz w:val="22"/>
          <w:szCs w:val="22"/>
        </w:rPr>
      </w:pPr>
      <w:r w:rsidRPr="00E45A7B">
        <w:rPr>
          <w:rFonts w:ascii="Arial" w:hAnsi="Arial" w:cs="Arial"/>
          <w:sz w:val="22"/>
          <w:szCs w:val="22"/>
        </w:rPr>
        <w:t xml:space="preserve">Mujer 2: A nosotros no nos pueden pedir una identificación oficial para entrar al baño. </w:t>
      </w:r>
    </w:p>
    <w:p w14:paraId="400CED4D" w14:textId="623B2E84" w:rsidR="00740A05" w:rsidRPr="00E45A7B" w:rsidRDefault="002F0EDF" w:rsidP="00DF65FF">
      <w:pPr>
        <w:spacing w:after="60" w:line="276" w:lineRule="auto"/>
        <w:ind w:left="567"/>
        <w:jc w:val="both"/>
        <w:rPr>
          <w:rFonts w:ascii="Arial" w:hAnsi="Arial" w:cs="Arial"/>
          <w:sz w:val="22"/>
          <w:szCs w:val="22"/>
        </w:rPr>
      </w:pPr>
      <w:r w:rsidRPr="00E45A7B">
        <w:rPr>
          <w:rFonts w:ascii="Arial" w:hAnsi="Arial" w:cs="Arial"/>
          <w:sz w:val="22"/>
          <w:szCs w:val="22"/>
        </w:rPr>
        <w:t xml:space="preserve">Mujer 2: </w:t>
      </w:r>
      <w:r w:rsidR="00740A05" w:rsidRPr="00E45A7B">
        <w:rPr>
          <w:rFonts w:ascii="Arial" w:hAnsi="Arial" w:cs="Arial"/>
          <w:sz w:val="22"/>
          <w:szCs w:val="22"/>
        </w:rPr>
        <w:t>S</w:t>
      </w:r>
      <w:r w:rsidRPr="00E45A7B">
        <w:rPr>
          <w:rFonts w:ascii="Arial" w:hAnsi="Arial" w:cs="Arial"/>
          <w:sz w:val="22"/>
          <w:szCs w:val="22"/>
        </w:rPr>
        <w:t>í</w:t>
      </w:r>
      <w:r w:rsidR="00740A05" w:rsidRPr="00E45A7B">
        <w:rPr>
          <w:rFonts w:ascii="Arial" w:hAnsi="Arial" w:cs="Arial"/>
          <w:sz w:val="22"/>
          <w:szCs w:val="22"/>
        </w:rPr>
        <w:t xml:space="preserve">, </w:t>
      </w:r>
      <w:r w:rsidRPr="00E45A7B">
        <w:rPr>
          <w:rFonts w:ascii="Arial" w:hAnsi="Arial" w:cs="Arial"/>
          <w:sz w:val="22"/>
          <w:szCs w:val="22"/>
        </w:rPr>
        <w:t>é</w:t>
      </w:r>
      <w:r w:rsidR="00740A05" w:rsidRPr="00E45A7B">
        <w:rPr>
          <w:rFonts w:ascii="Arial" w:hAnsi="Arial" w:cs="Arial"/>
          <w:sz w:val="22"/>
          <w:szCs w:val="22"/>
        </w:rPr>
        <w:t xml:space="preserve">l puede grabar, </w:t>
      </w:r>
      <w:r w:rsidRPr="00E45A7B">
        <w:rPr>
          <w:rFonts w:ascii="Arial" w:hAnsi="Arial" w:cs="Arial"/>
          <w:sz w:val="22"/>
          <w:szCs w:val="22"/>
        </w:rPr>
        <w:t>é</w:t>
      </w:r>
      <w:r w:rsidR="00740A05" w:rsidRPr="00E45A7B">
        <w:rPr>
          <w:rFonts w:ascii="Arial" w:hAnsi="Arial" w:cs="Arial"/>
          <w:sz w:val="22"/>
          <w:szCs w:val="22"/>
        </w:rPr>
        <w:t xml:space="preserve">l viene conmigo. </w:t>
      </w:r>
    </w:p>
    <w:p w14:paraId="4AF882CE" w14:textId="77FC733F" w:rsidR="00740A05" w:rsidRPr="00E45A7B" w:rsidRDefault="00740A05" w:rsidP="00DF65FF">
      <w:pPr>
        <w:spacing w:after="60" w:line="276" w:lineRule="auto"/>
        <w:ind w:left="567"/>
        <w:jc w:val="both"/>
        <w:rPr>
          <w:rFonts w:ascii="Arial" w:hAnsi="Arial" w:cs="Arial"/>
          <w:sz w:val="22"/>
          <w:szCs w:val="22"/>
        </w:rPr>
      </w:pPr>
      <w:r w:rsidRPr="00E45A7B">
        <w:rPr>
          <w:rFonts w:ascii="Arial" w:hAnsi="Arial" w:cs="Arial"/>
          <w:sz w:val="22"/>
          <w:szCs w:val="22"/>
        </w:rPr>
        <w:t>Guardia</w:t>
      </w:r>
      <w:r w:rsidR="009F6EF8" w:rsidRPr="00E45A7B">
        <w:rPr>
          <w:rFonts w:ascii="Arial" w:hAnsi="Arial" w:cs="Arial"/>
          <w:sz w:val="22"/>
          <w:szCs w:val="22"/>
        </w:rPr>
        <w:t xml:space="preserve"> 1</w:t>
      </w:r>
      <w:r w:rsidRPr="00E45A7B">
        <w:rPr>
          <w:rFonts w:ascii="Arial" w:hAnsi="Arial" w:cs="Arial"/>
          <w:sz w:val="22"/>
          <w:szCs w:val="22"/>
        </w:rPr>
        <w:t>: Nada más permíteme un momento</w:t>
      </w:r>
      <w:r w:rsidR="009F6EF8" w:rsidRPr="00E45A7B">
        <w:rPr>
          <w:rFonts w:ascii="Arial" w:hAnsi="Arial" w:cs="Arial"/>
          <w:sz w:val="22"/>
          <w:szCs w:val="22"/>
        </w:rPr>
        <w:t>.</w:t>
      </w:r>
      <w:r w:rsidRPr="00E45A7B">
        <w:rPr>
          <w:rFonts w:ascii="Arial" w:hAnsi="Arial" w:cs="Arial"/>
          <w:sz w:val="22"/>
          <w:szCs w:val="22"/>
        </w:rPr>
        <w:t xml:space="preserve"> ¿Quieres que te atienda?</w:t>
      </w:r>
    </w:p>
    <w:p w14:paraId="3ABEFEE4" w14:textId="4BFE403B" w:rsidR="00740A05" w:rsidRPr="00E45A7B" w:rsidRDefault="00740A05" w:rsidP="00DF65FF">
      <w:pPr>
        <w:spacing w:after="60" w:line="276" w:lineRule="auto"/>
        <w:ind w:left="567"/>
        <w:jc w:val="both"/>
        <w:rPr>
          <w:rFonts w:ascii="Arial" w:hAnsi="Arial" w:cs="Arial"/>
          <w:sz w:val="22"/>
          <w:szCs w:val="22"/>
        </w:rPr>
      </w:pPr>
      <w:r w:rsidRPr="00E45A7B">
        <w:rPr>
          <w:rFonts w:ascii="Arial" w:hAnsi="Arial" w:cs="Arial"/>
          <w:sz w:val="22"/>
          <w:szCs w:val="22"/>
        </w:rPr>
        <w:t>Mujer 2: Me puedes atender tú</w:t>
      </w:r>
      <w:r w:rsidR="009F6EF8" w:rsidRPr="00E45A7B">
        <w:rPr>
          <w:rFonts w:ascii="Arial" w:hAnsi="Arial" w:cs="Arial"/>
          <w:sz w:val="22"/>
          <w:szCs w:val="22"/>
        </w:rPr>
        <w:t>.</w:t>
      </w:r>
    </w:p>
    <w:p w14:paraId="4C453370" w14:textId="212A2890" w:rsidR="00740A05" w:rsidRPr="00E45A7B" w:rsidRDefault="00740A05" w:rsidP="00DF65FF">
      <w:pPr>
        <w:spacing w:after="60" w:line="276" w:lineRule="auto"/>
        <w:ind w:left="567"/>
        <w:jc w:val="both"/>
        <w:rPr>
          <w:rFonts w:ascii="Arial" w:hAnsi="Arial" w:cs="Arial"/>
          <w:sz w:val="22"/>
          <w:szCs w:val="22"/>
        </w:rPr>
      </w:pPr>
      <w:r w:rsidRPr="00E45A7B">
        <w:rPr>
          <w:rFonts w:ascii="Arial" w:hAnsi="Arial" w:cs="Arial"/>
          <w:sz w:val="22"/>
          <w:szCs w:val="22"/>
        </w:rPr>
        <w:t>Guardia</w:t>
      </w:r>
      <w:r w:rsidR="009F6EF8" w:rsidRPr="00E45A7B">
        <w:rPr>
          <w:rFonts w:ascii="Arial" w:hAnsi="Arial" w:cs="Arial"/>
          <w:sz w:val="22"/>
          <w:szCs w:val="22"/>
        </w:rPr>
        <w:t xml:space="preserve"> 1</w:t>
      </w:r>
      <w:r w:rsidRPr="00E45A7B">
        <w:rPr>
          <w:rFonts w:ascii="Arial" w:hAnsi="Arial" w:cs="Arial"/>
          <w:sz w:val="22"/>
          <w:szCs w:val="22"/>
        </w:rPr>
        <w:t>: Nada más necesito que tú…</w:t>
      </w:r>
    </w:p>
    <w:p w14:paraId="15D33BE3" w14:textId="77777777" w:rsidR="00740A05" w:rsidRPr="00E45A7B" w:rsidRDefault="00740A05" w:rsidP="00DF65FF">
      <w:pPr>
        <w:spacing w:after="60" w:line="276" w:lineRule="auto"/>
        <w:ind w:left="567"/>
        <w:jc w:val="both"/>
        <w:rPr>
          <w:rFonts w:ascii="Arial" w:hAnsi="Arial" w:cs="Arial"/>
          <w:sz w:val="22"/>
          <w:szCs w:val="22"/>
        </w:rPr>
      </w:pPr>
      <w:r w:rsidRPr="00E45A7B">
        <w:rPr>
          <w:rFonts w:ascii="Arial" w:hAnsi="Arial" w:cs="Arial"/>
          <w:sz w:val="22"/>
          <w:szCs w:val="22"/>
        </w:rPr>
        <w:lastRenderedPageBreak/>
        <w:t>Mujer 2: No. Sí va a grabar, va a grabar.</w:t>
      </w:r>
    </w:p>
    <w:p w14:paraId="63AD3207" w14:textId="77777777" w:rsidR="00740A05" w:rsidRPr="00E45A7B" w:rsidRDefault="00740A05" w:rsidP="00DF65FF">
      <w:pPr>
        <w:spacing w:after="60" w:line="276" w:lineRule="auto"/>
        <w:ind w:left="567"/>
        <w:jc w:val="both"/>
        <w:rPr>
          <w:rFonts w:ascii="Arial" w:hAnsi="Arial" w:cs="Arial"/>
          <w:sz w:val="22"/>
          <w:szCs w:val="22"/>
        </w:rPr>
      </w:pPr>
      <w:r w:rsidRPr="00E45A7B">
        <w:rPr>
          <w:rFonts w:ascii="Arial" w:hAnsi="Arial" w:cs="Arial"/>
          <w:sz w:val="22"/>
          <w:szCs w:val="22"/>
        </w:rPr>
        <w:t>Mujer 1: Dame un argumento legal, dame un argumento legal.</w:t>
      </w:r>
    </w:p>
    <w:p w14:paraId="63DE682A" w14:textId="38923FE9" w:rsidR="002C0EBB" w:rsidRPr="00E45A7B" w:rsidRDefault="00740A05" w:rsidP="00DF65FF">
      <w:pPr>
        <w:spacing w:after="60" w:line="276" w:lineRule="auto"/>
        <w:ind w:left="567"/>
        <w:jc w:val="both"/>
        <w:rPr>
          <w:rFonts w:ascii="Arial" w:hAnsi="Arial" w:cs="Arial"/>
          <w:sz w:val="22"/>
          <w:szCs w:val="22"/>
        </w:rPr>
      </w:pPr>
      <w:r w:rsidRPr="00E45A7B">
        <w:rPr>
          <w:rFonts w:ascii="Arial" w:hAnsi="Arial" w:cs="Arial"/>
          <w:sz w:val="22"/>
          <w:szCs w:val="22"/>
        </w:rPr>
        <w:t xml:space="preserve">Mujer 2: ¿Bueno el argumento legal de tu lugar privado cuál es? ¿Las mujeres transexuales no pueden entrar al baño? </w:t>
      </w:r>
    </w:p>
    <w:p w14:paraId="0E59A076" w14:textId="00AC60CF" w:rsidR="002C0EBB" w:rsidRPr="00E45A7B" w:rsidRDefault="002C0EBB" w:rsidP="00DF65FF">
      <w:pPr>
        <w:pStyle w:val="corte4fondo"/>
        <w:spacing w:after="60" w:line="276" w:lineRule="auto"/>
        <w:ind w:left="567" w:right="51" w:firstLine="0"/>
        <w:rPr>
          <w:rFonts w:cs="Arial"/>
          <w:sz w:val="22"/>
          <w:szCs w:val="22"/>
        </w:rPr>
      </w:pPr>
      <w:r w:rsidRPr="00E45A7B">
        <w:rPr>
          <w:rFonts w:cs="Arial"/>
          <w:sz w:val="22"/>
          <w:szCs w:val="22"/>
        </w:rPr>
        <w:t>Mujer 2: No, aquí afuera, aquí.</w:t>
      </w:r>
    </w:p>
    <w:p w14:paraId="64FA21FA" w14:textId="60A2B4E9" w:rsidR="002C0EBB" w:rsidRPr="00E45A7B" w:rsidRDefault="002C0EBB" w:rsidP="00DF65FF">
      <w:pPr>
        <w:pStyle w:val="corte4fondo"/>
        <w:spacing w:after="60" w:line="276" w:lineRule="auto"/>
        <w:ind w:left="567" w:right="51" w:firstLine="0"/>
        <w:rPr>
          <w:rFonts w:cs="Arial"/>
          <w:sz w:val="22"/>
          <w:szCs w:val="22"/>
        </w:rPr>
      </w:pPr>
      <w:r w:rsidRPr="00E45A7B">
        <w:rPr>
          <w:rFonts w:cs="Arial"/>
          <w:sz w:val="22"/>
          <w:szCs w:val="22"/>
        </w:rPr>
        <w:t xml:space="preserve">*Mientras la mujer 2 habla, el guardia 1 se aleja con el guardia 2 hacia una salida, y se retiran por la puerta*. </w:t>
      </w:r>
    </w:p>
    <w:p w14:paraId="720C44E9" w14:textId="77777777" w:rsidR="00740A05" w:rsidRPr="00E45A7B" w:rsidRDefault="00740A05" w:rsidP="00DF65FF">
      <w:pPr>
        <w:spacing w:after="60" w:line="276" w:lineRule="auto"/>
        <w:ind w:left="567"/>
        <w:jc w:val="both"/>
        <w:rPr>
          <w:rFonts w:ascii="Arial" w:hAnsi="Arial" w:cs="Arial"/>
          <w:sz w:val="22"/>
          <w:szCs w:val="22"/>
        </w:rPr>
      </w:pPr>
      <w:r w:rsidRPr="00E45A7B">
        <w:rPr>
          <w:rFonts w:ascii="Arial" w:hAnsi="Arial" w:cs="Arial"/>
          <w:sz w:val="22"/>
          <w:szCs w:val="22"/>
        </w:rPr>
        <w:t>Mujer 2: Y luego, así nos dejan nada más. No dieron nombres, no dieron nada. Pero es esta marca de guardias de seguridad.</w:t>
      </w:r>
    </w:p>
    <w:p w14:paraId="0B6D0958" w14:textId="77777777" w:rsidR="00740A05" w:rsidRPr="00B266BE" w:rsidRDefault="00740A05" w:rsidP="00CD2CDC">
      <w:pPr>
        <w:pStyle w:val="corte4fondo"/>
        <w:ind w:right="51" w:firstLine="0"/>
        <w:rPr>
          <w:rFonts w:cs="Arial"/>
          <w:sz w:val="24"/>
          <w:szCs w:val="24"/>
        </w:rPr>
      </w:pPr>
    </w:p>
    <w:p w14:paraId="31897452" w14:textId="381E497F" w:rsidR="00611A6C" w:rsidRPr="00684576" w:rsidRDefault="00D73B0E" w:rsidP="00611A6C">
      <w:pPr>
        <w:pStyle w:val="corte4fondo"/>
        <w:numPr>
          <w:ilvl w:val="3"/>
          <w:numId w:val="6"/>
        </w:numPr>
        <w:spacing w:after="240"/>
        <w:ind w:left="567" w:right="51"/>
        <w:rPr>
          <w:rFonts w:cs="Arial"/>
          <w:b/>
          <w:bCs/>
          <w:sz w:val="24"/>
          <w:szCs w:val="24"/>
        </w:rPr>
      </w:pPr>
      <w:r w:rsidRPr="00684576">
        <w:rPr>
          <w:rFonts w:cs="Arial"/>
          <w:b/>
          <w:bCs/>
          <w:sz w:val="24"/>
          <w:szCs w:val="24"/>
        </w:rPr>
        <w:t xml:space="preserve">Video </w:t>
      </w:r>
      <w:r w:rsidR="00FE6BFB" w:rsidRPr="00684576">
        <w:rPr>
          <w:rFonts w:cs="Arial"/>
          <w:b/>
          <w:bCs/>
          <w:sz w:val="24"/>
          <w:szCs w:val="24"/>
        </w:rPr>
        <w:t xml:space="preserve">3, </w:t>
      </w:r>
      <w:r w:rsidRPr="00684576">
        <w:rPr>
          <w:rFonts w:cs="Arial"/>
          <w:b/>
          <w:bCs/>
          <w:sz w:val="24"/>
          <w:szCs w:val="24"/>
        </w:rPr>
        <w:t xml:space="preserve">con duración de </w:t>
      </w:r>
      <w:r w:rsidR="007A4DE6" w:rsidRPr="00684576">
        <w:rPr>
          <w:rFonts w:cs="Arial"/>
          <w:b/>
          <w:bCs/>
          <w:sz w:val="24"/>
          <w:szCs w:val="24"/>
        </w:rPr>
        <w:t>ocho minutos y t</w:t>
      </w:r>
      <w:r w:rsidR="00314D02" w:rsidRPr="00684576">
        <w:rPr>
          <w:rFonts w:cs="Arial"/>
          <w:b/>
          <w:bCs/>
          <w:sz w:val="24"/>
          <w:szCs w:val="24"/>
        </w:rPr>
        <w:t>reinta y ocho segundos</w:t>
      </w:r>
      <w:r w:rsidR="00611A6C" w:rsidRPr="00684576">
        <w:rPr>
          <w:rFonts w:cs="Arial"/>
          <w:b/>
          <w:bCs/>
          <w:sz w:val="24"/>
          <w:szCs w:val="24"/>
        </w:rPr>
        <w:t>:</w:t>
      </w:r>
    </w:p>
    <w:p w14:paraId="014031C1" w14:textId="03F41940" w:rsidR="00611A6C" w:rsidRPr="00E45A7B" w:rsidRDefault="00611A6C" w:rsidP="00DF65FF">
      <w:pPr>
        <w:pStyle w:val="corte4fondo"/>
        <w:spacing w:after="60" w:line="276" w:lineRule="auto"/>
        <w:ind w:left="567" w:right="51" w:firstLine="0"/>
        <w:rPr>
          <w:rFonts w:cs="Arial"/>
          <w:sz w:val="22"/>
          <w:szCs w:val="22"/>
        </w:rPr>
      </w:pPr>
      <w:r w:rsidRPr="00684576">
        <w:rPr>
          <w:rFonts w:cs="Arial"/>
          <w:sz w:val="22"/>
          <w:szCs w:val="22"/>
        </w:rPr>
        <w:t>(*)</w:t>
      </w:r>
      <w:r w:rsidR="0011756C" w:rsidRPr="00684576">
        <w:rPr>
          <w:rFonts w:cs="Arial"/>
          <w:sz w:val="22"/>
          <w:szCs w:val="22"/>
        </w:rPr>
        <w:t xml:space="preserve"> </w:t>
      </w:r>
      <w:r w:rsidR="00314D02" w:rsidRPr="0037307F">
        <w:rPr>
          <w:rFonts w:cs="Arial"/>
          <w:sz w:val="22"/>
          <w:szCs w:val="22"/>
        </w:rPr>
        <w:t xml:space="preserve">La mujer 1 y mujer 2 relatan lo sucedido </w:t>
      </w:r>
      <w:r w:rsidR="0037307F" w:rsidRPr="0037307F">
        <w:rPr>
          <w:rFonts w:cs="Arial"/>
          <w:sz w:val="22"/>
          <w:szCs w:val="22"/>
        </w:rPr>
        <w:t xml:space="preserve">en el centro comercial, </w:t>
      </w:r>
      <w:r w:rsidR="00314D02" w:rsidRPr="0037307F">
        <w:rPr>
          <w:rFonts w:cs="Arial"/>
          <w:sz w:val="22"/>
          <w:szCs w:val="22"/>
        </w:rPr>
        <w:t>a una tercera persona.</w:t>
      </w:r>
      <w:r w:rsidR="00FA3259">
        <w:rPr>
          <w:rFonts w:cs="Arial"/>
          <w:sz w:val="22"/>
          <w:szCs w:val="22"/>
        </w:rPr>
        <w:t xml:space="preserve"> Las dos mujeres traen la misma vestimenta y accesorios que en los videos 1 y 2. </w:t>
      </w:r>
    </w:p>
    <w:p w14:paraId="3D6EF55B" w14:textId="4987C85E" w:rsidR="0011756C" w:rsidRPr="00E45A7B" w:rsidRDefault="0011756C" w:rsidP="00DF65FF">
      <w:pPr>
        <w:spacing w:after="60" w:line="276" w:lineRule="auto"/>
        <w:ind w:left="567"/>
        <w:jc w:val="both"/>
        <w:rPr>
          <w:rFonts w:ascii="Arial" w:hAnsi="Arial" w:cs="Arial"/>
          <w:sz w:val="22"/>
          <w:szCs w:val="22"/>
        </w:rPr>
      </w:pPr>
      <w:r w:rsidRPr="00E45A7B">
        <w:rPr>
          <w:rFonts w:ascii="Arial" w:hAnsi="Arial" w:cs="Arial"/>
          <w:sz w:val="22"/>
          <w:szCs w:val="22"/>
        </w:rPr>
        <w:t>Mujer 1</w:t>
      </w:r>
      <w:r w:rsidR="00C93E81">
        <w:rPr>
          <w:rFonts w:ascii="Arial" w:hAnsi="Arial" w:cs="Arial"/>
          <w:sz w:val="22"/>
          <w:szCs w:val="22"/>
        </w:rPr>
        <w:t>:</w:t>
      </w:r>
      <w:r w:rsidRPr="00E45A7B">
        <w:rPr>
          <w:rFonts w:ascii="Arial" w:hAnsi="Arial" w:cs="Arial"/>
          <w:sz w:val="22"/>
          <w:szCs w:val="22"/>
        </w:rPr>
        <w:t xml:space="preserve"> </w:t>
      </w:r>
      <w:r w:rsidRPr="00E45A7B">
        <w:rPr>
          <w:rFonts w:ascii="Arial" w:hAnsi="Arial" w:cs="Arial"/>
          <w:color w:val="FF0000"/>
          <w:sz w:val="22"/>
          <w:szCs w:val="22"/>
        </w:rPr>
        <w:t xml:space="preserve">A </w:t>
      </w:r>
      <w:r w:rsidRPr="00E45A7B">
        <w:rPr>
          <w:rFonts w:ascii="Arial" w:hAnsi="Arial" w:cs="Arial"/>
          <w:sz w:val="22"/>
          <w:szCs w:val="22"/>
        </w:rPr>
        <w:t xml:space="preserve">y yo fuimos acá </w:t>
      </w:r>
      <w:r w:rsidRPr="00453D61">
        <w:rPr>
          <w:rFonts w:ascii="Arial" w:hAnsi="Arial" w:cs="Arial"/>
          <w:sz w:val="22"/>
          <w:szCs w:val="22"/>
        </w:rPr>
        <w:t xml:space="preserve">a Reforma 222, </w:t>
      </w:r>
      <w:r w:rsidRPr="00E45A7B">
        <w:rPr>
          <w:rFonts w:ascii="Arial" w:hAnsi="Arial" w:cs="Arial"/>
          <w:sz w:val="22"/>
          <w:szCs w:val="22"/>
        </w:rPr>
        <w:t xml:space="preserve">entonces subimos las escaleras, entramos bien, fuimos al tercer piso, llegamos, </w:t>
      </w:r>
      <w:r w:rsidRPr="00E45A7B">
        <w:rPr>
          <w:rFonts w:ascii="Arial" w:hAnsi="Arial" w:cs="Arial"/>
          <w:color w:val="FF0000"/>
          <w:sz w:val="22"/>
          <w:szCs w:val="22"/>
        </w:rPr>
        <w:t xml:space="preserve">L </w:t>
      </w:r>
      <w:r w:rsidRPr="00E45A7B">
        <w:rPr>
          <w:rFonts w:ascii="Arial" w:hAnsi="Arial" w:cs="Arial"/>
          <w:sz w:val="22"/>
          <w:szCs w:val="22"/>
        </w:rPr>
        <w:t xml:space="preserve">fue a arreglar su celular, </w:t>
      </w:r>
      <w:r w:rsidRPr="00E45A7B">
        <w:rPr>
          <w:rFonts w:ascii="Arial" w:hAnsi="Arial" w:cs="Arial"/>
          <w:color w:val="FF0000"/>
          <w:sz w:val="22"/>
          <w:szCs w:val="22"/>
        </w:rPr>
        <w:t xml:space="preserve">A </w:t>
      </w:r>
      <w:r w:rsidRPr="00E45A7B">
        <w:rPr>
          <w:rFonts w:ascii="Arial" w:hAnsi="Arial" w:cs="Arial"/>
          <w:sz w:val="22"/>
          <w:szCs w:val="22"/>
        </w:rPr>
        <w:t>y yo fuimos directamente al baño. Fuimos al baño, nos abordaron de una manera, dos tipos, así</w:t>
      </w:r>
      <w:r w:rsidR="009A4280">
        <w:rPr>
          <w:rFonts w:ascii="Arial" w:hAnsi="Arial" w:cs="Arial"/>
          <w:sz w:val="22"/>
          <w:szCs w:val="22"/>
        </w:rPr>
        <w:t xml:space="preserve">, </w:t>
      </w:r>
      <w:r w:rsidRPr="00E45A7B">
        <w:rPr>
          <w:rFonts w:ascii="Arial" w:hAnsi="Arial" w:cs="Arial"/>
          <w:sz w:val="22"/>
          <w:szCs w:val="22"/>
        </w:rPr>
        <w:t>grandes, nos dijeron “</w:t>
      </w:r>
      <w:r w:rsidR="00C530B8">
        <w:rPr>
          <w:rFonts w:ascii="Arial" w:hAnsi="Arial" w:cs="Arial"/>
          <w:sz w:val="22"/>
          <w:szCs w:val="22"/>
        </w:rPr>
        <w:t>u</w:t>
      </w:r>
      <w:r w:rsidRPr="00E45A7B">
        <w:rPr>
          <w:rFonts w:ascii="Arial" w:hAnsi="Arial" w:cs="Arial"/>
          <w:sz w:val="22"/>
          <w:szCs w:val="22"/>
        </w:rPr>
        <w:t>stedes no pueden entrar aquí”. Y</w:t>
      </w:r>
      <w:r w:rsidR="00C530B8">
        <w:rPr>
          <w:rFonts w:ascii="Arial" w:hAnsi="Arial" w:cs="Arial"/>
          <w:sz w:val="22"/>
          <w:szCs w:val="22"/>
        </w:rPr>
        <w:t>,</w:t>
      </w:r>
      <w:r w:rsidRPr="00E45A7B">
        <w:rPr>
          <w:rFonts w:ascii="Arial" w:hAnsi="Arial" w:cs="Arial"/>
          <w:sz w:val="22"/>
          <w:szCs w:val="22"/>
        </w:rPr>
        <w:t xml:space="preserve"> así</w:t>
      </w:r>
      <w:r w:rsidR="00C530B8">
        <w:rPr>
          <w:rFonts w:ascii="Arial" w:hAnsi="Arial" w:cs="Arial"/>
          <w:sz w:val="22"/>
          <w:szCs w:val="22"/>
        </w:rPr>
        <w:t>,</w:t>
      </w:r>
      <w:r w:rsidRPr="00E45A7B">
        <w:rPr>
          <w:rFonts w:ascii="Arial" w:hAnsi="Arial" w:cs="Arial"/>
          <w:sz w:val="22"/>
          <w:szCs w:val="22"/>
        </w:rPr>
        <w:t xml:space="preserve"> de esa manera nos exhibieron, abrieron la puerta del baño de hombres y nos dijeron “</w:t>
      </w:r>
      <w:r w:rsidR="00C530B8">
        <w:rPr>
          <w:rFonts w:ascii="Arial" w:hAnsi="Arial" w:cs="Arial"/>
          <w:sz w:val="22"/>
          <w:szCs w:val="22"/>
        </w:rPr>
        <w:t>u</w:t>
      </w:r>
      <w:r w:rsidRPr="00E45A7B">
        <w:rPr>
          <w:rFonts w:ascii="Arial" w:hAnsi="Arial" w:cs="Arial"/>
          <w:sz w:val="22"/>
          <w:szCs w:val="22"/>
        </w:rPr>
        <w:t>stedes van acá.</w:t>
      </w:r>
      <w:r w:rsidR="00C530B8">
        <w:rPr>
          <w:rFonts w:ascii="Arial" w:hAnsi="Arial" w:cs="Arial"/>
          <w:sz w:val="22"/>
          <w:szCs w:val="22"/>
        </w:rPr>
        <w:t xml:space="preserve"> ¿</w:t>
      </w:r>
      <w:r w:rsidRPr="00E45A7B">
        <w:rPr>
          <w:rFonts w:ascii="Arial" w:hAnsi="Arial" w:cs="Arial"/>
          <w:sz w:val="22"/>
          <w:szCs w:val="22"/>
        </w:rPr>
        <w:t xml:space="preserve">No? Ustedes no pueden entrar aquí”. </w:t>
      </w:r>
    </w:p>
    <w:p w14:paraId="54B42C89" w14:textId="6A1FC173" w:rsidR="0011756C" w:rsidRPr="00E45A7B" w:rsidRDefault="0011756C" w:rsidP="00DF65FF">
      <w:pPr>
        <w:spacing w:after="60" w:line="276" w:lineRule="auto"/>
        <w:ind w:left="567"/>
        <w:jc w:val="both"/>
        <w:rPr>
          <w:rFonts w:ascii="Arial" w:hAnsi="Arial" w:cs="Arial"/>
          <w:sz w:val="22"/>
          <w:szCs w:val="22"/>
        </w:rPr>
      </w:pPr>
      <w:r w:rsidRPr="00E45A7B">
        <w:rPr>
          <w:rFonts w:ascii="Arial" w:hAnsi="Arial" w:cs="Arial"/>
          <w:sz w:val="22"/>
          <w:szCs w:val="22"/>
        </w:rPr>
        <w:t>Evidentemente</w:t>
      </w:r>
      <w:r w:rsidR="009A4280">
        <w:rPr>
          <w:rFonts w:ascii="Arial" w:hAnsi="Arial" w:cs="Arial"/>
          <w:sz w:val="22"/>
          <w:szCs w:val="22"/>
        </w:rPr>
        <w:t>,</w:t>
      </w:r>
      <w:r w:rsidRPr="00E45A7B">
        <w:rPr>
          <w:rFonts w:ascii="Arial" w:hAnsi="Arial" w:cs="Arial"/>
          <w:sz w:val="22"/>
          <w:szCs w:val="22"/>
        </w:rPr>
        <w:t xml:space="preserve"> pues le dijimos </w:t>
      </w:r>
      <w:r w:rsidR="005C17E3">
        <w:rPr>
          <w:rFonts w:ascii="Arial" w:hAnsi="Arial" w:cs="Arial"/>
          <w:sz w:val="22"/>
          <w:szCs w:val="22"/>
        </w:rPr>
        <w:t>“</w:t>
      </w:r>
      <w:r w:rsidRPr="00E45A7B">
        <w:rPr>
          <w:rFonts w:ascii="Arial" w:hAnsi="Arial" w:cs="Arial"/>
          <w:sz w:val="22"/>
          <w:szCs w:val="22"/>
        </w:rPr>
        <w:t>¿</w:t>
      </w:r>
      <w:r w:rsidR="005C17E3">
        <w:rPr>
          <w:rFonts w:ascii="Arial" w:hAnsi="Arial" w:cs="Arial"/>
          <w:sz w:val="22"/>
          <w:szCs w:val="22"/>
        </w:rPr>
        <w:t>b</w:t>
      </w:r>
      <w:r w:rsidRPr="00E45A7B">
        <w:rPr>
          <w:rFonts w:ascii="Arial" w:hAnsi="Arial" w:cs="Arial"/>
          <w:sz w:val="22"/>
          <w:szCs w:val="22"/>
        </w:rPr>
        <w:t>ueno y por qué no podemos entrar? Somos mujeres trans, o sea ¿</w:t>
      </w:r>
      <w:r w:rsidR="005C17E3">
        <w:rPr>
          <w:rFonts w:ascii="Arial" w:hAnsi="Arial" w:cs="Arial"/>
          <w:sz w:val="22"/>
          <w:szCs w:val="22"/>
        </w:rPr>
        <w:t>p</w:t>
      </w:r>
      <w:r w:rsidRPr="00E45A7B">
        <w:rPr>
          <w:rFonts w:ascii="Arial" w:hAnsi="Arial" w:cs="Arial"/>
          <w:sz w:val="22"/>
          <w:szCs w:val="22"/>
        </w:rPr>
        <w:t>or qué nos estás negando el acceso?</w:t>
      </w:r>
      <w:r w:rsidR="005C17E3">
        <w:rPr>
          <w:rFonts w:ascii="Arial" w:hAnsi="Arial" w:cs="Arial"/>
          <w:sz w:val="22"/>
          <w:szCs w:val="22"/>
        </w:rPr>
        <w:t>”</w:t>
      </w:r>
      <w:r w:rsidR="009A4280">
        <w:rPr>
          <w:rFonts w:ascii="Arial" w:hAnsi="Arial" w:cs="Arial"/>
          <w:sz w:val="22"/>
          <w:szCs w:val="22"/>
        </w:rPr>
        <w:t>.</w:t>
      </w:r>
      <w:r w:rsidRPr="00E45A7B">
        <w:rPr>
          <w:rFonts w:ascii="Arial" w:hAnsi="Arial" w:cs="Arial"/>
          <w:sz w:val="22"/>
          <w:szCs w:val="22"/>
        </w:rPr>
        <w:t xml:space="preserve"> Y empezaron a argumentar que les enseñáramos nuestras identificaciones, que no podíamos entrar, que</w:t>
      </w:r>
      <w:r w:rsidR="006F64DB">
        <w:rPr>
          <w:rFonts w:ascii="Arial" w:hAnsi="Arial" w:cs="Arial"/>
          <w:sz w:val="22"/>
          <w:szCs w:val="22"/>
        </w:rPr>
        <w:t>,</w:t>
      </w:r>
      <w:r w:rsidRPr="00E45A7B">
        <w:rPr>
          <w:rFonts w:ascii="Arial" w:hAnsi="Arial" w:cs="Arial"/>
          <w:sz w:val="22"/>
          <w:szCs w:val="22"/>
        </w:rPr>
        <w:t xml:space="preserve"> </w:t>
      </w:r>
      <w:r w:rsidR="009A4280">
        <w:rPr>
          <w:rFonts w:ascii="Arial" w:hAnsi="Arial" w:cs="Arial"/>
          <w:sz w:val="22"/>
          <w:szCs w:val="22"/>
        </w:rPr>
        <w:t xml:space="preserve">este, </w:t>
      </w:r>
      <w:r w:rsidRPr="00E45A7B">
        <w:rPr>
          <w:rFonts w:ascii="Arial" w:hAnsi="Arial" w:cs="Arial"/>
          <w:sz w:val="22"/>
          <w:szCs w:val="22"/>
        </w:rPr>
        <w:t>ese era baño de mujeres, que ese era el de hombres, que ahí íbamos a ir nosotres. Y entonces llegó un momento en el que pues evidentemente explotamos</w:t>
      </w:r>
      <w:r w:rsidR="00BC21DA">
        <w:rPr>
          <w:rFonts w:ascii="Arial" w:hAnsi="Arial" w:cs="Arial"/>
          <w:sz w:val="22"/>
          <w:szCs w:val="22"/>
        </w:rPr>
        <w:t>,</w:t>
      </w:r>
      <w:r w:rsidRPr="00E45A7B">
        <w:rPr>
          <w:rFonts w:ascii="Arial" w:hAnsi="Arial" w:cs="Arial"/>
          <w:sz w:val="22"/>
          <w:szCs w:val="22"/>
        </w:rPr>
        <w:t xml:space="preserve"> porque estaban llamando a más de seguridad, estaban diciéndole a la gente que no entrara al baño</w:t>
      </w:r>
      <w:r w:rsidR="00BC21DA">
        <w:rPr>
          <w:rFonts w:ascii="Arial" w:hAnsi="Arial" w:cs="Arial"/>
          <w:sz w:val="22"/>
          <w:szCs w:val="22"/>
        </w:rPr>
        <w:t>. E</w:t>
      </w:r>
      <w:r w:rsidRPr="00E45A7B">
        <w:rPr>
          <w:rFonts w:ascii="Arial" w:hAnsi="Arial" w:cs="Arial"/>
          <w:sz w:val="22"/>
          <w:szCs w:val="22"/>
        </w:rPr>
        <w:t xml:space="preserve">ntramos al baño y de hecho no había, sacaron a toda la gente. </w:t>
      </w:r>
    </w:p>
    <w:p w14:paraId="1F1D67A7" w14:textId="42E39DE8" w:rsidR="0011756C" w:rsidRPr="00E45A7B" w:rsidRDefault="0011756C" w:rsidP="00DF65FF">
      <w:pPr>
        <w:spacing w:after="60" w:line="276" w:lineRule="auto"/>
        <w:ind w:left="567"/>
        <w:jc w:val="both"/>
        <w:rPr>
          <w:rFonts w:ascii="Arial" w:hAnsi="Arial" w:cs="Arial"/>
          <w:sz w:val="22"/>
          <w:szCs w:val="22"/>
        </w:rPr>
      </w:pPr>
      <w:r w:rsidRPr="00E45A7B">
        <w:rPr>
          <w:rFonts w:ascii="Arial" w:hAnsi="Arial" w:cs="Arial"/>
          <w:sz w:val="22"/>
          <w:szCs w:val="22"/>
        </w:rPr>
        <w:t>Mujer 2</w:t>
      </w:r>
      <w:r w:rsidR="00C530B8">
        <w:rPr>
          <w:rFonts w:ascii="Arial" w:hAnsi="Arial" w:cs="Arial"/>
          <w:sz w:val="22"/>
          <w:szCs w:val="22"/>
        </w:rPr>
        <w:t>:</w:t>
      </w:r>
      <w:r w:rsidRPr="00E45A7B">
        <w:rPr>
          <w:rFonts w:ascii="Arial" w:hAnsi="Arial" w:cs="Arial"/>
          <w:sz w:val="22"/>
          <w:szCs w:val="22"/>
        </w:rPr>
        <w:t xml:space="preserve"> Mira</w:t>
      </w:r>
      <w:r w:rsidR="00C530B8">
        <w:rPr>
          <w:rFonts w:ascii="Arial" w:hAnsi="Arial" w:cs="Arial"/>
          <w:sz w:val="22"/>
          <w:szCs w:val="22"/>
        </w:rPr>
        <w:t>,</w:t>
      </w:r>
      <w:r w:rsidRPr="00E45A7B">
        <w:rPr>
          <w:rFonts w:ascii="Arial" w:hAnsi="Arial" w:cs="Arial"/>
          <w:sz w:val="22"/>
          <w:szCs w:val="22"/>
        </w:rPr>
        <w:t xml:space="preserve"> cuando nosotras entramos al baño sacaron a todas las mujeres y fue como de dejarnos ahí minutos adentro del baño</w:t>
      </w:r>
      <w:r w:rsidR="00BC21DA">
        <w:rPr>
          <w:rFonts w:ascii="Arial" w:hAnsi="Arial" w:cs="Arial"/>
          <w:sz w:val="22"/>
          <w:szCs w:val="22"/>
        </w:rPr>
        <w:t>, y</w:t>
      </w:r>
      <w:r w:rsidRPr="00E45A7B">
        <w:rPr>
          <w:rFonts w:ascii="Arial" w:hAnsi="Arial" w:cs="Arial"/>
          <w:sz w:val="22"/>
          <w:szCs w:val="22"/>
        </w:rPr>
        <w:t xml:space="preserve"> cuando iban a entrar al baño decían “</w:t>
      </w:r>
      <w:r w:rsidR="00BC21DA">
        <w:rPr>
          <w:rFonts w:ascii="Arial" w:hAnsi="Arial" w:cs="Arial"/>
          <w:sz w:val="22"/>
          <w:szCs w:val="22"/>
        </w:rPr>
        <w:t>n</w:t>
      </w:r>
      <w:r w:rsidRPr="00E45A7B">
        <w:rPr>
          <w:rFonts w:ascii="Arial" w:hAnsi="Arial" w:cs="Arial"/>
          <w:sz w:val="22"/>
          <w:szCs w:val="22"/>
        </w:rPr>
        <w:t xml:space="preserve">o entren porque hay dos hombres </w:t>
      </w:r>
      <w:r w:rsidR="006F64DB">
        <w:rPr>
          <w:rFonts w:ascii="Arial" w:hAnsi="Arial" w:cs="Arial"/>
          <w:sz w:val="22"/>
          <w:szCs w:val="22"/>
        </w:rPr>
        <w:t>adentro</w:t>
      </w:r>
      <w:r w:rsidR="006F64DB" w:rsidRPr="00E45A7B">
        <w:rPr>
          <w:rFonts w:ascii="Arial" w:hAnsi="Arial" w:cs="Arial"/>
          <w:sz w:val="22"/>
          <w:szCs w:val="22"/>
        </w:rPr>
        <w:t xml:space="preserve"> </w:t>
      </w:r>
      <w:r w:rsidRPr="00E45A7B">
        <w:rPr>
          <w:rFonts w:ascii="Arial" w:hAnsi="Arial" w:cs="Arial"/>
          <w:sz w:val="22"/>
          <w:szCs w:val="22"/>
        </w:rPr>
        <w:t xml:space="preserve">del baño”. Y yo hasta tomé un video en el que </w:t>
      </w:r>
      <w:r w:rsidR="00462126">
        <w:rPr>
          <w:rFonts w:ascii="Arial" w:hAnsi="Arial" w:cs="Arial"/>
          <w:sz w:val="22"/>
          <w:szCs w:val="22"/>
        </w:rPr>
        <w:t xml:space="preserve">realmente </w:t>
      </w:r>
      <w:r w:rsidRPr="00E45A7B">
        <w:rPr>
          <w:rFonts w:ascii="Arial" w:hAnsi="Arial" w:cs="Arial"/>
          <w:sz w:val="22"/>
          <w:szCs w:val="22"/>
        </w:rPr>
        <w:t>estaba así en el baño y cuando salimos tenían a todas las mujeres formadas en fila, esperando a que salgamos para que puedan entrar.</w:t>
      </w:r>
    </w:p>
    <w:p w14:paraId="7471C0D8" w14:textId="03E93D54" w:rsidR="00F33437" w:rsidRDefault="0011756C" w:rsidP="00DF65FF">
      <w:pPr>
        <w:spacing w:after="60" w:line="276" w:lineRule="auto"/>
        <w:ind w:left="567"/>
        <w:jc w:val="both"/>
        <w:rPr>
          <w:rFonts w:ascii="Arial" w:hAnsi="Arial" w:cs="Arial"/>
          <w:sz w:val="22"/>
          <w:szCs w:val="22"/>
        </w:rPr>
      </w:pPr>
      <w:r w:rsidRPr="00E45A7B">
        <w:rPr>
          <w:rFonts w:ascii="Arial" w:hAnsi="Arial" w:cs="Arial"/>
          <w:sz w:val="22"/>
          <w:szCs w:val="22"/>
        </w:rPr>
        <w:t>Y ya cuando salimos, estaba el jefe directo según de toda esta</w:t>
      </w:r>
      <w:r w:rsidR="00BC29FF">
        <w:rPr>
          <w:rFonts w:ascii="Arial" w:hAnsi="Arial" w:cs="Arial"/>
          <w:sz w:val="22"/>
          <w:szCs w:val="22"/>
        </w:rPr>
        <w:t>, o sea</w:t>
      </w:r>
      <w:r w:rsidRPr="00E45A7B">
        <w:rPr>
          <w:rFonts w:ascii="Arial" w:hAnsi="Arial" w:cs="Arial"/>
          <w:sz w:val="22"/>
          <w:szCs w:val="22"/>
        </w:rPr>
        <w:t xml:space="preserve"> organización de guardias de seguridad que se </w:t>
      </w:r>
      <w:r w:rsidRPr="00453D61">
        <w:rPr>
          <w:rFonts w:ascii="Arial" w:hAnsi="Arial" w:cs="Arial"/>
          <w:sz w:val="22"/>
          <w:szCs w:val="22"/>
        </w:rPr>
        <w:t>llama “</w:t>
      </w:r>
      <w:r w:rsidR="006F64DB" w:rsidRPr="00453D61">
        <w:rPr>
          <w:rFonts w:ascii="Arial" w:hAnsi="Arial" w:cs="Arial"/>
          <w:sz w:val="22"/>
          <w:szCs w:val="22"/>
        </w:rPr>
        <w:t>V</w:t>
      </w:r>
      <w:r w:rsidRPr="00453D61">
        <w:rPr>
          <w:rFonts w:ascii="Arial" w:hAnsi="Arial" w:cs="Arial"/>
          <w:sz w:val="22"/>
          <w:szCs w:val="22"/>
        </w:rPr>
        <w:t xml:space="preserve">einte </w:t>
      </w:r>
      <w:r w:rsidR="006F64DB" w:rsidRPr="00453D61">
        <w:rPr>
          <w:rFonts w:ascii="Arial" w:hAnsi="Arial" w:cs="Arial"/>
          <w:sz w:val="22"/>
          <w:szCs w:val="22"/>
        </w:rPr>
        <w:t>D</w:t>
      </w:r>
      <w:r w:rsidRPr="00453D61">
        <w:rPr>
          <w:rFonts w:ascii="Arial" w:hAnsi="Arial" w:cs="Arial"/>
          <w:sz w:val="22"/>
          <w:szCs w:val="22"/>
        </w:rPr>
        <w:t xml:space="preserve">iez”, y </w:t>
      </w:r>
      <w:r w:rsidR="00F33437">
        <w:rPr>
          <w:rFonts w:ascii="Arial" w:hAnsi="Arial" w:cs="Arial"/>
          <w:sz w:val="22"/>
          <w:szCs w:val="22"/>
        </w:rPr>
        <w:t>e</w:t>
      </w:r>
      <w:r w:rsidRPr="00E45A7B">
        <w:rPr>
          <w:rFonts w:ascii="Arial" w:hAnsi="Arial" w:cs="Arial"/>
          <w:sz w:val="22"/>
          <w:szCs w:val="22"/>
        </w:rPr>
        <w:t>ste, porque ni siquiera nos querían decir su nombre. Y yo le dije</w:t>
      </w:r>
      <w:r w:rsidR="00F33437">
        <w:rPr>
          <w:rFonts w:ascii="Arial" w:hAnsi="Arial" w:cs="Arial"/>
          <w:sz w:val="22"/>
          <w:szCs w:val="22"/>
        </w:rPr>
        <w:t xml:space="preserve"> “</w:t>
      </w:r>
      <w:r w:rsidRPr="00E45A7B">
        <w:rPr>
          <w:rFonts w:ascii="Arial" w:hAnsi="Arial" w:cs="Arial"/>
          <w:sz w:val="22"/>
          <w:szCs w:val="22"/>
        </w:rPr>
        <w:t xml:space="preserve">oiga mire lo que pasa es que queremos hablar, pero </w:t>
      </w:r>
      <w:r w:rsidR="00BC29FF">
        <w:rPr>
          <w:rFonts w:ascii="Arial" w:hAnsi="Arial" w:cs="Arial"/>
          <w:sz w:val="22"/>
          <w:szCs w:val="22"/>
        </w:rPr>
        <w:t xml:space="preserve">yo </w:t>
      </w:r>
      <w:r w:rsidRPr="00E45A7B">
        <w:rPr>
          <w:rFonts w:ascii="Arial" w:hAnsi="Arial" w:cs="Arial"/>
          <w:sz w:val="22"/>
          <w:szCs w:val="22"/>
        </w:rPr>
        <w:t>te grabé porque</w:t>
      </w:r>
      <w:r w:rsidR="00BC29FF">
        <w:rPr>
          <w:rFonts w:ascii="Arial" w:hAnsi="Arial" w:cs="Arial"/>
          <w:sz w:val="22"/>
          <w:szCs w:val="22"/>
        </w:rPr>
        <w:t xml:space="preserve"> yo</w:t>
      </w:r>
      <w:r w:rsidRPr="00E45A7B">
        <w:rPr>
          <w:rFonts w:ascii="Arial" w:hAnsi="Arial" w:cs="Arial"/>
          <w:sz w:val="22"/>
          <w:szCs w:val="22"/>
        </w:rPr>
        <w:t xml:space="preserve"> tengo un canal de You</w:t>
      </w:r>
      <w:r w:rsidR="00F33437">
        <w:rPr>
          <w:rFonts w:ascii="Arial" w:hAnsi="Arial" w:cs="Arial"/>
          <w:sz w:val="22"/>
          <w:szCs w:val="22"/>
        </w:rPr>
        <w:t>T</w:t>
      </w:r>
      <w:r w:rsidRPr="00E45A7B">
        <w:rPr>
          <w:rFonts w:ascii="Arial" w:hAnsi="Arial" w:cs="Arial"/>
          <w:sz w:val="22"/>
          <w:szCs w:val="22"/>
        </w:rPr>
        <w:t xml:space="preserve">ube y aparte tengo un programa de radio, y </w:t>
      </w:r>
      <w:r w:rsidR="00F33437" w:rsidRPr="00F33437">
        <w:rPr>
          <w:rFonts w:ascii="Arial" w:hAnsi="Arial" w:cs="Arial"/>
          <w:sz w:val="22"/>
          <w:szCs w:val="22"/>
        </w:rPr>
        <w:t>él</w:t>
      </w:r>
      <w:r w:rsidRPr="00E45A7B">
        <w:rPr>
          <w:rFonts w:ascii="Arial" w:hAnsi="Arial" w:cs="Arial"/>
          <w:sz w:val="22"/>
          <w:szCs w:val="22"/>
        </w:rPr>
        <w:t xml:space="preserve"> siempre me anda acompañando para muchas cosas</w:t>
      </w:r>
      <w:r w:rsidR="00F33437">
        <w:rPr>
          <w:rFonts w:ascii="Arial" w:hAnsi="Arial" w:cs="Arial"/>
          <w:sz w:val="22"/>
          <w:szCs w:val="22"/>
        </w:rPr>
        <w:t>”</w:t>
      </w:r>
      <w:r w:rsidR="00892A72">
        <w:rPr>
          <w:rFonts w:ascii="Arial" w:hAnsi="Arial" w:cs="Arial"/>
          <w:sz w:val="22"/>
          <w:szCs w:val="22"/>
        </w:rPr>
        <w:t>.</w:t>
      </w:r>
    </w:p>
    <w:p w14:paraId="461E2A04" w14:textId="24EBB726" w:rsidR="0011756C" w:rsidRPr="00D32882" w:rsidRDefault="00F33437" w:rsidP="00DF65FF">
      <w:pPr>
        <w:spacing w:after="60" w:line="276" w:lineRule="auto"/>
        <w:ind w:left="567"/>
        <w:jc w:val="both"/>
        <w:rPr>
          <w:rFonts w:ascii="Arial" w:hAnsi="Arial" w:cs="Arial"/>
          <w:sz w:val="22"/>
          <w:szCs w:val="22"/>
        </w:rPr>
      </w:pPr>
      <w:r>
        <w:rPr>
          <w:rFonts w:ascii="Arial" w:hAnsi="Arial" w:cs="Arial"/>
          <w:sz w:val="22"/>
          <w:szCs w:val="22"/>
        </w:rPr>
        <w:t>*Se dirige a la persona que graba el video*</w:t>
      </w:r>
      <w:r w:rsidR="004E07D1">
        <w:rPr>
          <w:rFonts w:ascii="Arial" w:hAnsi="Arial" w:cs="Arial"/>
          <w:sz w:val="22"/>
          <w:szCs w:val="22"/>
        </w:rPr>
        <w:t>.</w:t>
      </w:r>
      <w:r>
        <w:rPr>
          <w:rFonts w:ascii="Arial" w:hAnsi="Arial" w:cs="Arial"/>
          <w:sz w:val="22"/>
          <w:szCs w:val="22"/>
        </w:rPr>
        <w:t xml:space="preserve"> Y</w:t>
      </w:r>
      <w:r w:rsidR="0011756C" w:rsidRPr="00E45A7B">
        <w:rPr>
          <w:rFonts w:ascii="Arial" w:hAnsi="Arial" w:cs="Arial"/>
          <w:sz w:val="22"/>
          <w:szCs w:val="22"/>
        </w:rPr>
        <w:t xml:space="preserve"> como </w:t>
      </w:r>
      <w:r>
        <w:rPr>
          <w:rFonts w:ascii="Arial" w:hAnsi="Arial" w:cs="Arial"/>
          <w:sz w:val="22"/>
          <w:szCs w:val="22"/>
        </w:rPr>
        <w:t>é</w:t>
      </w:r>
      <w:r w:rsidR="0011756C" w:rsidRPr="00E45A7B">
        <w:rPr>
          <w:rFonts w:ascii="Arial" w:hAnsi="Arial" w:cs="Arial"/>
          <w:sz w:val="22"/>
          <w:szCs w:val="22"/>
        </w:rPr>
        <w:t>l sacó su cámara</w:t>
      </w:r>
      <w:r>
        <w:rPr>
          <w:rFonts w:ascii="Arial" w:hAnsi="Arial" w:cs="Arial"/>
          <w:sz w:val="22"/>
          <w:szCs w:val="22"/>
        </w:rPr>
        <w:t xml:space="preserve">, </w:t>
      </w:r>
      <w:r w:rsidR="0011756C" w:rsidRPr="00E45A7B">
        <w:rPr>
          <w:rFonts w:ascii="Arial" w:hAnsi="Arial" w:cs="Arial"/>
          <w:sz w:val="22"/>
          <w:szCs w:val="22"/>
        </w:rPr>
        <w:t xml:space="preserve">pues, para documentar eso, fue como “yo hablo contigo, pero que </w:t>
      </w:r>
      <w:r w:rsidRPr="004E07D1">
        <w:rPr>
          <w:rFonts w:ascii="Arial" w:hAnsi="Arial" w:cs="Arial"/>
          <w:sz w:val="22"/>
          <w:szCs w:val="22"/>
        </w:rPr>
        <w:t>é</w:t>
      </w:r>
      <w:r w:rsidR="0011756C" w:rsidRPr="00E45A7B">
        <w:rPr>
          <w:rFonts w:ascii="Arial" w:hAnsi="Arial" w:cs="Arial"/>
          <w:sz w:val="22"/>
          <w:szCs w:val="22"/>
        </w:rPr>
        <w:t>l no me tome”</w:t>
      </w:r>
      <w:r w:rsidRPr="004E07D1">
        <w:rPr>
          <w:rFonts w:ascii="Arial" w:hAnsi="Arial" w:cs="Arial"/>
          <w:sz w:val="22"/>
          <w:szCs w:val="22"/>
        </w:rPr>
        <w:t>.</w:t>
      </w:r>
      <w:r w:rsidR="0011756C" w:rsidRPr="00E45A7B">
        <w:rPr>
          <w:rFonts w:ascii="Arial" w:hAnsi="Arial" w:cs="Arial"/>
          <w:sz w:val="22"/>
          <w:szCs w:val="22"/>
        </w:rPr>
        <w:t xml:space="preserve"> Y yo le dije</w:t>
      </w:r>
      <w:r w:rsidRPr="004E07D1">
        <w:rPr>
          <w:rFonts w:ascii="Arial" w:hAnsi="Arial" w:cs="Arial"/>
          <w:sz w:val="22"/>
          <w:szCs w:val="22"/>
        </w:rPr>
        <w:t xml:space="preserve"> “</w:t>
      </w:r>
      <w:r w:rsidR="0011756C" w:rsidRPr="00E45A7B">
        <w:rPr>
          <w:rFonts w:ascii="Arial" w:hAnsi="Arial" w:cs="Arial"/>
          <w:sz w:val="22"/>
          <w:szCs w:val="22"/>
        </w:rPr>
        <w:t>¿por qué no?</w:t>
      </w:r>
      <w:r w:rsidRPr="004E07D1">
        <w:rPr>
          <w:rFonts w:ascii="Arial" w:hAnsi="Arial" w:cs="Arial"/>
          <w:sz w:val="22"/>
          <w:szCs w:val="22"/>
        </w:rPr>
        <w:t>”,</w:t>
      </w:r>
      <w:r w:rsidR="0011756C" w:rsidRPr="00E45A7B">
        <w:rPr>
          <w:rFonts w:ascii="Arial" w:hAnsi="Arial" w:cs="Arial"/>
          <w:sz w:val="22"/>
          <w:szCs w:val="22"/>
        </w:rPr>
        <w:t xml:space="preserve"> </w:t>
      </w:r>
      <w:r w:rsidRPr="00E45A7B">
        <w:rPr>
          <w:rFonts w:ascii="Arial" w:hAnsi="Arial" w:cs="Arial"/>
          <w:sz w:val="22"/>
          <w:szCs w:val="22"/>
        </w:rPr>
        <w:t>l</w:t>
      </w:r>
      <w:r w:rsidR="0011756C" w:rsidRPr="00E45A7B">
        <w:rPr>
          <w:rFonts w:ascii="Arial" w:hAnsi="Arial" w:cs="Arial"/>
          <w:sz w:val="22"/>
          <w:szCs w:val="22"/>
        </w:rPr>
        <w:t>e dije</w:t>
      </w:r>
      <w:r w:rsidRPr="00E45A7B">
        <w:rPr>
          <w:rFonts w:ascii="Arial" w:hAnsi="Arial" w:cs="Arial"/>
          <w:sz w:val="22"/>
          <w:szCs w:val="22"/>
        </w:rPr>
        <w:t xml:space="preserve"> “</w:t>
      </w:r>
      <w:r w:rsidR="0011756C" w:rsidRPr="00E45A7B">
        <w:rPr>
          <w:rFonts w:ascii="Arial" w:hAnsi="Arial" w:cs="Arial"/>
          <w:sz w:val="22"/>
          <w:szCs w:val="22"/>
        </w:rPr>
        <w:t>vamos a hablar, no estamos haciendo nada malo</w:t>
      </w:r>
      <w:r w:rsidRPr="00E45A7B">
        <w:rPr>
          <w:rFonts w:ascii="Arial" w:hAnsi="Arial" w:cs="Arial"/>
          <w:sz w:val="22"/>
          <w:szCs w:val="22"/>
        </w:rPr>
        <w:t>”</w:t>
      </w:r>
      <w:r w:rsidR="0011756C" w:rsidRPr="00E45A7B">
        <w:rPr>
          <w:rFonts w:ascii="Arial" w:hAnsi="Arial" w:cs="Arial"/>
          <w:sz w:val="22"/>
          <w:szCs w:val="22"/>
        </w:rPr>
        <w:t>. “No</w:t>
      </w:r>
      <w:r w:rsidRPr="00E45A7B">
        <w:rPr>
          <w:rFonts w:ascii="Arial" w:hAnsi="Arial" w:cs="Arial"/>
          <w:sz w:val="22"/>
          <w:szCs w:val="22"/>
        </w:rPr>
        <w:t>,</w:t>
      </w:r>
      <w:r w:rsidR="0011756C" w:rsidRPr="00E45A7B">
        <w:rPr>
          <w:rFonts w:ascii="Arial" w:hAnsi="Arial" w:cs="Arial"/>
          <w:sz w:val="22"/>
          <w:szCs w:val="22"/>
        </w:rPr>
        <w:t xml:space="preserve"> porque aquí es un espacio privado, es más</w:t>
      </w:r>
      <w:r w:rsidR="004E07D1" w:rsidRPr="00E45A7B">
        <w:rPr>
          <w:rFonts w:ascii="Arial" w:hAnsi="Arial" w:cs="Arial"/>
          <w:sz w:val="22"/>
          <w:szCs w:val="22"/>
        </w:rPr>
        <w:t xml:space="preserve">, </w:t>
      </w:r>
      <w:r w:rsidR="0011756C" w:rsidRPr="00E45A7B">
        <w:rPr>
          <w:rFonts w:ascii="Arial" w:hAnsi="Arial" w:cs="Arial"/>
          <w:sz w:val="22"/>
          <w:szCs w:val="22"/>
        </w:rPr>
        <w:t>vámonos a una bodega que está aquí atrás y aquí hablamos”</w:t>
      </w:r>
      <w:r w:rsidR="004E07D1" w:rsidRPr="00E45A7B">
        <w:rPr>
          <w:rFonts w:ascii="Arial" w:hAnsi="Arial" w:cs="Arial"/>
          <w:sz w:val="22"/>
          <w:szCs w:val="22"/>
        </w:rPr>
        <w:t xml:space="preserve">. </w:t>
      </w:r>
      <w:r w:rsidR="0011756C" w:rsidRPr="00E45A7B">
        <w:rPr>
          <w:rFonts w:ascii="Arial" w:hAnsi="Arial" w:cs="Arial"/>
          <w:sz w:val="22"/>
          <w:szCs w:val="22"/>
        </w:rPr>
        <w:t xml:space="preserve">Y yo les dije </w:t>
      </w:r>
      <w:r w:rsidR="004E07D1" w:rsidRPr="00E45A7B">
        <w:rPr>
          <w:rFonts w:ascii="Arial" w:hAnsi="Arial" w:cs="Arial"/>
          <w:sz w:val="22"/>
          <w:szCs w:val="22"/>
        </w:rPr>
        <w:t>“</w:t>
      </w:r>
      <w:r w:rsidR="0011756C" w:rsidRPr="00E45A7B">
        <w:rPr>
          <w:rFonts w:ascii="Arial" w:hAnsi="Arial" w:cs="Arial"/>
          <w:sz w:val="22"/>
          <w:szCs w:val="22"/>
        </w:rPr>
        <w:t>no, aquí habla</w:t>
      </w:r>
      <w:r w:rsidR="0011756C" w:rsidRPr="00D32882">
        <w:rPr>
          <w:rFonts w:ascii="Arial" w:hAnsi="Arial" w:cs="Arial"/>
          <w:sz w:val="22"/>
          <w:szCs w:val="22"/>
        </w:rPr>
        <w:t>mos</w:t>
      </w:r>
      <w:r w:rsidR="004E07D1" w:rsidRPr="00D32882">
        <w:rPr>
          <w:rFonts w:ascii="Arial" w:hAnsi="Arial" w:cs="Arial"/>
          <w:sz w:val="22"/>
          <w:szCs w:val="22"/>
        </w:rPr>
        <w:t>”</w:t>
      </w:r>
      <w:r w:rsidR="0011756C" w:rsidRPr="00D32882">
        <w:rPr>
          <w:rFonts w:ascii="Arial" w:hAnsi="Arial" w:cs="Arial"/>
          <w:sz w:val="22"/>
          <w:szCs w:val="22"/>
        </w:rPr>
        <w:t xml:space="preserve">. </w:t>
      </w:r>
      <w:r w:rsidR="0011756C" w:rsidRPr="00684576">
        <w:rPr>
          <w:rFonts w:ascii="Arial" w:hAnsi="Arial" w:cs="Arial"/>
          <w:sz w:val="22"/>
          <w:szCs w:val="22"/>
        </w:rPr>
        <w:t>Dijo “</w:t>
      </w:r>
      <w:r w:rsidR="004E07D1" w:rsidRPr="00684576">
        <w:rPr>
          <w:rFonts w:ascii="Arial" w:hAnsi="Arial" w:cs="Arial"/>
          <w:sz w:val="22"/>
          <w:szCs w:val="22"/>
        </w:rPr>
        <w:t>n</w:t>
      </w:r>
      <w:r w:rsidR="0011756C" w:rsidRPr="00684576">
        <w:rPr>
          <w:rFonts w:ascii="Arial" w:hAnsi="Arial" w:cs="Arial"/>
          <w:sz w:val="22"/>
          <w:szCs w:val="22"/>
        </w:rPr>
        <w:t>o, pues yo así no hablo</w:t>
      </w:r>
      <w:r w:rsidR="004E07D1" w:rsidRPr="00684576">
        <w:rPr>
          <w:rFonts w:ascii="Arial" w:hAnsi="Arial" w:cs="Arial"/>
          <w:sz w:val="22"/>
          <w:szCs w:val="22"/>
        </w:rPr>
        <w:t>”.</w:t>
      </w:r>
      <w:r w:rsidR="0011756C" w:rsidRPr="00684576">
        <w:rPr>
          <w:rFonts w:ascii="Arial" w:hAnsi="Arial" w:cs="Arial"/>
          <w:sz w:val="22"/>
          <w:szCs w:val="22"/>
        </w:rPr>
        <w:t xml:space="preserve"> Y se metieron y se fueron. </w:t>
      </w:r>
      <w:r w:rsidR="004E07D1" w:rsidRPr="00684576">
        <w:rPr>
          <w:rFonts w:ascii="Arial" w:hAnsi="Arial" w:cs="Arial"/>
          <w:sz w:val="22"/>
          <w:szCs w:val="22"/>
        </w:rPr>
        <w:t>P</w:t>
      </w:r>
      <w:r w:rsidR="0011756C" w:rsidRPr="00684576">
        <w:rPr>
          <w:rFonts w:ascii="Arial" w:hAnsi="Arial" w:cs="Arial"/>
          <w:sz w:val="22"/>
          <w:szCs w:val="22"/>
        </w:rPr>
        <w:t>ero</w:t>
      </w:r>
      <w:r w:rsidR="004E07D1" w:rsidRPr="00684576">
        <w:rPr>
          <w:rFonts w:ascii="Arial" w:hAnsi="Arial" w:cs="Arial"/>
          <w:sz w:val="22"/>
          <w:szCs w:val="22"/>
        </w:rPr>
        <w:t xml:space="preserve"> ¿</w:t>
      </w:r>
      <w:r w:rsidR="0011756C" w:rsidRPr="00684576">
        <w:rPr>
          <w:rFonts w:ascii="Arial" w:hAnsi="Arial" w:cs="Arial"/>
          <w:sz w:val="22"/>
          <w:szCs w:val="22"/>
        </w:rPr>
        <w:t>para qué nos querían llevar a una bodega a hablar?</w:t>
      </w:r>
    </w:p>
    <w:p w14:paraId="1467EAD2" w14:textId="25E26701" w:rsidR="0011756C" w:rsidRPr="00E45A7B" w:rsidRDefault="0011756C" w:rsidP="00DF65FF">
      <w:pPr>
        <w:spacing w:after="60" w:line="276" w:lineRule="auto"/>
        <w:ind w:left="567"/>
        <w:jc w:val="both"/>
        <w:rPr>
          <w:rFonts w:ascii="Arial" w:hAnsi="Arial" w:cs="Arial"/>
          <w:sz w:val="22"/>
          <w:szCs w:val="22"/>
        </w:rPr>
      </w:pPr>
      <w:r w:rsidRPr="00D32882">
        <w:rPr>
          <w:rFonts w:ascii="Arial" w:hAnsi="Arial" w:cs="Arial"/>
          <w:sz w:val="22"/>
          <w:szCs w:val="22"/>
        </w:rPr>
        <w:t>Mujer 1: Y</w:t>
      </w:r>
      <w:r w:rsidR="00BC29FF" w:rsidRPr="00D32882">
        <w:rPr>
          <w:rFonts w:ascii="Arial" w:hAnsi="Arial" w:cs="Arial"/>
          <w:sz w:val="22"/>
          <w:szCs w:val="22"/>
        </w:rPr>
        <w:t xml:space="preserve"> así,</w:t>
      </w:r>
      <w:r w:rsidRPr="00D32882">
        <w:rPr>
          <w:rFonts w:ascii="Arial" w:hAnsi="Arial" w:cs="Arial"/>
          <w:sz w:val="22"/>
          <w:szCs w:val="22"/>
        </w:rPr>
        <w:t xml:space="preserve"> cuando estábamos en el baño, pues evidentemente no solamente no nos dejaron como, como… pues ni siquiera hacer lo más esencial, que es hacer del baño, en el espacio que es un baño, algo tan privado… Sacaron a toda la gente, le decían que no entraran a las mujeres, salimos y las, </w:t>
      </w:r>
      <w:r w:rsidR="00BF1859" w:rsidRPr="00D32882">
        <w:rPr>
          <w:rFonts w:ascii="Arial" w:hAnsi="Arial" w:cs="Arial"/>
          <w:sz w:val="22"/>
          <w:szCs w:val="22"/>
        </w:rPr>
        <w:t>digo</w:t>
      </w:r>
      <w:r w:rsidRPr="00E45A7B">
        <w:rPr>
          <w:rFonts w:ascii="Arial" w:hAnsi="Arial" w:cs="Arial"/>
          <w:sz w:val="22"/>
          <w:szCs w:val="22"/>
        </w:rPr>
        <w:t xml:space="preserve"> incluso las de intendencia estaban haciendo comentarios sobre nosotras muy despectivos. Posteriormente, pues ya cuando vino eso pues, cuando le pedíamos un argumento legal o, justo le decíamos, que era el Dí</w:t>
      </w:r>
      <w:r w:rsidR="00C530B8" w:rsidRPr="00C530B8">
        <w:rPr>
          <w:rFonts w:ascii="Arial" w:hAnsi="Arial" w:cs="Arial"/>
          <w:sz w:val="22"/>
          <w:szCs w:val="22"/>
        </w:rPr>
        <w:t>a internacional contra la violencia hacia las muj</w:t>
      </w:r>
      <w:r w:rsidRPr="00E45A7B">
        <w:rPr>
          <w:rFonts w:ascii="Arial" w:hAnsi="Arial" w:cs="Arial"/>
          <w:sz w:val="22"/>
          <w:szCs w:val="22"/>
        </w:rPr>
        <w:t xml:space="preserve">eres, no tenía </w:t>
      </w:r>
      <w:r w:rsidRPr="00E45A7B">
        <w:rPr>
          <w:rFonts w:ascii="Arial" w:hAnsi="Arial" w:cs="Arial"/>
          <w:sz w:val="22"/>
          <w:szCs w:val="22"/>
        </w:rPr>
        <w:lastRenderedPageBreak/>
        <w:t>ni conocimiento, o sea les valió todo por completo. Nos decían “pues es que ustedes no van a entrar aquí”.</w:t>
      </w:r>
    </w:p>
    <w:p w14:paraId="5DD933E3" w14:textId="49C9DB57" w:rsidR="0011756C" w:rsidRPr="00E45A7B" w:rsidRDefault="0011756C" w:rsidP="00DF65FF">
      <w:pPr>
        <w:spacing w:after="60" w:line="276" w:lineRule="auto"/>
        <w:ind w:left="567"/>
        <w:jc w:val="both"/>
        <w:rPr>
          <w:rFonts w:ascii="Arial" w:hAnsi="Arial" w:cs="Arial"/>
          <w:sz w:val="22"/>
          <w:szCs w:val="22"/>
        </w:rPr>
      </w:pPr>
      <w:r w:rsidRPr="00E45A7B">
        <w:rPr>
          <w:rFonts w:ascii="Arial" w:hAnsi="Arial" w:cs="Arial"/>
          <w:sz w:val="22"/>
          <w:szCs w:val="22"/>
        </w:rPr>
        <w:t xml:space="preserve">Mujer 2: </w:t>
      </w:r>
      <w:r w:rsidR="00BF1859">
        <w:rPr>
          <w:rFonts w:ascii="Arial" w:hAnsi="Arial" w:cs="Arial"/>
          <w:sz w:val="22"/>
          <w:szCs w:val="22"/>
        </w:rPr>
        <w:t>Yo l</w:t>
      </w:r>
      <w:r w:rsidRPr="00E45A7B">
        <w:rPr>
          <w:rFonts w:ascii="Arial" w:hAnsi="Arial" w:cs="Arial"/>
          <w:sz w:val="22"/>
          <w:szCs w:val="22"/>
        </w:rPr>
        <w:t>e dije</w:t>
      </w:r>
      <w:r w:rsidR="00C530B8">
        <w:rPr>
          <w:rFonts w:ascii="Arial" w:hAnsi="Arial" w:cs="Arial"/>
          <w:sz w:val="22"/>
          <w:szCs w:val="22"/>
        </w:rPr>
        <w:t xml:space="preserve"> “o</w:t>
      </w:r>
      <w:r w:rsidRPr="00E45A7B">
        <w:rPr>
          <w:rFonts w:ascii="Arial" w:hAnsi="Arial" w:cs="Arial"/>
          <w:sz w:val="22"/>
          <w:szCs w:val="22"/>
        </w:rPr>
        <w:t>ye</w:t>
      </w:r>
      <w:r w:rsidR="00C530B8">
        <w:rPr>
          <w:rFonts w:ascii="Arial" w:hAnsi="Arial" w:cs="Arial"/>
          <w:sz w:val="22"/>
          <w:szCs w:val="22"/>
        </w:rPr>
        <w:t>,</w:t>
      </w:r>
      <w:r w:rsidRPr="00E45A7B">
        <w:rPr>
          <w:rFonts w:ascii="Arial" w:hAnsi="Arial" w:cs="Arial"/>
          <w:sz w:val="22"/>
          <w:szCs w:val="22"/>
        </w:rPr>
        <w:t xml:space="preserve"> ¿</w:t>
      </w:r>
      <w:r w:rsidR="00C530B8">
        <w:rPr>
          <w:rFonts w:ascii="Arial" w:hAnsi="Arial" w:cs="Arial"/>
          <w:sz w:val="22"/>
          <w:szCs w:val="22"/>
        </w:rPr>
        <w:t>q</w:t>
      </w:r>
      <w:r w:rsidRPr="00E45A7B">
        <w:rPr>
          <w:rFonts w:ascii="Arial" w:hAnsi="Arial" w:cs="Arial"/>
          <w:sz w:val="22"/>
          <w:szCs w:val="22"/>
        </w:rPr>
        <w:t>ué quiere</w:t>
      </w:r>
      <w:r w:rsidR="00C530B8">
        <w:rPr>
          <w:rFonts w:ascii="Arial" w:hAnsi="Arial" w:cs="Arial"/>
          <w:sz w:val="22"/>
          <w:szCs w:val="22"/>
        </w:rPr>
        <w:t>s, q</w:t>
      </w:r>
      <w:r w:rsidRPr="00E45A7B">
        <w:rPr>
          <w:rFonts w:ascii="Arial" w:hAnsi="Arial" w:cs="Arial"/>
          <w:sz w:val="22"/>
          <w:szCs w:val="22"/>
        </w:rPr>
        <w:t>ue me levante la falda y te enseñe lo que traigo debajo de la falda o qué?</w:t>
      </w:r>
      <w:r w:rsidR="00C530B8">
        <w:rPr>
          <w:rFonts w:ascii="Arial" w:hAnsi="Arial" w:cs="Arial"/>
          <w:sz w:val="22"/>
          <w:szCs w:val="22"/>
        </w:rPr>
        <w:t>”</w:t>
      </w:r>
      <w:r w:rsidRPr="00E45A7B">
        <w:rPr>
          <w:rFonts w:ascii="Arial" w:hAnsi="Arial" w:cs="Arial"/>
          <w:sz w:val="22"/>
          <w:szCs w:val="22"/>
        </w:rPr>
        <w:t xml:space="preserve"> Y en lugar de decir</w:t>
      </w:r>
      <w:r w:rsidR="00C530B8">
        <w:rPr>
          <w:rFonts w:ascii="Arial" w:hAnsi="Arial" w:cs="Arial"/>
          <w:sz w:val="22"/>
          <w:szCs w:val="22"/>
        </w:rPr>
        <w:t xml:space="preserve"> “</w:t>
      </w:r>
      <w:r w:rsidRPr="00E45A7B">
        <w:rPr>
          <w:rFonts w:ascii="Arial" w:hAnsi="Arial" w:cs="Arial"/>
          <w:sz w:val="22"/>
          <w:szCs w:val="22"/>
        </w:rPr>
        <w:t>oye</w:t>
      </w:r>
      <w:r w:rsidR="00C530B8">
        <w:rPr>
          <w:rFonts w:ascii="Arial" w:hAnsi="Arial" w:cs="Arial"/>
          <w:sz w:val="22"/>
          <w:szCs w:val="22"/>
        </w:rPr>
        <w:t>,</w:t>
      </w:r>
      <w:r w:rsidRPr="00E45A7B">
        <w:rPr>
          <w:rFonts w:ascii="Arial" w:hAnsi="Arial" w:cs="Arial"/>
          <w:sz w:val="22"/>
          <w:szCs w:val="22"/>
        </w:rPr>
        <w:t xml:space="preserve"> sabes que</w:t>
      </w:r>
      <w:r w:rsidR="00C530B8">
        <w:rPr>
          <w:rFonts w:ascii="Arial" w:hAnsi="Arial" w:cs="Arial"/>
          <w:sz w:val="22"/>
          <w:szCs w:val="22"/>
        </w:rPr>
        <w:t>,</w:t>
      </w:r>
      <w:r w:rsidRPr="00E45A7B">
        <w:rPr>
          <w:rFonts w:ascii="Arial" w:hAnsi="Arial" w:cs="Arial"/>
          <w:sz w:val="22"/>
          <w:szCs w:val="22"/>
        </w:rPr>
        <w:t xml:space="preserve"> ya métete</w:t>
      </w:r>
      <w:r w:rsidR="00C530B8">
        <w:rPr>
          <w:rFonts w:ascii="Arial" w:hAnsi="Arial" w:cs="Arial"/>
          <w:sz w:val="22"/>
          <w:szCs w:val="22"/>
        </w:rPr>
        <w:t>”</w:t>
      </w:r>
      <w:r w:rsidRPr="00E45A7B">
        <w:rPr>
          <w:rFonts w:ascii="Arial" w:hAnsi="Arial" w:cs="Arial"/>
          <w:sz w:val="22"/>
          <w:szCs w:val="22"/>
        </w:rPr>
        <w:t>, nada</w:t>
      </w:r>
      <w:r w:rsidR="00BF1859">
        <w:rPr>
          <w:rFonts w:ascii="Arial" w:hAnsi="Arial" w:cs="Arial"/>
          <w:sz w:val="22"/>
          <w:szCs w:val="22"/>
        </w:rPr>
        <w:t>, nada</w:t>
      </w:r>
      <w:r w:rsidRPr="00E45A7B">
        <w:rPr>
          <w:rFonts w:ascii="Arial" w:hAnsi="Arial" w:cs="Arial"/>
          <w:sz w:val="22"/>
          <w:szCs w:val="22"/>
        </w:rPr>
        <w:t xml:space="preserve"> más se reían en nuestra cara de nosotros. O sea es como de </w:t>
      </w:r>
      <w:r w:rsidR="00710BBD">
        <w:rPr>
          <w:rFonts w:ascii="Arial" w:hAnsi="Arial" w:cs="Arial"/>
          <w:sz w:val="22"/>
          <w:szCs w:val="22"/>
        </w:rPr>
        <w:t>“</w:t>
      </w:r>
      <w:r w:rsidRPr="00E45A7B">
        <w:rPr>
          <w:rFonts w:ascii="Arial" w:hAnsi="Arial" w:cs="Arial"/>
          <w:sz w:val="22"/>
          <w:szCs w:val="22"/>
        </w:rPr>
        <w:t>no</w:t>
      </w:r>
      <w:r w:rsidR="00710BBD">
        <w:rPr>
          <w:rFonts w:ascii="Arial" w:hAnsi="Arial" w:cs="Arial"/>
          <w:sz w:val="22"/>
          <w:szCs w:val="22"/>
        </w:rPr>
        <w:t>,</w:t>
      </w:r>
      <w:r w:rsidRPr="00E45A7B">
        <w:rPr>
          <w:rFonts w:ascii="Arial" w:hAnsi="Arial" w:cs="Arial"/>
          <w:sz w:val="22"/>
          <w:szCs w:val="22"/>
        </w:rPr>
        <w:t xml:space="preserve"> a m</w:t>
      </w:r>
      <w:r w:rsidR="00BF1859">
        <w:rPr>
          <w:rFonts w:ascii="Arial" w:hAnsi="Arial" w:cs="Arial"/>
          <w:sz w:val="22"/>
          <w:szCs w:val="22"/>
        </w:rPr>
        <w:t xml:space="preserve">í </w:t>
      </w:r>
      <w:r w:rsidRPr="00E45A7B">
        <w:rPr>
          <w:rFonts w:ascii="Arial" w:hAnsi="Arial" w:cs="Arial"/>
          <w:sz w:val="22"/>
          <w:szCs w:val="22"/>
        </w:rPr>
        <w:t xml:space="preserve">me muestras tu identificación, </w:t>
      </w:r>
      <w:r w:rsidR="00710BBD" w:rsidRPr="00E45A7B">
        <w:rPr>
          <w:rFonts w:ascii="Arial" w:hAnsi="Arial" w:cs="Arial"/>
          <w:sz w:val="22"/>
          <w:szCs w:val="22"/>
        </w:rPr>
        <w:t>identifícate</w:t>
      </w:r>
      <w:r w:rsidR="00710BBD">
        <w:rPr>
          <w:rFonts w:ascii="Arial" w:hAnsi="Arial" w:cs="Arial"/>
          <w:sz w:val="22"/>
          <w:szCs w:val="22"/>
        </w:rPr>
        <w:t>”</w:t>
      </w:r>
      <w:r w:rsidRPr="00E45A7B">
        <w:rPr>
          <w:rFonts w:ascii="Arial" w:hAnsi="Arial" w:cs="Arial"/>
          <w:sz w:val="22"/>
          <w:szCs w:val="22"/>
        </w:rPr>
        <w:t xml:space="preserve">. Y yo le dije </w:t>
      </w:r>
      <w:r w:rsidR="00710BBD">
        <w:rPr>
          <w:rFonts w:ascii="Arial" w:hAnsi="Arial" w:cs="Arial"/>
          <w:sz w:val="22"/>
          <w:szCs w:val="22"/>
        </w:rPr>
        <w:t>“</w:t>
      </w:r>
      <w:r w:rsidRPr="00E45A7B">
        <w:rPr>
          <w:rFonts w:ascii="Arial" w:hAnsi="Arial" w:cs="Arial"/>
          <w:sz w:val="22"/>
          <w:szCs w:val="22"/>
        </w:rPr>
        <w:t xml:space="preserve">va, yo me llamo </w:t>
      </w:r>
      <w:r w:rsidRPr="00E45A7B">
        <w:rPr>
          <w:rFonts w:ascii="Arial" w:hAnsi="Arial" w:cs="Arial"/>
          <w:color w:val="FF0000"/>
          <w:sz w:val="22"/>
          <w:szCs w:val="22"/>
        </w:rPr>
        <w:t>AF</w:t>
      </w:r>
      <w:r w:rsidRPr="00E45A7B">
        <w:rPr>
          <w:rFonts w:ascii="Arial" w:hAnsi="Arial" w:cs="Arial"/>
          <w:sz w:val="22"/>
          <w:szCs w:val="22"/>
        </w:rPr>
        <w:t xml:space="preserve">, ahora tú </w:t>
      </w:r>
      <w:r w:rsidR="00710BBD" w:rsidRPr="00E45A7B">
        <w:rPr>
          <w:rFonts w:ascii="Arial" w:hAnsi="Arial" w:cs="Arial"/>
          <w:sz w:val="22"/>
          <w:szCs w:val="22"/>
        </w:rPr>
        <w:t>identifícate</w:t>
      </w:r>
      <w:r w:rsidRPr="00E45A7B">
        <w:rPr>
          <w:rFonts w:ascii="Arial" w:hAnsi="Arial" w:cs="Arial"/>
          <w:sz w:val="22"/>
          <w:szCs w:val="22"/>
        </w:rPr>
        <w:t xml:space="preserve"> y dime </w:t>
      </w:r>
      <w:r w:rsidR="00C530B8" w:rsidRPr="00C530B8">
        <w:rPr>
          <w:rFonts w:ascii="Arial" w:hAnsi="Arial" w:cs="Arial"/>
          <w:sz w:val="22"/>
          <w:szCs w:val="22"/>
        </w:rPr>
        <w:t>quién</w:t>
      </w:r>
      <w:r w:rsidRPr="00E45A7B">
        <w:rPr>
          <w:rFonts w:ascii="Arial" w:hAnsi="Arial" w:cs="Arial"/>
          <w:sz w:val="22"/>
          <w:szCs w:val="22"/>
        </w:rPr>
        <w:t xml:space="preserve"> eres para saber </w:t>
      </w:r>
      <w:r w:rsidR="00C530B8" w:rsidRPr="00C530B8">
        <w:rPr>
          <w:rFonts w:ascii="Arial" w:hAnsi="Arial" w:cs="Arial"/>
          <w:sz w:val="22"/>
          <w:szCs w:val="22"/>
        </w:rPr>
        <w:t>quién</w:t>
      </w:r>
      <w:r w:rsidRPr="00E45A7B">
        <w:rPr>
          <w:rFonts w:ascii="Arial" w:hAnsi="Arial" w:cs="Arial"/>
          <w:sz w:val="22"/>
          <w:szCs w:val="22"/>
        </w:rPr>
        <w:t xml:space="preserve"> es el que me está prohibiendo</w:t>
      </w:r>
      <w:r w:rsidR="00710BBD">
        <w:rPr>
          <w:rFonts w:ascii="Arial" w:hAnsi="Arial" w:cs="Arial"/>
          <w:sz w:val="22"/>
          <w:szCs w:val="22"/>
        </w:rPr>
        <w:t>,</w:t>
      </w:r>
      <w:r w:rsidRPr="00E45A7B">
        <w:rPr>
          <w:rFonts w:ascii="Arial" w:hAnsi="Arial" w:cs="Arial"/>
          <w:sz w:val="22"/>
          <w:szCs w:val="22"/>
        </w:rPr>
        <w:t xml:space="preserve"> yo no tengo problema en identificarme contigo</w:t>
      </w:r>
      <w:r w:rsidR="00710BBD">
        <w:rPr>
          <w:rFonts w:ascii="Arial" w:hAnsi="Arial" w:cs="Arial"/>
          <w:sz w:val="22"/>
          <w:szCs w:val="22"/>
        </w:rPr>
        <w:t>”</w:t>
      </w:r>
      <w:r w:rsidR="00892D9E">
        <w:rPr>
          <w:rFonts w:ascii="Arial" w:hAnsi="Arial" w:cs="Arial"/>
          <w:sz w:val="22"/>
          <w:szCs w:val="22"/>
        </w:rPr>
        <w:t>. O</w:t>
      </w:r>
      <w:r w:rsidRPr="00E45A7B">
        <w:rPr>
          <w:rFonts w:ascii="Arial" w:hAnsi="Arial" w:cs="Arial"/>
          <w:sz w:val="22"/>
          <w:szCs w:val="22"/>
        </w:rPr>
        <w:t xml:space="preserve"> sea, es como, creo que ellos tenían la obligación de identificarse con nosotros. Y nosotros ahorita a lo que venimos es a que nos apoyes</w:t>
      </w:r>
      <w:r w:rsidR="00BF1859">
        <w:rPr>
          <w:rFonts w:ascii="Arial" w:hAnsi="Arial" w:cs="Arial"/>
          <w:sz w:val="22"/>
          <w:szCs w:val="22"/>
        </w:rPr>
        <w:t>,</w:t>
      </w:r>
      <w:r w:rsidRPr="00E45A7B">
        <w:rPr>
          <w:rFonts w:ascii="Arial" w:hAnsi="Arial" w:cs="Arial"/>
          <w:sz w:val="22"/>
          <w:szCs w:val="22"/>
        </w:rPr>
        <w:t xml:space="preserve"> para ver si nos apoy</w:t>
      </w:r>
      <w:r w:rsidR="00892D9E">
        <w:rPr>
          <w:rFonts w:ascii="Arial" w:hAnsi="Arial" w:cs="Arial"/>
          <w:sz w:val="22"/>
          <w:szCs w:val="22"/>
        </w:rPr>
        <w:t>a</w:t>
      </w:r>
      <w:r w:rsidRPr="00E45A7B">
        <w:rPr>
          <w:rFonts w:ascii="Arial" w:hAnsi="Arial" w:cs="Arial"/>
          <w:sz w:val="22"/>
          <w:szCs w:val="22"/>
        </w:rPr>
        <w:t>s</w:t>
      </w:r>
      <w:r w:rsidR="00892D9E">
        <w:rPr>
          <w:rFonts w:ascii="Arial" w:hAnsi="Arial" w:cs="Arial"/>
          <w:sz w:val="22"/>
          <w:szCs w:val="22"/>
        </w:rPr>
        <w:t>.</w:t>
      </w:r>
      <w:r w:rsidRPr="00E45A7B">
        <w:rPr>
          <w:rFonts w:ascii="Arial" w:hAnsi="Arial" w:cs="Arial"/>
          <w:sz w:val="22"/>
          <w:szCs w:val="22"/>
        </w:rPr>
        <w:t xml:space="preserve"> para ver si nos puedes prestar una red en el cual colgarnos para editar los videos que tenemos y hacerlos viral para COPRED</w:t>
      </w:r>
      <w:r w:rsidR="00892D9E">
        <w:rPr>
          <w:rFonts w:ascii="Arial" w:hAnsi="Arial" w:cs="Arial"/>
          <w:sz w:val="22"/>
          <w:szCs w:val="22"/>
        </w:rPr>
        <w:t>. T</w:t>
      </w:r>
      <w:r w:rsidRPr="00E45A7B">
        <w:rPr>
          <w:rFonts w:ascii="Arial" w:hAnsi="Arial" w:cs="Arial"/>
          <w:sz w:val="22"/>
          <w:szCs w:val="22"/>
        </w:rPr>
        <w:t>ambién y para ver si nos das pila porque, neta parece que el diablo estaba detrás de nosotros, que todos nuestros celulares se acabaron las pilas.</w:t>
      </w:r>
    </w:p>
    <w:p w14:paraId="0B7082E7" w14:textId="082F0559" w:rsidR="0011756C" w:rsidRPr="00E45A7B" w:rsidRDefault="0011756C" w:rsidP="00DF65FF">
      <w:pPr>
        <w:spacing w:after="60" w:line="276" w:lineRule="auto"/>
        <w:ind w:left="567"/>
        <w:jc w:val="both"/>
        <w:rPr>
          <w:rFonts w:ascii="Arial" w:hAnsi="Arial" w:cs="Arial"/>
          <w:sz w:val="22"/>
          <w:szCs w:val="22"/>
        </w:rPr>
      </w:pPr>
      <w:r w:rsidRPr="00E45A7B">
        <w:rPr>
          <w:rFonts w:ascii="Arial" w:hAnsi="Arial" w:cs="Arial"/>
          <w:sz w:val="22"/>
          <w:szCs w:val="22"/>
        </w:rPr>
        <w:t>Mujer</w:t>
      </w:r>
      <w:r w:rsidR="00C530B8">
        <w:rPr>
          <w:rFonts w:ascii="Arial" w:hAnsi="Arial" w:cs="Arial"/>
          <w:sz w:val="22"/>
          <w:szCs w:val="22"/>
        </w:rPr>
        <w:t xml:space="preserve"> </w:t>
      </w:r>
      <w:r w:rsidRPr="00E45A7B">
        <w:rPr>
          <w:rFonts w:ascii="Arial" w:hAnsi="Arial" w:cs="Arial"/>
          <w:sz w:val="22"/>
          <w:szCs w:val="22"/>
        </w:rPr>
        <w:t>1: Mas bien la violencia es la que está ahorita</w:t>
      </w:r>
      <w:r w:rsidR="00D65F56">
        <w:rPr>
          <w:rFonts w:ascii="Arial" w:hAnsi="Arial" w:cs="Arial"/>
          <w:sz w:val="22"/>
          <w:szCs w:val="22"/>
        </w:rPr>
        <w:t>,</w:t>
      </w:r>
      <w:r w:rsidRPr="00E45A7B">
        <w:rPr>
          <w:rFonts w:ascii="Arial" w:hAnsi="Arial" w:cs="Arial"/>
          <w:sz w:val="22"/>
          <w:szCs w:val="22"/>
        </w:rPr>
        <w:t xml:space="preserve"> ¿no? O sea, </w:t>
      </w:r>
      <w:r w:rsidR="00382278">
        <w:rPr>
          <w:rFonts w:ascii="Arial" w:hAnsi="Arial" w:cs="Arial"/>
          <w:sz w:val="22"/>
          <w:szCs w:val="22"/>
        </w:rPr>
        <w:t xml:space="preserve">independientemente, creo que, </w:t>
      </w:r>
      <w:r w:rsidRPr="00E45A7B">
        <w:rPr>
          <w:rFonts w:ascii="Arial" w:hAnsi="Arial" w:cs="Arial"/>
          <w:sz w:val="22"/>
          <w:szCs w:val="22"/>
        </w:rPr>
        <w:t xml:space="preserve">cuando le decíamos </w:t>
      </w:r>
      <w:r w:rsidR="00382278">
        <w:rPr>
          <w:rFonts w:ascii="Arial" w:hAnsi="Arial" w:cs="Arial"/>
          <w:sz w:val="22"/>
          <w:szCs w:val="22"/>
        </w:rPr>
        <w:t>“</w:t>
      </w:r>
      <w:r w:rsidRPr="00E45A7B">
        <w:rPr>
          <w:rFonts w:ascii="Arial" w:hAnsi="Arial" w:cs="Arial"/>
          <w:sz w:val="22"/>
          <w:szCs w:val="22"/>
        </w:rPr>
        <w:t>ciudad amigable</w:t>
      </w:r>
      <w:r w:rsidR="00382278">
        <w:rPr>
          <w:rFonts w:ascii="Arial" w:hAnsi="Arial" w:cs="Arial"/>
          <w:sz w:val="22"/>
          <w:szCs w:val="22"/>
        </w:rPr>
        <w:t>”</w:t>
      </w:r>
      <w:r w:rsidRPr="00E45A7B">
        <w:rPr>
          <w:rFonts w:ascii="Arial" w:hAnsi="Arial" w:cs="Arial"/>
          <w:sz w:val="22"/>
          <w:szCs w:val="22"/>
        </w:rPr>
        <w:t xml:space="preserve"> parecía que no era nada amigable, era todo lo contrario a amigable, era, como en un sentido de que… Llegó un momento en el que le dije, bueno, no le pedían a nadie más las credenciales</w:t>
      </w:r>
      <w:r w:rsidR="00382278">
        <w:rPr>
          <w:rFonts w:ascii="Arial" w:hAnsi="Arial" w:cs="Arial"/>
          <w:sz w:val="22"/>
          <w:szCs w:val="22"/>
        </w:rPr>
        <w:t xml:space="preserve">, </w:t>
      </w:r>
      <w:r w:rsidRPr="00E45A7B">
        <w:rPr>
          <w:rFonts w:ascii="Arial" w:hAnsi="Arial" w:cs="Arial"/>
          <w:sz w:val="22"/>
          <w:szCs w:val="22"/>
        </w:rPr>
        <w:t>¿</w:t>
      </w:r>
      <w:r w:rsidR="00382278">
        <w:rPr>
          <w:rFonts w:ascii="Arial" w:hAnsi="Arial" w:cs="Arial"/>
          <w:sz w:val="22"/>
          <w:szCs w:val="22"/>
        </w:rPr>
        <w:t>s</w:t>
      </w:r>
      <w:r w:rsidRPr="00E45A7B">
        <w:rPr>
          <w:rFonts w:ascii="Arial" w:hAnsi="Arial" w:cs="Arial"/>
          <w:sz w:val="22"/>
          <w:szCs w:val="22"/>
        </w:rPr>
        <w:t xml:space="preserve">abes lo humillante que fue eso? O sea, le decíamos </w:t>
      </w:r>
      <w:r w:rsidR="00382278">
        <w:rPr>
          <w:rFonts w:ascii="Arial" w:hAnsi="Arial" w:cs="Arial"/>
          <w:sz w:val="22"/>
          <w:szCs w:val="22"/>
        </w:rPr>
        <w:t>“</w:t>
      </w:r>
      <w:r w:rsidRPr="00E45A7B">
        <w:rPr>
          <w:rFonts w:ascii="Arial" w:hAnsi="Arial" w:cs="Arial"/>
          <w:sz w:val="22"/>
          <w:szCs w:val="22"/>
        </w:rPr>
        <w:t>bueno ¿</w:t>
      </w:r>
      <w:r w:rsidR="00382278">
        <w:rPr>
          <w:rFonts w:ascii="Arial" w:hAnsi="Arial" w:cs="Arial"/>
          <w:sz w:val="22"/>
          <w:szCs w:val="22"/>
        </w:rPr>
        <w:t>a</w:t>
      </w:r>
      <w:r w:rsidRPr="00E45A7B">
        <w:rPr>
          <w:rFonts w:ascii="Arial" w:hAnsi="Arial" w:cs="Arial"/>
          <w:sz w:val="22"/>
          <w:szCs w:val="22"/>
        </w:rPr>
        <w:t xml:space="preserve"> usted le pidieron la credencial?</w:t>
      </w:r>
      <w:r w:rsidR="00382278">
        <w:rPr>
          <w:rFonts w:ascii="Arial" w:hAnsi="Arial" w:cs="Arial"/>
          <w:sz w:val="22"/>
          <w:szCs w:val="22"/>
        </w:rPr>
        <w:t>”.</w:t>
      </w:r>
      <w:r w:rsidRPr="00E45A7B">
        <w:rPr>
          <w:rFonts w:ascii="Arial" w:hAnsi="Arial" w:cs="Arial"/>
          <w:sz w:val="22"/>
          <w:szCs w:val="22"/>
        </w:rPr>
        <w:t xml:space="preserve"> Le preguntamos a una señora, y la señora dijo </w:t>
      </w:r>
      <w:r w:rsidR="00382278">
        <w:rPr>
          <w:rFonts w:ascii="Arial" w:hAnsi="Arial" w:cs="Arial"/>
          <w:sz w:val="22"/>
          <w:szCs w:val="22"/>
        </w:rPr>
        <w:t>“</w:t>
      </w:r>
      <w:r w:rsidRPr="00E45A7B">
        <w:rPr>
          <w:rFonts w:ascii="Arial" w:hAnsi="Arial" w:cs="Arial"/>
          <w:sz w:val="22"/>
          <w:szCs w:val="22"/>
        </w:rPr>
        <w:t>no</w:t>
      </w:r>
      <w:r w:rsidR="00382278">
        <w:rPr>
          <w:rFonts w:ascii="Arial" w:hAnsi="Arial" w:cs="Arial"/>
          <w:sz w:val="22"/>
          <w:szCs w:val="22"/>
        </w:rPr>
        <w:t>”</w:t>
      </w:r>
      <w:r w:rsidRPr="00E45A7B">
        <w:rPr>
          <w:rFonts w:ascii="Arial" w:hAnsi="Arial" w:cs="Arial"/>
          <w:sz w:val="22"/>
          <w:szCs w:val="22"/>
        </w:rPr>
        <w:t>. Y se quedaban en shock porque decíamos ¿</w:t>
      </w:r>
      <w:r w:rsidR="00D65F56">
        <w:rPr>
          <w:rFonts w:ascii="Arial" w:hAnsi="Arial" w:cs="Arial"/>
          <w:sz w:val="22"/>
          <w:szCs w:val="22"/>
        </w:rPr>
        <w:t>p</w:t>
      </w:r>
      <w:r w:rsidRPr="00E45A7B">
        <w:rPr>
          <w:rFonts w:ascii="Arial" w:hAnsi="Arial" w:cs="Arial"/>
          <w:sz w:val="22"/>
          <w:szCs w:val="22"/>
        </w:rPr>
        <w:t>or qué a nosotras nos piden las credenciales para entrar a algo tan simple y tan necesario como ir al baño?</w:t>
      </w:r>
    </w:p>
    <w:p w14:paraId="765A8C97" w14:textId="23978D3E" w:rsidR="0011756C" w:rsidRPr="00E45A7B" w:rsidRDefault="0011756C" w:rsidP="00DF65FF">
      <w:pPr>
        <w:spacing w:after="60" w:line="276" w:lineRule="auto"/>
        <w:ind w:left="567"/>
        <w:jc w:val="both"/>
        <w:rPr>
          <w:rFonts w:ascii="Arial" w:hAnsi="Arial" w:cs="Arial"/>
          <w:sz w:val="22"/>
          <w:szCs w:val="22"/>
        </w:rPr>
      </w:pPr>
      <w:r w:rsidRPr="00E45A7B">
        <w:rPr>
          <w:rFonts w:ascii="Arial" w:hAnsi="Arial" w:cs="Arial"/>
          <w:sz w:val="22"/>
          <w:szCs w:val="22"/>
        </w:rPr>
        <w:t xml:space="preserve">Mujer 2: Aparte estamos hablando de que se supone que si hablamos de </w:t>
      </w:r>
      <w:r w:rsidR="00382278">
        <w:rPr>
          <w:rFonts w:ascii="Arial" w:hAnsi="Arial" w:cs="Arial"/>
          <w:sz w:val="22"/>
          <w:szCs w:val="22"/>
        </w:rPr>
        <w:t>“</w:t>
      </w:r>
      <w:r w:rsidRPr="00E45A7B">
        <w:rPr>
          <w:rFonts w:ascii="Arial" w:hAnsi="Arial" w:cs="Arial"/>
          <w:sz w:val="22"/>
          <w:szCs w:val="22"/>
        </w:rPr>
        <w:t>ciudad amigable</w:t>
      </w:r>
      <w:r w:rsidR="00382278">
        <w:rPr>
          <w:rFonts w:ascii="Arial" w:hAnsi="Arial" w:cs="Arial"/>
          <w:sz w:val="22"/>
          <w:szCs w:val="22"/>
        </w:rPr>
        <w:t>”</w:t>
      </w:r>
      <w:r w:rsidRPr="00E45A7B">
        <w:rPr>
          <w:rFonts w:ascii="Arial" w:hAnsi="Arial" w:cs="Arial"/>
          <w:sz w:val="22"/>
          <w:szCs w:val="22"/>
        </w:rPr>
        <w:t xml:space="preserve">, pues todo el mundo decía el día que fui a la </w:t>
      </w:r>
      <w:r w:rsidR="00382278">
        <w:rPr>
          <w:rFonts w:ascii="Arial" w:hAnsi="Arial" w:cs="Arial"/>
          <w:sz w:val="22"/>
          <w:szCs w:val="22"/>
        </w:rPr>
        <w:t>“D</w:t>
      </w:r>
      <w:r w:rsidRPr="00E45A7B">
        <w:rPr>
          <w:rFonts w:ascii="Arial" w:hAnsi="Arial" w:cs="Arial"/>
          <w:sz w:val="22"/>
          <w:szCs w:val="22"/>
        </w:rPr>
        <w:t>eclaratoria de la ciudad amigable</w:t>
      </w:r>
      <w:r w:rsidR="00382278">
        <w:rPr>
          <w:rFonts w:ascii="Arial" w:hAnsi="Arial" w:cs="Arial"/>
          <w:sz w:val="22"/>
          <w:szCs w:val="22"/>
        </w:rPr>
        <w:t>”</w:t>
      </w:r>
      <w:r w:rsidRPr="00E45A7B">
        <w:rPr>
          <w:rFonts w:ascii="Arial" w:hAnsi="Arial" w:cs="Arial"/>
          <w:sz w:val="22"/>
          <w:szCs w:val="22"/>
        </w:rPr>
        <w:t>, o sea como que, las islas de amigable son Zona Rosa, Coyoacán, los “suburbios”, los “lugares nice”, pero mira Zona Rosa… ¿Qué</w:t>
      </w:r>
      <w:r w:rsidR="0009389E">
        <w:rPr>
          <w:rFonts w:ascii="Arial" w:hAnsi="Arial" w:cs="Arial"/>
          <w:sz w:val="22"/>
          <w:szCs w:val="22"/>
        </w:rPr>
        <w:t>, qué</w:t>
      </w:r>
      <w:r w:rsidRPr="00E45A7B">
        <w:rPr>
          <w:rFonts w:ascii="Arial" w:hAnsi="Arial" w:cs="Arial"/>
          <w:sz w:val="22"/>
          <w:szCs w:val="22"/>
        </w:rPr>
        <w:t xml:space="preserve"> está pasando?</w:t>
      </w:r>
      <w:r w:rsidR="0009389E">
        <w:rPr>
          <w:rFonts w:ascii="Arial" w:hAnsi="Arial" w:cs="Arial"/>
          <w:sz w:val="22"/>
          <w:szCs w:val="22"/>
        </w:rPr>
        <w:t xml:space="preserve">, y es lo que necesitamos hacer. </w:t>
      </w:r>
    </w:p>
    <w:p w14:paraId="0AD0714C" w14:textId="14A0F4E2" w:rsidR="0011756C" w:rsidRPr="00E45A7B" w:rsidRDefault="0011756C" w:rsidP="00DF65FF">
      <w:pPr>
        <w:spacing w:after="60" w:line="276" w:lineRule="auto"/>
        <w:ind w:left="567"/>
        <w:jc w:val="both"/>
        <w:rPr>
          <w:rFonts w:ascii="Arial" w:hAnsi="Arial" w:cs="Arial"/>
          <w:sz w:val="22"/>
          <w:szCs w:val="22"/>
        </w:rPr>
      </w:pPr>
      <w:r w:rsidRPr="00E45A7B">
        <w:rPr>
          <w:rFonts w:ascii="Arial" w:hAnsi="Arial" w:cs="Arial"/>
          <w:sz w:val="22"/>
          <w:szCs w:val="22"/>
        </w:rPr>
        <w:t xml:space="preserve">Mujer 1: Pues ahorita vamos a armar la queja para llevarla a COPRED y pues más bien ahorita vinimos aquí </w:t>
      </w:r>
      <w:r w:rsidRPr="00453D61">
        <w:rPr>
          <w:rFonts w:ascii="Arial" w:hAnsi="Arial" w:cs="Arial"/>
          <w:sz w:val="22"/>
          <w:szCs w:val="22"/>
        </w:rPr>
        <w:t>a “</w:t>
      </w:r>
      <w:r w:rsidR="008B21E5" w:rsidRPr="00453D61">
        <w:rPr>
          <w:rFonts w:ascii="Arial" w:hAnsi="Arial" w:cs="Arial"/>
          <w:sz w:val="22"/>
          <w:szCs w:val="22"/>
        </w:rPr>
        <w:t>AHF</w:t>
      </w:r>
      <w:r w:rsidRPr="00453D61">
        <w:rPr>
          <w:rFonts w:ascii="Arial" w:hAnsi="Arial" w:cs="Arial"/>
          <w:sz w:val="22"/>
          <w:szCs w:val="22"/>
        </w:rPr>
        <w:t xml:space="preserve">” para </w:t>
      </w:r>
      <w:r w:rsidRPr="00E45A7B">
        <w:rPr>
          <w:rFonts w:ascii="Arial" w:hAnsi="Arial" w:cs="Arial"/>
          <w:sz w:val="22"/>
          <w:szCs w:val="22"/>
        </w:rPr>
        <w:t>que nos dieran un poco de asilo.</w:t>
      </w:r>
    </w:p>
    <w:p w14:paraId="79972E92" w14:textId="157A706D" w:rsidR="0011756C" w:rsidRPr="00E45A7B" w:rsidRDefault="0011756C" w:rsidP="00DF65FF">
      <w:pPr>
        <w:spacing w:after="60" w:line="276" w:lineRule="auto"/>
        <w:ind w:left="567"/>
        <w:jc w:val="both"/>
        <w:rPr>
          <w:rFonts w:ascii="Arial" w:hAnsi="Arial" w:cs="Arial"/>
          <w:sz w:val="22"/>
          <w:szCs w:val="22"/>
        </w:rPr>
      </w:pPr>
      <w:r w:rsidRPr="00E45A7B">
        <w:rPr>
          <w:rFonts w:ascii="Arial" w:hAnsi="Arial" w:cs="Arial"/>
          <w:sz w:val="22"/>
          <w:szCs w:val="22"/>
        </w:rPr>
        <w:t xml:space="preserve">Señor: Claro que sí, pues por supuesto que acá están como los espacios. </w:t>
      </w:r>
      <w:r w:rsidR="0009389E">
        <w:rPr>
          <w:rFonts w:ascii="Arial" w:hAnsi="Arial" w:cs="Arial"/>
          <w:sz w:val="22"/>
          <w:szCs w:val="22"/>
        </w:rPr>
        <w:t>Este, s</w:t>
      </w:r>
      <w:r w:rsidRPr="00E45A7B">
        <w:rPr>
          <w:rFonts w:ascii="Arial" w:hAnsi="Arial" w:cs="Arial"/>
          <w:sz w:val="22"/>
          <w:szCs w:val="22"/>
        </w:rPr>
        <w:t>iéntanse en la libertad de venir en cualquier</w:t>
      </w:r>
      <w:r w:rsidR="001605FB">
        <w:rPr>
          <w:rFonts w:ascii="Arial" w:hAnsi="Arial" w:cs="Arial"/>
          <w:sz w:val="22"/>
          <w:szCs w:val="22"/>
        </w:rPr>
        <w:t>… P</w:t>
      </w:r>
      <w:r w:rsidRPr="00E45A7B">
        <w:rPr>
          <w:rFonts w:ascii="Arial" w:hAnsi="Arial" w:cs="Arial"/>
          <w:sz w:val="22"/>
          <w:szCs w:val="22"/>
        </w:rPr>
        <w:t>ero afortunadamente como en esta situación pues, pero en otro instante pues acá estamos</w:t>
      </w:r>
      <w:r w:rsidR="00F96743">
        <w:rPr>
          <w:rFonts w:ascii="Arial" w:hAnsi="Arial" w:cs="Arial"/>
          <w:sz w:val="22"/>
          <w:szCs w:val="22"/>
        </w:rPr>
        <w:t xml:space="preserve"> como</w:t>
      </w:r>
      <w:r w:rsidRPr="00E45A7B">
        <w:rPr>
          <w:rFonts w:ascii="Arial" w:hAnsi="Arial" w:cs="Arial"/>
          <w:sz w:val="22"/>
          <w:szCs w:val="22"/>
        </w:rPr>
        <w:t xml:space="preserve"> bien</w:t>
      </w:r>
      <w:r w:rsidR="00F96743">
        <w:rPr>
          <w:rFonts w:ascii="Arial" w:hAnsi="Arial" w:cs="Arial"/>
          <w:sz w:val="22"/>
          <w:szCs w:val="22"/>
        </w:rPr>
        <w:t>, como</w:t>
      </w:r>
      <w:r w:rsidRPr="00E45A7B">
        <w:rPr>
          <w:rFonts w:ascii="Arial" w:hAnsi="Arial" w:cs="Arial"/>
          <w:sz w:val="22"/>
          <w:szCs w:val="22"/>
        </w:rPr>
        <w:t xml:space="preserve"> dispuestos a apoyar y a sumarnos de alguna manera, y sí, lo que necesiten en este instante, podemos ahorita habilitar</w:t>
      </w:r>
      <w:r w:rsidR="00F96743">
        <w:rPr>
          <w:rFonts w:ascii="Arial" w:hAnsi="Arial" w:cs="Arial"/>
          <w:sz w:val="22"/>
          <w:szCs w:val="22"/>
        </w:rPr>
        <w:t xml:space="preserve"> como</w:t>
      </w:r>
      <w:r w:rsidRPr="00E45A7B">
        <w:rPr>
          <w:rFonts w:ascii="Arial" w:hAnsi="Arial" w:cs="Arial"/>
          <w:sz w:val="22"/>
          <w:szCs w:val="22"/>
        </w:rPr>
        <w:t xml:space="preserve"> la sala de juntas como para que lo puedan trabajar.</w:t>
      </w:r>
    </w:p>
    <w:p w14:paraId="37E29F8F" w14:textId="5E4C02D5" w:rsidR="0011756C" w:rsidRDefault="0011756C" w:rsidP="00DF65FF">
      <w:pPr>
        <w:spacing w:after="60" w:line="276" w:lineRule="auto"/>
        <w:ind w:left="567"/>
        <w:jc w:val="both"/>
        <w:rPr>
          <w:rFonts w:ascii="Arial" w:hAnsi="Arial" w:cs="Arial"/>
          <w:sz w:val="22"/>
          <w:szCs w:val="22"/>
        </w:rPr>
      </w:pPr>
      <w:r w:rsidRPr="00E45A7B">
        <w:rPr>
          <w:rFonts w:ascii="Arial" w:hAnsi="Arial" w:cs="Arial"/>
          <w:sz w:val="22"/>
          <w:szCs w:val="22"/>
        </w:rPr>
        <w:t>Mujer</w:t>
      </w:r>
      <w:r w:rsidR="00FB3E76">
        <w:rPr>
          <w:rFonts w:ascii="Arial" w:hAnsi="Arial" w:cs="Arial"/>
          <w:sz w:val="22"/>
          <w:szCs w:val="22"/>
        </w:rPr>
        <w:t xml:space="preserve"> </w:t>
      </w:r>
      <w:r w:rsidR="00012747">
        <w:rPr>
          <w:rFonts w:ascii="Arial" w:hAnsi="Arial" w:cs="Arial"/>
          <w:sz w:val="22"/>
          <w:szCs w:val="22"/>
        </w:rPr>
        <w:t>1</w:t>
      </w:r>
      <w:r w:rsidR="00F96743">
        <w:rPr>
          <w:rFonts w:ascii="Arial" w:hAnsi="Arial" w:cs="Arial"/>
          <w:sz w:val="22"/>
          <w:szCs w:val="22"/>
        </w:rPr>
        <w:t xml:space="preserve">: </w:t>
      </w:r>
      <w:r w:rsidR="00FB3E76">
        <w:rPr>
          <w:rFonts w:ascii="Arial" w:hAnsi="Arial" w:cs="Arial"/>
          <w:sz w:val="22"/>
          <w:szCs w:val="22"/>
        </w:rPr>
        <w:t>G</w:t>
      </w:r>
      <w:r w:rsidRPr="00E45A7B">
        <w:rPr>
          <w:rFonts w:ascii="Arial" w:hAnsi="Arial" w:cs="Arial"/>
          <w:sz w:val="22"/>
          <w:szCs w:val="22"/>
        </w:rPr>
        <w:t>racia</w:t>
      </w:r>
      <w:r w:rsidR="00FB3E76">
        <w:rPr>
          <w:rFonts w:ascii="Arial" w:hAnsi="Arial" w:cs="Arial"/>
          <w:sz w:val="22"/>
          <w:szCs w:val="22"/>
        </w:rPr>
        <w:t>s.</w:t>
      </w:r>
    </w:p>
    <w:p w14:paraId="3DB4B442" w14:textId="3B1973E5" w:rsidR="00012747" w:rsidRPr="00E45A7B" w:rsidRDefault="00012747" w:rsidP="00DF65FF">
      <w:pPr>
        <w:spacing w:after="60" w:line="276" w:lineRule="auto"/>
        <w:ind w:left="567"/>
        <w:jc w:val="both"/>
        <w:rPr>
          <w:rFonts w:ascii="Arial" w:hAnsi="Arial" w:cs="Arial"/>
          <w:sz w:val="22"/>
          <w:szCs w:val="22"/>
        </w:rPr>
      </w:pPr>
      <w:r w:rsidRPr="00E45A7B">
        <w:rPr>
          <w:rFonts w:ascii="Arial" w:hAnsi="Arial" w:cs="Arial"/>
          <w:sz w:val="22"/>
          <w:szCs w:val="22"/>
        </w:rPr>
        <w:t>Mujer</w:t>
      </w:r>
      <w:r>
        <w:rPr>
          <w:rFonts w:ascii="Arial" w:hAnsi="Arial" w:cs="Arial"/>
          <w:sz w:val="22"/>
          <w:szCs w:val="22"/>
        </w:rPr>
        <w:t xml:space="preserve"> 2: G</w:t>
      </w:r>
      <w:r w:rsidRPr="00E45A7B">
        <w:rPr>
          <w:rFonts w:ascii="Arial" w:hAnsi="Arial" w:cs="Arial"/>
          <w:sz w:val="22"/>
          <w:szCs w:val="22"/>
        </w:rPr>
        <w:t>racia</w:t>
      </w:r>
      <w:r>
        <w:rPr>
          <w:rFonts w:ascii="Arial" w:hAnsi="Arial" w:cs="Arial"/>
          <w:sz w:val="22"/>
          <w:szCs w:val="22"/>
        </w:rPr>
        <w:t>s.</w:t>
      </w:r>
    </w:p>
    <w:p w14:paraId="72CC19DC" w14:textId="25158AD5" w:rsidR="00795C49" w:rsidRDefault="0011756C" w:rsidP="00DF65FF">
      <w:pPr>
        <w:spacing w:after="60" w:line="276" w:lineRule="auto"/>
        <w:ind w:left="567"/>
        <w:jc w:val="both"/>
        <w:rPr>
          <w:rFonts w:ascii="Arial" w:hAnsi="Arial" w:cs="Arial"/>
          <w:sz w:val="22"/>
          <w:szCs w:val="22"/>
        </w:rPr>
      </w:pPr>
      <w:r w:rsidRPr="00E45A7B">
        <w:rPr>
          <w:rFonts w:ascii="Arial" w:hAnsi="Arial" w:cs="Arial"/>
          <w:sz w:val="22"/>
          <w:szCs w:val="22"/>
        </w:rPr>
        <w:t xml:space="preserve">Señor: Ahorita les paso las contraseñas de internet, </w:t>
      </w:r>
      <w:r w:rsidR="00012747">
        <w:rPr>
          <w:rFonts w:ascii="Arial" w:hAnsi="Arial" w:cs="Arial"/>
          <w:sz w:val="22"/>
          <w:szCs w:val="22"/>
        </w:rPr>
        <w:t xml:space="preserve">este, va, </w:t>
      </w:r>
      <w:r w:rsidRPr="00E45A7B">
        <w:rPr>
          <w:rFonts w:ascii="Arial" w:hAnsi="Arial" w:cs="Arial"/>
          <w:sz w:val="22"/>
          <w:szCs w:val="22"/>
        </w:rPr>
        <w:t xml:space="preserve">aquí podemos </w:t>
      </w:r>
      <w:r w:rsidR="00F96743">
        <w:rPr>
          <w:rFonts w:ascii="Arial" w:hAnsi="Arial" w:cs="Arial"/>
          <w:sz w:val="22"/>
          <w:szCs w:val="22"/>
        </w:rPr>
        <w:t xml:space="preserve">como </w:t>
      </w:r>
      <w:r w:rsidRPr="00E45A7B">
        <w:rPr>
          <w:rFonts w:ascii="Arial" w:hAnsi="Arial" w:cs="Arial"/>
          <w:sz w:val="22"/>
          <w:szCs w:val="22"/>
        </w:rPr>
        <w:t>ofrecerles, no sé si haya comida</w:t>
      </w:r>
      <w:r w:rsidR="00012747">
        <w:rPr>
          <w:rFonts w:ascii="Arial" w:hAnsi="Arial" w:cs="Arial"/>
          <w:sz w:val="22"/>
          <w:szCs w:val="22"/>
        </w:rPr>
        <w:t>, pero</w:t>
      </w:r>
      <w:r w:rsidR="00454C75">
        <w:rPr>
          <w:rFonts w:ascii="Arial" w:hAnsi="Arial" w:cs="Arial"/>
          <w:sz w:val="22"/>
          <w:szCs w:val="22"/>
        </w:rPr>
        <w:t xml:space="preserve">… </w:t>
      </w:r>
    </w:p>
    <w:p w14:paraId="195A388D" w14:textId="7D349571" w:rsidR="00795C49" w:rsidRDefault="00795C49" w:rsidP="00DF65FF">
      <w:pPr>
        <w:spacing w:after="60" w:line="276" w:lineRule="auto"/>
        <w:ind w:left="567"/>
        <w:jc w:val="both"/>
        <w:rPr>
          <w:rFonts w:ascii="Arial" w:hAnsi="Arial" w:cs="Arial"/>
          <w:sz w:val="22"/>
          <w:szCs w:val="22"/>
        </w:rPr>
      </w:pPr>
      <w:r>
        <w:rPr>
          <w:rFonts w:ascii="Arial" w:hAnsi="Arial" w:cs="Arial"/>
          <w:sz w:val="22"/>
          <w:szCs w:val="22"/>
        </w:rPr>
        <w:t xml:space="preserve">Mujer 2: </w:t>
      </w:r>
      <w:r w:rsidR="00454C75">
        <w:rPr>
          <w:rFonts w:ascii="Arial" w:hAnsi="Arial" w:cs="Arial"/>
          <w:sz w:val="22"/>
          <w:szCs w:val="22"/>
        </w:rPr>
        <w:t>A</w:t>
      </w:r>
      <w:r>
        <w:rPr>
          <w:rFonts w:ascii="Arial" w:hAnsi="Arial" w:cs="Arial"/>
          <w:sz w:val="22"/>
          <w:szCs w:val="22"/>
        </w:rPr>
        <w:t xml:space="preserve">y, sí, todo lo que puedan, pero con esto créeme que </w:t>
      </w:r>
      <w:r w:rsidR="00883B00">
        <w:rPr>
          <w:rFonts w:ascii="Arial" w:hAnsi="Arial" w:cs="Arial"/>
          <w:sz w:val="22"/>
          <w:szCs w:val="22"/>
        </w:rPr>
        <w:t>nos has salvado la vida</w:t>
      </w:r>
      <w:r>
        <w:rPr>
          <w:rFonts w:ascii="Arial" w:hAnsi="Arial" w:cs="Arial"/>
          <w:sz w:val="22"/>
          <w:szCs w:val="22"/>
        </w:rPr>
        <w:t>…</w:t>
      </w:r>
    </w:p>
    <w:p w14:paraId="5E35BC28" w14:textId="467BE4F8" w:rsidR="0011756C" w:rsidRPr="00E45A7B" w:rsidRDefault="00454C75" w:rsidP="00DF65FF">
      <w:pPr>
        <w:spacing w:after="60" w:line="276" w:lineRule="auto"/>
        <w:ind w:left="567"/>
        <w:jc w:val="both"/>
        <w:rPr>
          <w:rFonts w:ascii="Arial" w:hAnsi="Arial" w:cs="Arial"/>
          <w:sz w:val="22"/>
          <w:szCs w:val="22"/>
        </w:rPr>
      </w:pPr>
      <w:r>
        <w:rPr>
          <w:rFonts w:ascii="Arial" w:hAnsi="Arial" w:cs="Arial"/>
          <w:sz w:val="22"/>
          <w:szCs w:val="22"/>
        </w:rPr>
        <w:t>Señor: P</w:t>
      </w:r>
      <w:r w:rsidR="0011756C" w:rsidRPr="00E45A7B">
        <w:rPr>
          <w:rFonts w:ascii="Arial" w:hAnsi="Arial" w:cs="Arial"/>
          <w:sz w:val="22"/>
          <w:szCs w:val="22"/>
        </w:rPr>
        <w:t>ero, seguro podemos como hacer también…</w:t>
      </w:r>
    </w:p>
    <w:p w14:paraId="4E803A19" w14:textId="1A0BE4E6" w:rsidR="0011756C" w:rsidRPr="00E45A7B" w:rsidRDefault="0011756C" w:rsidP="00DF65FF">
      <w:pPr>
        <w:spacing w:after="60" w:line="276" w:lineRule="auto"/>
        <w:ind w:left="567"/>
        <w:jc w:val="both"/>
        <w:rPr>
          <w:rFonts w:ascii="Arial" w:hAnsi="Arial" w:cs="Arial"/>
          <w:sz w:val="22"/>
          <w:szCs w:val="22"/>
        </w:rPr>
      </w:pPr>
      <w:r w:rsidRPr="00E45A7B">
        <w:rPr>
          <w:rFonts w:ascii="Arial" w:hAnsi="Arial" w:cs="Arial"/>
          <w:sz w:val="22"/>
          <w:szCs w:val="22"/>
        </w:rPr>
        <w:t xml:space="preserve">Mujer 2: Porque luego también en el módulo de información, mira una señora… </w:t>
      </w:r>
      <w:r w:rsidR="00FB3E76">
        <w:rPr>
          <w:rFonts w:ascii="Arial" w:hAnsi="Arial" w:cs="Arial"/>
          <w:sz w:val="22"/>
          <w:szCs w:val="22"/>
        </w:rPr>
        <w:t>A</w:t>
      </w:r>
      <w:r w:rsidRPr="00E45A7B">
        <w:rPr>
          <w:rFonts w:ascii="Arial" w:hAnsi="Arial" w:cs="Arial"/>
          <w:sz w:val="22"/>
          <w:szCs w:val="22"/>
        </w:rPr>
        <w:t>h porque, no nos querían dar el nombre, pero yo creo que fundamental</w:t>
      </w:r>
      <w:r w:rsidR="00883B00">
        <w:rPr>
          <w:rFonts w:ascii="Arial" w:hAnsi="Arial" w:cs="Arial"/>
          <w:sz w:val="22"/>
          <w:szCs w:val="22"/>
        </w:rPr>
        <w:t>, fundamental,</w:t>
      </w:r>
      <w:r w:rsidRPr="00E45A7B">
        <w:rPr>
          <w:rFonts w:ascii="Arial" w:hAnsi="Arial" w:cs="Arial"/>
          <w:sz w:val="22"/>
          <w:szCs w:val="22"/>
        </w:rPr>
        <w:t xml:space="preserve"> era que nosotros supiéramos el nombre de la organización que está trabajand</w:t>
      </w:r>
      <w:r w:rsidR="008B21E5">
        <w:rPr>
          <w:rFonts w:ascii="Arial" w:hAnsi="Arial" w:cs="Arial"/>
          <w:sz w:val="22"/>
          <w:szCs w:val="22"/>
        </w:rPr>
        <w:t>o</w:t>
      </w:r>
      <w:r w:rsidRPr="00E45A7B">
        <w:rPr>
          <w:rFonts w:ascii="Arial" w:hAnsi="Arial" w:cs="Arial"/>
          <w:sz w:val="22"/>
          <w:szCs w:val="22"/>
        </w:rPr>
        <w:t xml:space="preserve"> ahí de seguridad.</w:t>
      </w:r>
    </w:p>
    <w:p w14:paraId="2841BCAE" w14:textId="77777777" w:rsidR="0011756C" w:rsidRPr="00E45A7B" w:rsidRDefault="0011756C" w:rsidP="00DF65FF">
      <w:pPr>
        <w:spacing w:after="60" w:line="276" w:lineRule="auto"/>
        <w:ind w:left="567"/>
        <w:jc w:val="both"/>
        <w:rPr>
          <w:rFonts w:ascii="Arial" w:hAnsi="Arial" w:cs="Arial"/>
          <w:sz w:val="22"/>
          <w:szCs w:val="22"/>
        </w:rPr>
      </w:pPr>
      <w:r w:rsidRPr="00E45A7B">
        <w:rPr>
          <w:rFonts w:ascii="Arial" w:hAnsi="Arial" w:cs="Arial"/>
          <w:sz w:val="22"/>
          <w:szCs w:val="22"/>
        </w:rPr>
        <w:t>Mujer 1: ¡De la empresa!</w:t>
      </w:r>
    </w:p>
    <w:p w14:paraId="22E6BA7F" w14:textId="77777777" w:rsidR="00CA32F6" w:rsidRDefault="0011756C" w:rsidP="00DF65FF">
      <w:pPr>
        <w:spacing w:after="60" w:line="276" w:lineRule="auto"/>
        <w:ind w:left="567"/>
        <w:jc w:val="both"/>
        <w:rPr>
          <w:rFonts w:ascii="Arial" w:hAnsi="Arial" w:cs="Arial"/>
          <w:sz w:val="22"/>
          <w:szCs w:val="22"/>
        </w:rPr>
      </w:pPr>
      <w:r w:rsidRPr="00E45A7B">
        <w:rPr>
          <w:rFonts w:ascii="Arial" w:hAnsi="Arial" w:cs="Arial"/>
          <w:sz w:val="22"/>
          <w:szCs w:val="22"/>
        </w:rPr>
        <w:t xml:space="preserve">Mujer 2: </w:t>
      </w:r>
      <w:r w:rsidR="00883B00">
        <w:rPr>
          <w:rFonts w:ascii="Arial" w:hAnsi="Arial" w:cs="Arial"/>
          <w:sz w:val="22"/>
          <w:szCs w:val="22"/>
        </w:rPr>
        <w:t>A</w:t>
      </w:r>
      <w:r w:rsidRPr="00E45A7B">
        <w:rPr>
          <w:rFonts w:ascii="Arial" w:hAnsi="Arial" w:cs="Arial"/>
          <w:sz w:val="22"/>
          <w:szCs w:val="22"/>
        </w:rPr>
        <w:t>já</w:t>
      </w:r>
      <w:r w:rsidR="00FB3E76">
        <w:rPr>
          <w:rFonts w:ascii="Arial" w:hAnsi="Arial" w:cs="Arial"/>
          <w:sz w:val="22"/>
          <w:szCs w:val="22"/>
        </w:rPr>
        <w:t>,</w:t>
      </w:r>
      <w:r w:rsidRPr="00E45A7B">
        <w:rPr>
          <w:rFonts w:ascii="Arial" w:hAnsi="Arial" w:cs="Arial"/>
          <w:sz w:val="22"/>
          <w:szCs w:val="22"/>
        </w:rPr>
        <w:t xml:space="preserve"> de la empresa. Y has de cuenta que yo fui y yo le dije, había un chavo que hasta eso yo creo que lo van a terminar corriendo porque decía que estaba como principiante, </w:t>
      </w:r>
      <w:r w:rsidR="00883B00">
        <w:rPr>
          <w:rFonts w:ascii="Arial" w:hAnsi="Arial" w:cs="Arial"/>
          <w:sz w:val="22"/>
          <w:szCs w:val="22"/>
        </w:rPr>
        <w:t xml:space="preserve">que </w:t>
      </w:r>
      <w:r w:rsidRPr="00E45A7B">
        <w:rPr>
          <w:rFonts w:ascii="Arial" w:hAnsi="Arial" w:cs="Arial"/>
          <w:sz w:val="22"/>
          <w:szCs w:val="22"/>
        </w:rPr>
        <w:t xml:space="preserve">estaba iniciando en ese trabajo. Y </w:t>
      </w:r>
      <w:r w:rsidR="00883B00">
        <w:rPr>
          <w:rFonts w:ascii="Arial" w:hAnsi="Arial" w:cs="Arial"/>
          <w:sz w:val="22"/>
          <w:szCs w:val="22"/>
        </w:rPr>
        <w:t xml:space="preserve">has de cuenta que </w:t>
      </w:r>
      <w:r w:rsidRPr="00E45A7B">
        <w:rPr>
          <w:rFonts w:ascii="Arial" w:hAnsi="Arial" w:cs="Arial"/>
          <w:sz w:val="22"/>
          <w:szCs w:val="22"/>
        </w:rPr>
        <w:t xml:space="preserve">yo le dije </w:t>
      </w:r>
      <w:r w:rsidR="00C543C7">
        <w:rPr>
          <w:rFonts w:ascii="Arial" w:hAnsi="Arial" w:cs="Arial"/>
          <w:sz w:val="22"/>
          <w:szCs w:val="22"/>
        </w:rPr>
        <w:t>“</w:t>
      </w:r>
      <w:r w:rsidRPr="00E45A7B">
        <w:rPr>
          <w:rFonts w:ascii="Arial" w:hAnsi="Arial" w:cs="Arial"/>
          <w:sz w:val="22"/>
          <w:szCs w:val="22"/>
        </w:rPr>
        <w:t>oye, ¿me puedes dar el nombre y todo?</w:t>
      </w:r>
      <w:r w:rsidR="00C543C7">
        <w:rPr>
          <w:rFonts w:ascii="Arial" w:hAnsi="Arial" w:cs="Arial"/>
          <w:sz w:val="22"/>
          <w:szCs w:val="22"/>
        </w:rPr>
        <w:t>”</w:t>
      </w:r>
      <w:r w:rsidRPr="00E45A7B">
        <w:rPr>
          <w:rFonts w:ascii="Arial" w:hAnsi="Arial" w:cs="Arial"/>
          <w:sz w:val="22"/>
          <w:szCs w:val="22"/>
        </w:rPr>
        <w:t xml:space="preserve"> Y </w:t>
      </w:r>
      <w:r w:rsidR="00C543C7">
        <w:rPr>
          <w:rFonts w:ascii="Arial" w:hAnsi="Arial" w:cs="Arial"/>
          <w:sz w:val="22"/>
          <w:szCs w:val="22"/>
        </w:rPr>
        <w:t>é</w:t>
      </w:r>
      <w:r w:rsidRPr="00E45A7B">
        <w:rPr>
          <w:rFonts w:ascii="Arial" w:hAnsi="Arial" w:cs="Arial"/>
          <w:sz w:val="22"/>
          <w:szCs w:val="22"/>
        </w:rPr>
        <w:t>l me dijo “</w:t>
      </w:r>
      <w:r w:rsidR="00760C34">
        <w:rPr>
          <w:rFonts w:ascii="Arial" w:hAnsi="Arial" w:cs="Arial"/>
          <w:sz w:val="22"/>
          <w:szCs w:val="22"/>
        </w:rPr>
        <w:t>e</w:t>
      </w:r>
      <w:r w:rsidRPr="00E45A7B">
        <w:rPr>
          <w:rFonts w:ascii="Arial" w:hAnsi="Arial" w:cs="Arial"/>
          <w:sz w:val="22"/>
          <w:szCs w:val="22"/>
        </w:rPr>
        <w:t xml:space="preserve">l nombre no, pero la empresa se </w:t>
      </w:r>
      <w:r w:rsidRPr="00453D61">
        <w:rPr>
          <w:rFonts w:ascii="Arial" w:hAnsi="Arial" w:cs="Arial"/>
          <w:sz w:val="22"/>
          <w:szCs w:val="22"/>
        </w:rPr>
        <w:t xml:space="preserve">llama </w:t>
      </w:r>
      <w:r w:rsidR="004E2F4C" w:rsidRPr="00453D61">
        <w:rPr>
          <w:rFonts w:ascii="Arial" w:hAnsi="Arial" w:cs="Arial"/>
          <w:sz w:val="22"/>
          <w:szCs w:val="22"/>
        </w:rPr>
        <w:t>V</w:t>
      </w:r>
      <w:r w:rsidRPr="00453D61">
        <w:rPr>
          <w:rFonts w:ascii="Arial" w:hAnsi="Arial" w:cs="Arial"/>
          <w:sz w:val="22"/>
          <w:szCs w:val="22"/>
        </w:rPr>
        <w:t xml:space="preserve">einte </w:t>
      </w:r>
      <w:r w:rsidR="004E2F4C" w:rsidRPr="00453D61">
        <w:rPr>
          <w:rFonts w:ascii="Arial" w:hAnsi="Arial" w:cs="Arial"/>
          <w:sz w:val="22"/>
          <w:szCs w:val="22"/>
        </w:rPr>
        <w:t>D</w:t>
      </w:r>
      <w:r w:rsidRPr="00453D61">
        <w:rPr>
          <w:rFonts w:ascii="Arial" w:hAnsi="Arial" w:cs="Arial"/>
          <w:sz w:val="22"/>
          <w:szCs w:val="22"/>
        </w:rPr>
        <w:t>iez</w:t>
      </w:r>
      <w:r w:rsidR="00C543C7" w:rsidRPr="00453D61">
        <w:rPr>
          <w:rFonts w:ascii="Arial" w:hAnsi="Arial" w:cs="Arial"/>
          <w:sz w:val="22"/>
          <w:szCs w:val="22"/>
        </w:rPr>
        <w:t>”</w:t>
      </w:r>
      <w:r w:rsidRPr="00453D61">
        <w:rPr>
          <w:rFonts w:ascii="Arial" w:hAnsi="Arial" w:cs="Arial"/>
          <w:sz w:val="22"/>
          <w:szCs w:val="22"/>
        </w:rPr>
        <w:t xml:space="preserve">. </w:t>
      </w:r>
      <w:r w:rsidRPr="00E45A7B">
        <w:rPr>
          <w:rFonts w:ascii="Arial" w:hAnsi="Arial" w:cs="Arial"/>
          <w:sz w:val="22"/>
          <w:szCs w:val="22"/>
        </w:rPr>
        <w:t>Y ya luego fue como de</w:t>
      </w:r>
      <w:r w:rsidR="00C543C7">
        <w:rPr>
          <w:rFonts w:ascii="Arial" w:hAnsi="Arial" w:cs="Arial"/>
          <w:sz w:val="22"/>
          <w:szCs w:val="22"/>
        </w:rPr>
        <w:t xml:space="preserve">… </w:t>
      </w:r>
    </w:p>
    <w:p w14:paraId="7CF032C1" w14:textId="1F21F6B0" w:rsidR="0011756C" w:rsidRPr="00E45A7B" w:rsidRDefault="0011756C" w:rsidP="00DF65FF">
      <w:pPr>
        <w:spacing w:after="60" w:line="276" w:lineRule="auto"/>
        <w:ind w:left="567"/>
        <w:jc w:val="both"/>
        <w:rPr>
          <w:rFonts w:ascii="Arial" w:hAnsi="Arial" w:cs="Arial"/>
          <w:sz w:val="22"/>
          <w:szCs w:val="22"/>
        </w:rPr>
      </w:pPr>
      <w:r w:rsidRPr="0073269D">
        <w:rPr>
          <w:rFonts w:ascii="Arial" w:hAnsi="Arial" w:cs="Arial"/>
          <w:color w:val="FF0000"/>
          <w:sz w:val="22"/>
          <w:szCs w:val="22"/>
        </w:rPr>
        <w:t xml:space="preserve">L </w:t>
      </w:r>
      <w:r w:rsidRPr="00E45A7B">
        <w:rPr>
          <w:rFonts w:ascii="Arial" w:hAnsi="Arial" w:cs="Arial"/>
          <w:sz w:val="22"/>
          <w:szCs w:val="22"/>
        </w:rPr>
        <w:t>dijo “</w:t>
      </w:r>
      <w:r w:rsidR="00760C34">
        <w:rPr>
          <w:rFonts w:ascii="Arial" w:hAnsi="Arial" w:cs="Arial"/>
          <w:sz w:val="22"/>
          <w:szCs w:val="22"/>
        </w:rPr>
        <w:t>e</w:t>
      </w:r>
      <w:r w:rsidRPr="00E45A7B">
        <w:rPr>
          <w:rFonts w:ascii="Arial" w:hAnsi="Arial" w:cs="Arial"/>
          <w:sz w:val="22"/>
          <w:szCs w:val="22"/>
        </w:rPr>
        <w:t xml:space="preserve">s que acaba de ocurrir una situación” y fue como de, </w:t>
      </w:r>
      <w:r w:rsidR="00C543C7">
        <w:rPr>
          <w:rFonts w:ascii="Arial" w:hAnsi="Arial" w:cs="Arial"/>
          <w:sz w:val="22"/>
          <w:szCs w:val="22"/>
        </w:rPr>
        <w:t>“</w:t>
      </w:r>
      <w:r w:rsidRPr="00E45A7B">
        <w:rPr>
          <w:rFonts w:ascii="Arial" w:hAnsi="Arial" w:cs="Arial"/>
          <w:sz w:val="22"/>
          <w:szCs w:val="22"/>
        </w:rPr>
        <w:t>sabes que, espérate</w:t>
      </w:r>
      <w:r w:rsidR="00C543C7">
        <w:rPr>
          <w:rFonts w:ascii="Arial" w:hAnsi="Arial" w:cs="Arial"/>
          <w:sz w:val="22"/>
          <w:szCs w:val="22"/>
        </w:rPr>
        <w:t>”</w:t>
      </w:r>
      <w:r w:rsidRPr="00E45A7B">
        <w:rPr>
          <w:rFonts w:ascii="Arial" w:hAnsi="Arial" w:cs="Arial"/>
          <w:sz w:val="22"/>
          <w:szCs w:val="22"/>
        </w:rPr>
        <w:t>, y ya empezó a radiar</w:t>
      </w:r>
      <w:r w:rsidR="00C543C7">
        <w:rPr>
          <w:rFonts w:ascii="Arial" w:hAnsi="Arial" w:cs="Arial"/>
          <w:sz w:val="22"/>
          <w:szCs w:val="22"/>
        </w:rPr>
        <w:t>. Y</w:t>
      </w:r>
      <w:r w:rsidRPr="00E45A7B">
        <w:rPr>
          <w:rFonts w:ascii="Arial" w:hAnsi="Arial" w:cs="Arial"/>
          <w:sz w:val="22"/>
          <w:szCs w:val="22"/>
        </w:rPr>
        <w:t xml:space="preserve"> ya nosotros estábamos </w:t>
      </w:r>
      <w:r w:rsidR="00883B00">
        <w:rPr>
          <w:rFonts w:ascii="Arial" w:hAnsi="Arial" w:cs="Arial"/>
          <w:sz w:val="22"/>
          <w:szCs w:val="22"/>
        </w:rPr>
        <w:t>ahí</w:t>
      </w:r>
      <w:r w:rsidR="00883B00" w:rsidRPr="00E45A7B">
        <w:rPr>
          <w:rFonts w:ascii="Arial" w:hAnsi="Arial" w:cs="Arial"/>
          <w:sz w:val="22"/>
          <w:szCs w:val="22"/>
        </w:rPr>
        <w:t xml:space="preserve"> </w:t>
      </w:r>
      <w:r w:rsidRPr="00E45A7B">
        <w:rPr>
          <w:rFonts w:ascii="Arial" w:hAnsi="Arial" w:cs="Arial"/>
          <w:sz w:val="22"/>
          <w:szCs w:val="22"/>
        </w:rPr>
        <w:t>en el módulo y mira</w:t>
      </w:r>
      <w:r w:rsidR="0091135D">
        <w:rPr>
          <w:rFonts w:ascii="Arial" w:hAnsi="Arial" w:cs="Arial"/>
          <w:sz w:val="22"/>
          <w:szCs w:val="22"/>
        </w:rPr>
        <w:t>,</w:t>
      </w:r>
      <w:r w:rsidRPr="00E45A7B">
        <w:rPr>
          <w:rFonts w:ascii="Arial" w:hAnsi="Arial" w:cs="Arial"/>
          <w:sz w:val="22"/>
          <w:szCs w:val="22"/>
        </w:rPr>
        <w:t xml:space="preserve"> parecían </w:t>
      </w:r>
      <w:r w:rsidRPr="00E45A7B">
        <w:rPr>
          <w:rFonts w:ascii="Arial" w:hAnsi="Arial" w:cs="Arial"/>
          <w:sz w:val="22"/>
          <w:szCs w:val="22"/>
        </w:rPr>
        <w:lastRenderedPageBreak/>
        <w:t>tiburones, dando vueltas alrededor de nosotros. Y es que nos estaban amedrentando de que nos teníamos que ir o que</w:t>
      </w:r>
      <w:r w:rsidR="00883B00">
        <w:rPr>
          <w:rFonts w:ascii="Arial" w:hAnsi="Arial" w:cs="Arial"/>
          <w:sz w:val="22"/>
          <w:szCs w:val="22"/>
        </w:rPr>
        <w:t>, que</w:t>
      </w:r>
      <w:r w:rsidRPr="00E45A7B">
        <w:rPr>
          <w:rFonts w:ascii="Arial" w:hAnsi="Arial" w:cs="Arial"/>
          <w:sz w:val="22"/>
          <w:szCs w:val="22"/>
        </w:rPr>
        <w:t xml:space="preserve"> ya iban a hablarle a una patrulla</w:t>
      </w:r>
      <w:r w:rsidR="0091135D">
        <w:rPr>
          <w:rFonts w:ascii="Arial" w:hAnsi="Arial" w:cs="Arial"/>
          <w:sz w:val="22"/>
          <w:szCs w:val="22"/>
        </w:rPr>
        <w:t>. ¡O</w:t>
      </w:r>
      <w:r w:rsidRPr="00E45A7B">
        <w:rPr>
          <w:rFonts w:ascii="Arial" w:hAnsi="Arial" w:cs="Arial"/>
          <w:sz w:val="22"/>
          <w:szCs w:val="22"/>
        </w:rPr>
        <w:t xml:space="preserve"> sea imagínate hasta donde, por exigir nuestros derechos</w:t>
      </w:r>
      <w:r w:rsidR="0091135D">
        <w:rPr>
          <w:rFonts w:ascii="Arial" w:hAnsi="Arial" w:cs="Arial"/>
          <w:sz w:val="22"/>
          <w:szCs w:val="22"/>
        </w:rPr>
        <w:t>!</w:t>
      </w:r>
      <w:r w:rsidRPr="00E45A7B">
        <w:rPr>
          <w:rFonts w:ascii="Arial" w:hAnsi="Arial" w:cs="Arial"/>
          <w:sz w:val="22"/>
          <w:szCs w:val="22"/>
        </w:rPr>
        <w:t xml:space="preserve"> Entonces</w:t>
      </w:r>
      <w:r w:rsidR="00485F88">
        <w:rPr>
          <w:rFonts w:ascii="Arial" w:hAnsi="Arial" w:cs="Arial"/>
          <w:sz w:val="22"/>
          <w:szCs w:val="22"/>
        </w:rPr>
        <w:t>,</w:t>
      </w:r>
      <w:r w:rsidRPr="00E45A7B">
        <w:rPr>
          <w:rFonts w:ascii="Arial" w:hAnsi="Arial" w:cs="Arial"/>
          <w:sz w:val="22"/>
          <w:szCs w:val="22"/>
        </w:rPr>
        <w:t xml:space="preserve"> ¿</w:t>
      </w:r>
      <w:r w:rsidR="00485F88">
        <w:rPr>
          <w:rFonts w:ascii="Arial" w:hAnsi="Arial" w:cs="Arial"/>
          <w:sz w:val="22"/>
          <w:szCs w:val="22"/>
        </w:rPr>
        <w:t>a</w:t>
      </w:r>
      <w:r w:rsidRPr="00E45A7B">
        <w:rPr>
          <w:rFonts w:ascii="Arial" w:hAnsi="Arial" w:cs="Arial"/>
          <w:sz w:val="22"/>
          <w:szCs w:val="22"/>
        </w:rPr>
        <w:t xml:space="preserve"> qué baño quieren que entremos? ¿Al de mujeres? ¿Al de hombres? O que hagan uno mixto, no sé. Que tampoco debería ser que hicieran uno mixto porque nosotros</w:t>
      </w:r>
      <w:r w:rsidR="00714EBF">
        <w:rPr>
          <w:rFonts w:ascii="Arial" w:hAnsi="Arial" w:cs="Arial"/>
          <w:sz w:val="22"/>
          <w:szCs w:val="22"/>
        </w:rPr>
        <w:t xml:space="preserve"> entramos a</w:t>
      </w:r>
      <w:r w:rsidRPr="00E45A7B">
        <w:rPr>
          <w:rFonts w:ascii="Arial" w:hAnsi="Arial" w:cs="Arial"/>
          <w:sz w:val="22"/>
          <w:szCs w:val="22"/>
        </w:rPr>
        <w:t>…</w:t>
      </w:r>
    </w:p>
    <w:p w14:paraId="25D80443" w14:textId="77777777" w:rsidR="0011756C" w:rsidRPr="00E45A7B" w:rsidRDefault="0011756C" w:rsidP="00DF65FF">
      <w:pPr>
        <w:spacing w:after="60" w:line="276" w:lineRule="auto"/>
        <w:ind w:left="567"/>
        <w:jc w:val="both"/>
        <w:rPr>
          <w:rFonts w:ascii="Arial" w:hAnsi="Arial" w:cs="Arial"/>
          <w:sz w:val="22"/>
          <w:szCs w:val="22"/>
        </w:rPr>
      </w:pPr>
      <w:r w:rsidRPr="00E45A7B">
        <w:rPr>
          <w:rFonts w:ascii="Arial" w:hAnsi="Arial" w:cs="Arial"/>
          <w:sz w:val="22"/>
          <w:szCs w:val="22"/>
        </w:rPr>
        <w:t>Mujer 1: ¡Vamos a elegir!</w:t>
      </w:r>
    </w:p>
    <w:p w14:paraId="6B28326A" w14:textId="78760356" w:rsidR="0011756C" w:rsidRPr="00E45A7B" w:rsidRDefault="0011756C" w:rsidP="00DF65FF">
      <w:pPr>
        <w:spacing w:after="60" w:line="276" w:lineRule="auto"/>
        <w:ind w:left="567"/>
        <w:jc w:val="both"/>
        <w:rPr>
          <w:rFonts w:ascii="Arial" w:hAnsi="Arial" w:cs="Arial"/>
          <w:sz w:val="22"/>
          <w:szCs w:val="22"/>
        </w:rPr>
      </w:pPr>
      <w:r w:rsidRPr="00E45A7B">
        <w:rPr>
          <w:rFonts w:ascii="Arial" w:hAnsi="Arial" w:cs="Arial"/>
          <w:sz w:val="22"/>
          <w:szCs w:val="22"/>
        </w:rPr>
        <w:t xml:space="preserve">Mujer 2: No, aparte nosotros… </w:t>
      </w:r>
      <w:r w:rsidR="00485F88">
        <w:rPr>
          <w:rFonts w:ascii="Arial" w:hAnsi="Arial" w:cs="Arial"/>
          <w:sz w:val="22"/>
          <w:szCs w:val="22"/>
        </w:rPr>
        <w:t>Y</w:t>
      </w:r>
      <w:r w:rsidRPr="00E45A7B">
        <w:rPr>
          <w:rFonts w:ascii="Arial" w:hAnsi="Arial" w:cs="Arial"/>
          <w:sz w:val="22"/>
          <w:szCs w:val="22"/>
        </w:rPr>
        <w:t>o nunca he tenido problemas de entrar a un baño de mujeres ni a un lugar más que ahorita</w:t>
      </w:r>
      <w:r w:rsidR="00D86186">
        <w:rPr>
          <w:rFonts w:ascii="Arial" w:hAnsi="Arial" w:cs="Arial"/>
          <w:sz w:val="22"/>
          <w:szCs w:val="22"/>
        </w:rPr>
        <w:t>.</w:t>
      </w:r>
      <w:r w:rsidRPr="00E45A7B">
        <w:rPr>
          <w:rFonts w:ascii="Arial" w:hAnsi="Arial" w:cs="Arial"/>
          <w:sz w:val="22"/>
          <w:szCs w:val="22"/>
        </w:rPr>
        <w:t xml:space="preserve"> </w:t>
      </w:r>
      <w:r w:rsidR="00264910">
        <w:rPr>
          <w:rFonts w:ascii="Arial" w:hAnsi="Arial" w:cs="Arial"/>
          <w:sz w:val="22"/>
          <w:szCs w:val="22"/>
        </w:rPr>
        <w:t>I</w:t>
      </w:r>
      <w:r w:rsidRPr="00E45A7B">
        <w:rPr>
          <w:rFonts w:ascii="Arial" w:hAnsi="Arial" w:cs="Arial"/>
          <w:sz w:val="22"/>
          <w:szCs w:val="22"/>
        </w:rPr>
        <w:t xml:space="preserve">magínate o sea, tuve una vez un problema igualito en Tabasco, pero no estoy en Tabasco, estoy en la </w:t>
      </w:r>
      <w:r w:rsidR="00264910">
        <w:rPr>
          <w:rFonts w:ascii="Arial" w:hAnsi="Arial" w:cs="Arial"/>
          <w:sz w:val="22"/>
          <w:szCs w:val="22"/>
        </w:rPr>
        <w:t>“</w:t>
      </w:r>
      <w:r w:rsidRPr="00E45A7B">
        <w:rPr>
          <w:rFonts w:ascii="Arial" w:hAnsi="Arial" w:cs="Arial"/>
          <w:sz w:val="22"/>
          <w:szCs w:val="22"/>
        </w:rPr>
        <w:t>ciudad amigable</w:t>
      </w:r>
      <w:r w:rsidR="00264910">
        <w:rPr>
          <w:rFonts w:ascii="Arial" w:hAnsi="Arial" w:cs="Arial"/>
          <w:sz w:val="22"/>
          <w:szCs w:val="22"/>
        </w:rPr>
        <w:t xml:space="preserve">”. </w:t>
      </w:r>
      <w:r w:rsidRPr="00E45A7B">
        <w:rPr>
          <w:rFonts w:ascii="Arial" w:hAnsi="Arial" w:cs="Arial"/>
          <w:sz w:val="22"/>
          <w:szCs w:val="22"/>
        </w:rPr>
        <w:t>Literal, o sea no pueden hacer eso.</w:t>
      </w:r>
    </w:p>
    <w:p w14:paraId="13061CE6" w14:textId="43F04B53" w:rsidR="007555B3" w:rsidRDefault="0011756C" w:rsidP="00DF65FF">
      <w:pPr>
        <w:spacing w:after="60" w:line="276" w:lineRule="auto"/>
        <w:ind w:left="567"/>
        <w:jc w:val="both"/>
        <w:rPr>
          <w:rFonts w:ascii="Arial" w:hAnsi="Arial" w:cs="Arial"/>
          <w:sz w:val="22"/>
          <w:szCs w:val="22"/>
        </w:rPr>
      </w:pPr>
      <w:r w:rsidRPr="00E45A7B">
        <w:rPr>
          <w:rFonts w:ascii="Arial" w:hAnsi="Arial" w:cs="Arial"/>
          <w:sz w:val="22"/>
          <w:szCs w:val="22"/>
        </w:rPr>
        <w:t>Mujer 1: Claro y yo creo que el contexto de día pues</w:t>
      </w:r>
      <w:r w:rsidR="00D86186">
        <w:rPr>
          <w:rFonts w:ascii="Arial" w:hAnsi="Arial" w:cs="Arial"/>
          <w:sz w:val="22"/>
          <w:szCs w:val="22"/>
        </w:rPr>
        <w:t xml:space="preserve">, </w:t>
      </w:r>
      <w:r w:rsidRPr="00E45A7B">
        <w:rPr>
          <w:rFonts w:ascii="Arial" w:hAnsi="Arial" w:cs="Arial"/>
          <w:sz w:val="22"/>
          <w:szCs w:val="22"/>
        </w:rPr>
        <w:t>pues se agrava mucho, o sea hoy esperamos que todas las personas se sensibilicen y no solamente porque sean servidore</w:t>
      </w:r>
      <w:r w:rsidR="007555B3">
        <w:rPr>
          <w:rFonts w:ascii="Arial" w:hAnsi="Arial" w:cs="Arial"/>
          <w:sz w:val="22"/>
          <w:szCs w:val="22"/>
        </w:rPr>
        <w:t>s</w:t>
      </w:r>
      <w:r w:rsidRPr="00E45A7B">
        <w:rPr>
          <w:rFonts w:ascii="Arial" w:hAnsi="Arial" w:cs="Arial"/>
          <w:sz w:val="22"/>
          <w:szCs w:val="22"/>
        </w:rPr>
        <w:t xml:space="preserve"> públicos o no, sino porque</w:t>
      </w:r>
      <w:r w:rsidR="007555B3">
        <w:rPr>
          <w:rFonts w:ascii="Arial" w:hAnsi="Arial" w:cs="Arial"/>
          <w:sz w:val="22"/>
          <w:szCs w:val="22"/>
        </w:rPr>
        <w:t xml:space="preserve">, pues </w:t>
      </w:r>
      <w:r w:rsidRPr="00E45A7B">
        <w:rPr>
          <w:rFonts w:ascii="Arial" w:hAnsi="Arial" w:cs="Arial"/>
          <w:sz w:val="22"/>
          <w:szCs w:val="22"/>
        </w:rPr>
        <w:t>se supone que las campañas tendrían que ser lo suficientemente</w:t>
      </w:r>
      <w:r w:rsidR="007555B3">
        <w:rPr>
          <w:rFonts w:ascii="Arial" w:hAnsi="Arial" w:cs="Arial"/>
          <w:sz w:val="22"/>
          <w:szCs w:val="22"/>
        </w:rPr>
        <w:t>…</w:t>
      </w:r>
    </w:p>
    <w:p w14:paraId="25EB9B7F" w14:textId="365F24F9" w:rsidR="007555B3" w:rsidRDefault="007555B3" w:rsidP="00DF65FF">
      <w:pPr>
        <w:spacing w:after="60" w:line="276" w:lineRule="auto"/>
        <w:ind w:left="567"/>
        <w:jc w:val="both"/>
        <w:rPr>
          <w:rFonts w:ascii="Arial" w:hAnsi="Arial" w:cs="Arial"/>
          <w:sz w:val="22"/>
          <w:szCs w:val="22"/>
        </w:rPr>
      </w:pPr>
      <w:r>
        <w:rPr>
          <w:rFonts w:ascii="Arial" w:hAnsi="Arial" w:cs="Arial"/>
          <w:sz w:val="22"/>
          <w:szCs w:val="22"/>
        </w:rPr>
        <w:t>Mujer 2: Amigables…</w:t>
      </w:r>
    </w:p>
    <w:p w14:paraId="0022EF91" w14:textId="190BB1AB" w:rsidR="0011756C" w:rsidRPr="00E45A7B" w:rsidRDefault="007555B3" w:rsidP="00DF65FF">
      <w:pPr>
        <w:spacing w:after="60" w:line="276" w:lineRule="auto"/>
        <w:ind w:left="567"/>
        <w:jc w:val="both"/>
        <w:rPr>
          <w:rFonts w:ascii="Arial" w:hAnsi="Arial" w:cs="Arial"/>
          <w:sz w:val="22"/>
          <w:szCs w:val="22"/>
        </w:rPr>
      </w:pPr>
      <w:r>
        <w:rPr>
          <w:rFonts w:ascii="Arial" w:hAnsi="Arial" w:cs="Arial"/>
          <w:sz w:val="22"/>
          <w:szCs w:val="22"/>
        </w:rPr>
        <w:t>Mujer 1: R</w:t>
      </w:r>
      <w:r w:rsidR="0011756C" w:rsidRPr="00E45A7B">
        <w:rPr>
          <w:rFonts w:ascii="Arial" w:hAnsi="Arial" w:cs="Arial"/>
          <w:sz w:val="22"/>
          <w:szCs w:val="22"/>
        </w:rPr>
        <w:t>eforzadas para entrar al tejido social. Yo creo que</w:t>
      </w:r>
      <w:r w:rsidR="00B518FB">
        <w:rPr>
          <w:rFonts w:ascii="Arial" w:hAnsi="Arial" w:cs="Arial"/>
          <w:sz w:val="22"/>
          <w:szCs w:val="22"/>
        </w:rPr>
        <w:t xml:space="preserve">, pues </w:t>
      </w:r>
      <w:r w:rsidR="0011756C" w:rsidRPr="00E45A7B">
        <w:rPr>
          <w:rFonts w:ascii="Arial" w:hAnsi="Arial" w:cs="Arial"/>
          <w:sz w:val="22"/>
          <w:szCs w:val="22"/>
        </w:rPr>
        <w:t>queda todavía mucho, o sea yo creo que ahora me siento humillada, me siento expuesta a las amedrentaciones</w:t>
      </w:r>
      <w:r w:rsidR="00B518FB">
        <w:rPr>
          <w:rFonts w:ascii="Arial" w:hAnsi="Arial" w:cs="Arial"/>
          <w:sz w:val="22"/>
          <w:szCs w:val="22"/>
        </w:rPr>
        <w:t>, siento que, siento que</w:t>
      </w:r>
      <w:r w:rsidR="0011756C" w:rsidRPr="00E45A7B">
        <w:rPr>
          <w:rFonts w:ascii="Arial" w:hAnsi="Arial" w:cs="Arial"/>
          <w:sz w:val="22"/>
          <w:szCs w:val="22"/>
        </w:rPr>
        <w:t>…</w:t>
      </w:r>
    </w:p>
    <w:p w14:paraId="574D463F" w14:textId="038ACA1B" w:rsidR="0011756C" w:rsidRPr="00E45A7B" w:rsidRDefault="0011756C" w:rsidP="00DF65FF">
      <w:pPr>
        <w:spacing w:after="60" w:line="276" w:lineRule="auto"/>
        <w:ind w:left="567"/>
        <w:jc w:val="both"/>
        <w:rPr>
          <w:rFonts w:ascii="Arial" w:hAnsi="Arial" w:cs="Arial"/>
          <w:sz w:val="22"/>
          <w:szCs w:val="22"/>
        </w:rPr>
      </w:pPr>
      <w:r w:rsidRPr="00E45A7B">
        <w:rPr>
          <w:rFonts w:ascii="Arial" w:hAnsi="Arial" w:cs="Arial"/>
          <w:sz w:val="22"/>
          <w:szCs w:val="22"/>
        </w:rPr>
        <w:t xml:space="preserve">Mujer 2: Se notó el cambio porque antes de entrar al baño nosotros íbamos caminando y nadie nos veía, cuando salimos todo el mundo se nos quedaba viendo y era reírse de nosotros. Y era </w:t>
      </w:r>
      <w:r w:rsidR="00D86186">
        <w:rPr>
          <w:rFonts w:ascii="Arial" w:hAnsi="Arial" w:cs="Arial"/>
          <w:sz w:val="22"/>
          <w:szCs w:val="22"/>
        </w:rPr>
        <w:t>“</w:t>
      </w:r>
      <w:r w:rsidRPr="00E45A7B">
        <w:rPr>
          <w:rFonts w:ascii="Arial" w:hAnsi="Arial" w:cs="Arial"/>
          <w:sz w:val="22"/>
          <w:szCs w:val="22"/>
        </w:rPr>
        <w:t>ah, no los dejaron entrar al baño de mujeres, aunque hicieron su escándalo</w:t>
      </w:r>
      <w:r w:rsidR="00D86186">
        <w:rPr>
          <w:rFonts w:ascii="Arial" w:hAnsi="Arial" w:cs="Arial"/>
          <w:sz w:val="22"/>
          <w:szCs w:val="22"/>
        </w:rPr>
        <w:t>”</w:t>
      </w:r>
      <w:r w:rsidRPr="00E45A7B">
        <w:rPr>
          <w:rFonts w:ascii="Arial" w:hAnsi="Arial" w:cs="Arial"/>
          <w:sz w:val="22"/>
          <w:szCs w:val="22"/>
        </w:rPr>
        <w:t>, algo así.</w:t>
      </w:r>
    </w:p>
    <w:p w14:paraId="4A8CBE0C" w14:textId="128B5AEC" w:rsidR="0011756C" w:rsidRPr="00E45A7B" w:rsidRDefault="0011756C" w:rsidP="00DF65FF">
      <w:pPr>
        <w:spacing w:after="60" w:line="276" w:lineRule="auto"/>
        <w:ind w:left="567"/>
        <w:jc w:val="both"/>
        <w:rPr>
          <w:rFonts w:ascii="Arial" w:hAnsi="Arial" w:cs="Arial"/>
          <w:sz w:val="22"/>
          <w:szCs w:val="22"/>
        </w:rPr>
      </w:pPr>
      <w:r w:rsidRPr="00E45A7B">
        <w:rPr>
          <w:rFonts w:ascii="Arial" w:hAnsi="Arial" w:cs="Arial"/>
          <w:sz w:val="22"/>
          <w:szCs w:val="22"/>
        </w:rPr>
        <w:t xml:space="preserve">Mujer 1: Claro, y creo que también… Pues no sé </w:t>
      </w:r>
      <w:r w:rsidRPr="0073269D">
        <w:rPr>
          <w:rFonts w:ascii="Arial" w:hAnsi="Arial" w:cs="Arial"/>
          <w:color w:val="FF0000"/>
          <w:sz w:val="22"/>
          <w:szCs w:val="22"/>
        </w:rPr>
        <w:t xml:space="preserve">A </w:t>
      </w:r>
      <w:r w:rsidRPr="00E45A7B">
        <w:rPr>
          <w:rFonts w:ascii="Arial" w:hAnsi="Arial" w:cs="Arial"/>
          <w:sz w:val="22"/>
          <w:szCs w:val="22"/>
        </w:rPr>
        <w:t>tu como</w:t>
      </w:r>
      <w:r w:rsidR="00B518FB">
        <w:rPr>
          <w:rFonts w:ascii="Arial" w:hAnsi="Arial" w:cs="Arial"/>
          <w:sz w:val="22"/>
          <w:szCs w:val="22"/>
        </w:rPr>
        <w:t xml:space="preserve"> ahorita</w:t>
      </w:r>
      <w:r w:rsidRPr="00E45A7B">
        <w:rPr>
          <w:rFonts w:ascii="Arial" w:hAnsi="Arial" w:cs="Arial"/>
          <w:sz w:val="22"/>
          <w:szCs w:val="22"/>
        </w:rPr>
        <w:t xml:space="preserve"> te sientes porque, pues quien realmente estuvo viviéndolo en ese momento fue </w:t>
      </w:r>
      <w:r w:rsidRPr="0073269D">
        <w:rPr>
          <w:rFonts w:ascii="Arial" w:hAnsi="Arial" w:cs="Arial"/>
          <w:color w:val="FF0000"/>
          <w:sz w:val="22"/>
          <w:szCs w:val="22"/>
        </w:rPr>
        <w:t xml:space="preserve">A </w:t>
      </w:r>
      <w:r w:rsidRPr="00E45A7B">
        <w:rPr>
          <w:rFonts w:ascii="Arial" w:hAnsi="Arial" w:cs="Arial"/>
          <w:sz w:val="22"/>
          <w:szCs w:val="22"/>
        </w:rPr>
        <w:t xml:space="preserve">y yo, y posteriormente lo vivió </w:t>
      </w:r>
      <w:r w:rsidRPr="0073269D">
        <w:rPr>
          <w:rFonts w:ascii="Arial" w:hAnsi="Arial" w:cs="Arial"/>
          <w:color w:val="FF0000"/>
          <w:sz w:val="22"/>
          <w:szCs w:val="22"/>
        </w:rPr>
        <w:t xml:space="preserve">L </w:t>
      </w:r>
      <w:r w:rsidRPr="00E45A7B">
        <w:rPr>
          <w:rFonts w:ascii="Arial" w:hAnsi="Arial" w:cs="Arial"/>
          <w:sz w:val="22"/>
          <w:szCs w:val="22"/>
        </w:rPr>
        <w:t>justo cuando no le quisieron dar la información tampoco</w:t>
      </w:r>
      <w:r w:rsidR="00170FEA">
        <w:rPr>
          <w:rFonts w:ascii="Arial" w:hAnsi="Arial" w:cs="Arial"/>
          <w:sz w:val="22"/>
          <w:szCs w:val="22"/>
        </w:rPr>
        <w:t>.</w:t>
      </w:r>
    </w:p>
    <w:p w14:paraId="69503FE3" w14:textId="77777777" w:rsidR="00AA4079" w:rsidRDefault="0011756C" w:rsidP="00DF65FF">
      <w:pPr>
        <w:spacing w:after="60" w:line="276" w:lineRule="auto"/>
        <w:ind w:left="567"/>
        <w:jc w:val="both"/>
        <w:rPr>
          <w:rFonts w:ascii="Arial" w:hAnsi="Arial" w:cs="Arial"/>
          <w:sz w:val="22"/>
          <w:szCs w:val="22"/>
        </w:rPr>
      </w:pPr>
      <w:r w:rsidRPr="00E45A7B">
        <w:rPr>
          <w:rFonts w:ascii="Arial" w:hAnsi="Arial" w:cs="Arial"/>
          <w:sz w:val="22"/>
          <w:szCs w:val="22"/>
        </w:rPr>
        <w:t xml:space="preserve">Mujer 2: </w:t>
      </w:r>
      <w:r w:rsidR="00AA4079">
        <w:rPr>
          <w:rFonts w:ascii="Arial" w:hAnsi="Arial" w:cs="Arial"/>
          <w:sz w:val="22"/>
          <w:szCs w:val="22"/>
        </w:rPr>
        <w:t xml:space="preserve">¿Cómo me siento? </w:t>
      </w:r>
      <w:r w:rsidRPr="00E45A7B">
        <w:rPr>
          <w:rFonts w:ascii="Arial" w:hAnsi="Arial" w:cs="Arial"/>
          <w:sz w:val="22"/>
          <w:szCs w:val="22"/>
        </w:rPr>
        <w:t>¡Yo lloré! ¡Yo lloré! No es que me moleste, o sea imagínate estoy acostumbrada a que de por si la gente…</w:t>
      </w:r>
    </w:p>
    <w:p w14:paraId="4FCF9235" w14:textId="77777777" w:rsidR="00AA4079" w:rsidRDefault="00AA4079" w:rsidP="00DF65FF">
      <w:pPr>
        <w:spacing w:after="60" w:line="276" w:lineRule="auto"/>
        <w:ind w:left="567"/>
        <w:jc w:val="both"/>
        <w:rPr>
          <w:rFonts w:ascii="Arial" w:hAnsi="Arial" w:cs="Arial"/>
          <w:sz w:val="22"/>
          <w:szCs w:val="22"/>
        </w:rPr>
      </w:pPr>
      <w:r>
        <w:rPr>
          <w:rFonts w:ascii="Arial" w:hAnsi="Arial" w:cs="Arial"/>
          <w:sz w:val="22"/>
          <w:szCs w:val="22"/>
        </w:rPr>
        <w:t>Mujer 1: Estábamos solas aisladas en el baño…</w:t>
      </w:r>
    </w:p>
    <w:p w14:paraId="1463AE73" w14:textId="0B349AE8" w:rsidR="0011756C" w:rsidRDefault="00AA4079" w:rsidP="00DF65FF">
      <w:pPr>
        <w:spacing w:after="60" w:line="276" w:lineRule="auto"/>
        <w:ind w:left="567"/>
        <w:jc w:val="both"/>
        <w:rPr>
          <w:rFonts w:ascii="Arial" w:hAnsi="Arial" w:cs="Arial"/>
          <w:sz w:val="22"/>
          <w:szCs w:val="22"/>
        </w:rPr>
      </w:pPr>
      <w:r>
        <w:rPr>
          <w:rFonts w:ascii="Arial" w:hAnsi="Arial" w:cs="Arial"/>
          <w:sz w:val="22"/>
          <w:szCs w:val="22"/>
        </w:rPr>
        <w:t xml:space="preserve">Mujer 2: </w:t>
      </w:r>
      <w:r w:rsidR="00170FEA">
        <w:rPr>
          <w:rFonts w:ascii="Arial" w:hAnsi="Arial" w:cs="Arial"/>
          <w:sz w:val="22"/>
          <w:szCs w:val="22"/>
        </w:rPr>
        <w:t>P</w:t>
      </w:r>
      <w:r w:rsidR="0011756C" w:rsidRPr="00E45A7B">
        <w:rPr>
          <w:rFonts w:ascii="Arial" w:hAnsi="Arial" w:cs="Arial"/>
          <w:sz w:val="22"/>
          <w:szCs w:val="22"/>
        </w:rPr>
        <w:t>ero yo no puedo entender que haya mujeres que nos están viendo que a lo mejor…</w:t>
      </w:r>
      <w:r w:rsidR="00170FEA">
        <w:rPr>
          <w:rFonts w:ascii="Arial" w:hAnsi="Arial" w:cs="Arial"/>
          <w:sz w:val="22"/>
          <w:szCs w:val="22"/>
        </w:rPr>
        <w:t xml:space="preserve"> </w:t>
      </w:r>
      <w:r w:rsidR="0011756C" w:rsidRPr="00E45A7B">
        <w:rPr>
          <w:rFonts w:ascii="Arial" w:hAnsi="Arial" w:cs="Arial"/>
          <w:sz w:val="22"/>
          <w:szCs w:val="22"/>
        </w:rPr>
        <w:t>¿Qué importa si yo tengo pene o no tengo pene? Yo no me meto ni a morbosearlas ni a verlas</w:t>
      </w:r>
      <w:r w:rsidR="00170FEA">
        <w:rPr>
          <w:rFonts w:ascii="Arial" w:hAnsi="Arial" w:cs="Arial"/>
          <w:sz w:val="22"/>
          <w:szCs w:val="22"/>
        </w:rPr>
        <w:t>. Y</w:t>
      </w:r>
      <w:r w:rsidR="0011756C" w:rsidRPr="00E45A7B">
        <w:rPr>
          <w:rFonts w:ascii="Arial" w:hAnsi="Arial" w:cs="Arial"/>
          <w:sz w:val="22"/>
          <w:szCs w:val="22"/>
        </w:rPr>
        <w:t xml:space="preserve">o solo tengo ganas de orinar, </w:t>
      </w:r>
      <w:r w:rsidR="005F1265">
        <w:rPr>
          <w:rFonts w:ascii="Arial" w:hAnsi="Arial" w:cs="Arial"/>
          <w:sz w:val="22"/>
          <w:szCs w:val="22"/>
        </w:rPr>
        <w:t xml:space="preserve">o sea, </w:t>
      </w:r>
      <w:r w:rsidR="0011756C" w:rsidRPr="00E45A7B">
        <w:rPr>
          <w:rFonts w:ascii="Arial" w:hAnsi="Arial" w:cs="Arial"/>
          <w:sz w:val="22"/>
          <w:szCs w:val="22"/>
        </w:rPr>
        <w:t xml:space="preserve">y que yo por tener ganas de orinar me expongan y me ridiculicen y el tipo ese se ponga a pedirme </w:t>
      </w:r>
      <w:r w:rsidR="00170FEA" w:rsidRPr="00E45A7B">
        <w:rPr>
          <w:rFonts w:ascii="Arial" w:hAnsi="Arial" w:cs="Arial"/>
          <w:sz w:val="22"/>
          <w:szCs w:val="22"/>
        </w:rPr>
        <w:t>mí</w:t>
      </w:r>
      <w:r w:rsidR="0011756C" w:rsidRPr="00E45A7B">
        <w:rPr>
          <w:rFonts w:ascii="Arial" w:hAnsi="Arial" w:cs="Arial"/>
          <w:sz w:val="22"/>
          <w:szCs w:val="22"/>
        </w:rPr>
        <w:t xml:space="preserve">, primero que </w:t>
      </w:r>
      <w:r w:rsidR="0004246C" w:rsidRPr="00E45A7B">
        <w:rPr>
          <w:rFonts w:ascii="Arial" w:hAnsi="Arial" w:cs="Arial"/>
          <w:sz w:val="22"/>
          <w:szCs w:val="22"/>
        </w:rPr>
        <w:t>nada,</w:t>
      </w:r>
      <w:r w:rsidR="0011756C" w:rsidRPr="00E45A7B">
        <w:rPr>
          <w:rFonts w:ascii="Arial" w:hAnsi="Arial" w:cs="Arial"/>
          <w:sz w:val="22"/>
          <w:szCs w:val="22"/>
        </w:rPr>
        <w:t xml:space="preserve"> casi casi a ver </w:t>
      </w:r>
      <w:r w:rsidR="00170FEA" w:rsidRPr="00E45A7B">
        <w:rPr>
          <w:rFonts w:ascii="Arial" w:hAnsi="Arial" w:cs="Arial"/>
          <w:sz w:val="22"/>
          <w:szCs w:val="22"/>
        </w:rPr>
        <w:t>qué</w:t>
      </w:r>
      <w:r w:rsidR="0011756C" w:rsidRPr="00E45A7B">
        <w:rPr>
          <w:rFonts w:ascii="Arial" w:hAnsi="Arial" w:cs="Arial"/>
          <w:sz w:val="22"/>
          <w:szCs w:val="22"/>
        </w:rPr>
        <w:t xml:space="preserve"> es lo que tengo entre las piernas, y luego a pedir mi identificación y que yo le estoy poniendo una cara de </w:t>
      </w:r>
      <w:r w:rsidR="00170FEA">
        <w:rPr>
          <w:rFonts w:ascii="Arial" w:hAnsi="Arial" w:cs="Arial"/>
          <w:sz w:val="22"/>
          <w:szCs w:val="22"/>
        </w:rPr>
        <w:t>“o</w:t>
      </w:r>
      <w:r w:rsidR="0011756C" w:rsidRPr="00E45A7B">
        <w:rPr>
          <w:rFonts w:ascii="Arial" w:hAnsi="Arial" w:cs="Arial"/>
          <w:sz w:val="22"/>
          <w:szCs w:val="22"/>
        </w:rPr>
        <w:t>ye, ¿</w:t>
      </w:r>
      <w:r w:rsidR="00170FEA">
        <w:rPr>
          <w:rFonts w:ascii="Arial" w:hAnsi="Arial" w:cs="Arial"/>
          <w:sz w:val="22"/>
          <w:szCs w:val="22"/>
        </w:rPr>
        <w:t>n</w:t>
      </w:r>
      <w:r w:rsidR="0011756C" w:rsidRPr="00E45A7B">
        <w:rPr>
          <w:rFonts w:ascii="Arial" w:hAnsi="Arial" w:cs="Arial"/>
          <w:sz w:val="22"/>
          <w:szCs w:val="22"/>
        </w:rPr>
        <w:t>eta lo estás haciendo? Sensibilízate</w:t>
      </w:r>
      <w:r w:rsidR="00170FEA">
        <w:rPr>
          <w:rFonts w:ascii="Arial" w:hAnsi="Arial" w:cs="Arial"/>
          <w:sz w:val="22"/>
          <w:szCs w:val="22"/>
        </w:rPr>
        <w:t>”</w:t>
      </w:r>
      <w:r w:rsidR="0011756C" w:rsidRPr="00E45A7B">
        <w:rPr>
          <w:rFonts w:ascii="Arial" w:hAnsi="Arial" w:cs="Arial"/>
          <w:sz w:val="22"/>
          <w:szCs w:val="22"/>
        </w:rPr>
        <w:t xml:space="preserve">. Y en lugar de decir </w:t>
      </w:r>
      <w:r w:rsidR="00170FEA">
        <w:rPr>
          <w:rFonts w:ascii="Arial" w:hAnsi="Arial" w:cs="Arial"/>
          <w:sz w:val="22"/>
          <w:szCs w:val="22"/>
        </w:rPr>
        <w:t>“</w:t>
      </w:r>
      <w:r w:rsidR="0011756C" w:rsidRPr="00E45A7B">
        <w:rPr>
          <w:rFonts w:ascii="Arial" w:hAnsi="Arial" w:cs="Arial"/>
          <w:sz w:val="22"/>
          <w:szCs w:val="22"/>
        </w:rPr>
        <w:t>a</w:t>
      </w:r>
      <w:r w:rsidR="00170FEA">
        <w:rPr>
          <w:rFonts w:ascii="Arial" w:hAnsi="Arial" w:cs="Arial"/>
          <w:sz w:val="22"/>
          <w:szCs w:val="22"/>
        </w:rPr>
        <w:t>h,</w:t>
      </w:r>
      <w:r w:rsidR="0011756C" w:rsidRPr="00E45A7B">
        <w:rPr>
          <w:rFonts w:ascii="Arial" w:hAnsi="Arial" w:cs="Arial"/>
          <w:sz w:val="22"/>
          <w:szCs w:val="22"/>
        </w:rPr>
        <w:t xml:space="preserve"> okey</w:t>
      </w:r>
      <w:r w:rsidR="00170FEA">
        <w:rPr>
          <w:rFonts w:ascii="Arial" w:hAnsi="Arial" w:cs="Arial"/>
          <w:sz w:val="22"/>
          <w:szCs w:val="22"/>
        </w:rPr>
        <w:t>,</w:t>
      </w:r>
      <w:r w:rsidR="0011756C" w:rsidRPr="00E45A7B">
        <w:rPr>
          <w:rFonts w:ascii="Arial" w:hAnsi="Arial" w:cs="Arial"/>
          <w:sz w:val="22"/>
          <w:szCs w:val="22"/>
        </w:rPr>
        <w:t xml:space="preserve"> disculpa</w:t>
      </w:r>
      <w:r w:rsidR="00170FEA">
        <w:rPr>
          <w:rFonts w:ascii="Arial" w:hAnsi="Arial" w:cs="Arial"/>
          <w:sz w:val="22"/>
          <w:szCs w:val="22"/>
        </w:rPr>
        <w:t>”</w:t>
      </w:r>
      <w:r w:rsidR="0011756C" w:rsidRPr="00E45A7B">
        <w:rPr>
          <w:rFonts w:ascii="Arial" w:hAnsi="Arial" w:cs="Arial"/>
          <w:sz w:val="22"/>
          <w:szCs w:val="22"/>
        </w:rPr>
        <w:t xml:space="preserve">, </w:t>
      </w:r>
      <w:r w:rsidR="005F1265">
        <w:rPr>
          <w:rFonts w:ascii="Arial" w:hAnsi="Arial" w:cs="Arial"/>
          <w:sz w:val="22"/>
          <w:szCs w:val="22"/>
        </w:rPr>
        <w:t xml:space="preserve">o </w:t>
      </w:r>
      <w:r w:rsidR="0011756C" w:rsidRPr="00E45A7B">
        <w:rPr>
          <w:rFonts w:ascii="Arial" w:hAnsi="Arial" w:cs="Arial"/>
          <w:sz w:val="22"/>
          <w:szCs w:val="22"/>
        </w:rPr>
        <w:t xml:space="preserve">no ni disculpa sino, </w:t>
      </w:r>
      <w:r w:rsidR="00170FEA">
        <w:rPr>
          <w:rFonts w:ascii="Arial" w:hAnsi="Arial" w:cs="Arial"/>
          <w:sz w:val="22"/>
          <w:szCs w:val="22"/>
        </w:rPr>
        <w:t>“</w:t>
      </w:r>
      <w:r w:rsidR="0011756C" w:rsidRPr="00E45A7B">
        <w:rPr>
          <w:rFonts w:ascii="Arial" w:hAnsi="Arial" w:cs="Arial"/>
          <w:sz w:val="22"/>
          <w:szCs w:val="22"/>
        </w:rPr>
        <w:t>está bien, chido</w:t>
      </w:r>
      <w:r w:rsidR="00170FEA">
        <w:rPr>
          <w:rFonts w:ascii="Arial" w:hAnsi="Arial" w:cs="Arial"/>
          <w:sz w:val="22"/>
          <w:szCs w:val="22"/>
        </w:rPr>
        <w:t>,</w:t>
      </w:r>
      <w:r w:rsidR="0011756C" w:rsidRPr="00E45A7B">
        <w:rPr>
          <w:rFonts w:ascii="Arial" w:hAnsi="Arial" w:cs="Arial"/>
          <w:sz w:val="22"/>
          <w:szCs w:val="22"/>
        </w:rPr>
        <w:t xml:space="preserve"> entra</w:t>
      </w:r>
      <w:r w:rsidR="00170FEA">
        <w:rPr>
          <w:rFonts w:ascii="Arial" w:hAnsi="Arial" w:cs="Arial"/>
          <w:sz w:val="22"/>
          <w:szCs w:val="22"/>
        </w:rPr>
        <w:t>”</w:t>
      </w:r>
      <w:r w:rsidR="0011756C" w:rsidRPr="00E45A7B">
        <w:rPr>
          <w:rFonts w:ascii="Arial" w:hAnsi="Arial" w:cs="Arial"/>
          <w:sz w:val="22"/>
          <w:szCs w:val="22"/>
        </w:rPr>
        <w:t xml:space="preserve">, </w:t>
      </w:r>
      <w:r w:rsidR="005F1265">
        <w:rPr>
          <w:rFonts w:ascii="Arial" w:hAnsi="Arial" w:cs="Arial"/>
          <w:sz w:val="22"/>
          <w:szCs w:val="22"/>
        </w:rPr>
        <w:t xml:space="preserve">no, él </w:t>
      </w:r>
      <w:r w:rsidR="0011756C" w:rsidRPr="00E45A7B">
        <w:rPr>
          <w:rFonts w:ascii="Arial" w:hAnsi="Arial" w:cs="Arial"/>
          <w:sz w:val="22"/>
          <w:szCs w:val="22"/>
        </w:rPr>
        <w:t>se ríe de m</w:t>
      </w:r>
      <w:r w:rsidR="00170FEA">
        <w:rPr>
          <w:rFonts w:ascii="Arial" w:hAnsi="Arial" w:cs="Arial"/>
          <w:sz w:val="22"/>
          <w:szCs w:val="22"/>
        </w:rPr>
        <w:t xml:space="preserve">í </w:t>
      </w:r>
      <w:r w:rsidR="0011756C" w:rsidRPr="00E45A7B">
        <w:rPr>
          <w:rFonts w:ascii="Arial" w:hAnsi="Arial" w:cs="Arial"/>
          <w:sz w:val="22"/>
          <w:szCs w:val="22"/>
        </w:rPr>
        <w:t>en mi jeta, como diciendo “o sea te estoy haciendo em</w:t>
      </w:r>
      <w:r w:rsidR="00170FEA">
        <w:rPr>
          <w:rFonts w:ascii="Arial" w:hAnsi="Arial" w:cs="Arial"/>
          <w:sz w:val="22"/>
          <w:szCs w:val="22"/>
        </w:rPr>
        <w:t>p*</w:t>
      </w:r>
      <w:r w:rsidR="0011756C" w:rsidRPr="00E45A7B">
        <w:rPr>
          <w:rFonts w:ascii="Arial" w:hAnsi="Arial" w:cs="Arial"/>
          <w:sz w:val="22"/>
          <w:szCs w:val="22"/>
        </w:rPr>
        <w:t>tar porque eres un p</w:t>
      </w:r>
      <w:r w:rsidR="00170FEA">
        <w:rPr>
          <w:rFonts w:ascii="Arial" w:hAnsi="Arial" w:cs="Arial"/>
          <w:sz w:val="22"/>
          <w:szCs w:val="22"/>
        </w:rPr>
        <w:t>*t</w:t>
      </w:r>
      <w:r w:rsidR="0011756C" w:rsidRPr="00E45A7B">
        <w:rPr>
          <w:rFonts w:ascii="Arial" w:hAnsi="Arial" w:cs="Arial"/>
          <w:sz w:val="22"/>
          <w:szCs w:val="22"/>
        </w:rPr>
        <w:t xml:space="preserve">o wey” así lo hacen, así. O </w:t>
      </w:r>
      <w:r w:rsidR="0004246C" w:rsidRPr="00E45A7B">
        <w:rPr>
          <w:rFonts w:ascii="Arial" w:hAnsi="Arial" w:cs="Arial"/>
          <w:sz w:val="22"/>
          <w:szCs w:val="22"/>
        </w:rPr>
        <w:t>sea,</w:t>
      </w:r>
      <w:r w:rsidR="0011756C" w:rsidRPr="00E45A7B">
        <w:rPr>
          <w:rFonts w:ascii="Arial" w:hAnsi="Arial" w:cs="Arial"/>
          <w:sz w:val="22"/>
          <w:szCs w:val="22"/>
        </w:rPr>
        <w:t xml:space="preserve"> como que quieren misoginarte así de “</w:t>
      </w:r>
      <w:r w:rsidR="00170FEA">
        <w:rPr>
          <w:rFonts w:ascii="Arial" w:hAnsi="Arial" w:cs="Arial"/>
          <w:sz w:val="22"/>
          <w:szCs w:val="22"/>
        </w:rPr>
        <w:t>a</w:t>
      </w:r>
      <w:r w:rsidR="0011756C" w:rsidRPr="00E45A7B">
        <w:rPr>
          <w:rFonts w:ascii="Arial" w:hAnsi="Arial" w:cs="Arial"/>
          <w:sz w:val="22"/>
          <w:szCs w:val="22"/>
        </w:rPr>
        <w:t>h</w:t>
      </w:r>
      <w:r w:rsidR="00170FEA">
        <w:rPr>
          <w:rFonts w:ascii="Arial" w:hAnsi="Arial" w:cs="Arial"/>
          <w:sz w:val="22"/>
          <w:szCs w:val="22"/>
        </w:rPr>
        <w:t>,</w:t>
      </w:r>
      <w:r w:rsidR="0011756C" w:rsidRPr="00E45A7B">
        <w:rPr>
          <w:rFonts w:ascii="Arial" w:hAnsi="Arial" w:cs="Arial"/>
          <w:sz w:val="22"/>
          <w:szCs w:val="22"/>
        </w:rPr>
        <w:t xml:space="preserve"> no sabes que</w:t>
      </w:r>
      <w:r w:rsidR="00031153">
        <w:rPr>
          <w:rFonts w:ascii="Arial" w:hAnsi="Arial" w:cs="Arial"/>
          <w:sz w:val="22"/>
          <w:szCs w:val="22"/>
        </w:rPr>
        <w:t>,</w:t>
      </w:r>
      <w:r w:rsidR="0011756C" w:rsidRPr="00E45A7B">
        <w:rPr>
          <w:rFonts w:ascii="Arial" w:hAnsi="Arial" w:cs="Arial"/>
          <w:sz w:val="22"/>
          <w:szCs w:val="22"/>
        </w:rPr>
        <w:t xml:space="preserve"> </w:t>
      </w:r>
      <w:r w:rsidR="009176E7" w:rsidRPr="009176E7">
        <w:rPr>
          <w:rFonts w:ascii="Arial" w:hAnsi="Arial" w:cs="Arial"/>
          <w:sz w:val="22"/>
          <w:szCs w:val="22"/>
        </w:rPr>
        <w:t>tú</w:t>
      </w:r>
      <w:r w:rsidR="0011756C" w:rsidRPr="00E45A7B">
        <w:rPr>
          <w:rFonts w:ascii="Arial" w:hAnsi="Arial" w:cs="Arial"/>
          <w:sz w:val="22"/>
          <w:szCs w:val="22"/>
        </w:rPr>
        <w:t xml:space="preserve"> eres un p</w:t>
      </w:r>
      <w:r w:rsidR="00170FEA">
        <w:rPr>
          <w:rFonts w:ascii="Arial" w:hAnsi="Arial" w:cs="Arial"/>
          <w:sz w:val="22"/>
          <w:szCs w:val="22"/>
        </w:rPr>
        <w:t>*</w:t>
      </w:r>
      <w:r w:rsidR="0011756C" w:rsidRPr="00E45A7B">
        <w:rPr>
          <w:rFonts w:ascii="Arial" w:hAnsi="Arial" w:cs="Arial"/>
          <w:sz w:val="22"/>
          <w:szCs w:val="22"/>
        </w:rPr>
        <w:t>to</w:t>
      </w:r>
      <w:r w:rsidR="00170FEA">
        <w:rPr>
          <w:rFonts w:ascii="Arial" w:hAnsi="Arial" w:cs="Arial"/>
          <w:sz w:val="22"/>
          <w:szCs w:val="22"/>
        </w:rPr>
        <w:t xml:space="preserve">, </w:t>
      </w:r>
      <w:r w:rsidR="00031153">
        <w:rPr>
          <w:rFonts w:ascii="Arial" w:hAnsi="Arial" w:cs="Arial"/>
          <w:sz w:val="22"/>
          <w:szCs w:val="22"/>
        </w:rPr>
        <w:t>y</w:t>
      </w:r>
      <w:r w:rsidR="0011756C" w:rsidRPr="00E45A7B">
        <w:rPr>
          <w:rFonts w:ascii="Arial" w:hAnsi="Arial" w:cs="Arial"/>
          <w:sz w:val="22"/>
          <w:szCs w:val="22"/>
        </w:rPr>
        <w:t xml:space="preserve"> entra al baño de hombres”</w:t>
      </w:r>
      <w:r w:rsidR="00031153">
        <w:rPr>
          <w:rFonts w:ascii="Arial" w:hAnsi="Arial" w:cs="Arial"/>
          <w:sz w:val="22"/>
          <w:szCs w:val="22"/>
        </w:rPr>
        <w:t>, porque así nos abrió la puerta del baño de hombres y “</w:t>
      </w:r>
      <w:r w:rsidR="00F31D8E">
        <w:rPr>
          <w:rFonts w:ascii="Arial" w:hAnsi="Arial" w:cs="Arial"/>
          <w:sz w:val="22"/>
          <w:szCs w:val="22"/>
        </w:rPr>
        <w:t>métete</w:t>
      </w:r>
      <w:r w:rsidR="00031153">
        <w:rPr>
          <w:rFonts w:ascii="Arial" w:hAnsi="Arial" w:cs="Arial"/>
          <w:sz w:val="22"/>
          <w:szCs w:val="22"/>
        </w:rPr>
        <w:t>”</w:t>
      </w:r>
      <w:r w:rsidR="00F31D8E">
        <w:rPr>
          <w:rFonts w:ascii="Arial" w:hAnsi="Arial" w:cs="Arial"/>
          <w:sz w:val="22"/>
          <w:szCs w:val="22"/>
        </w:rPr>
        <w:t xml:space="preserve">. </w:t>
      </w:r>
    </w:p>
    <w:p w14:paraId="4752F1F9" w14:textId="1EF9E842" w:rsidR="00F31D8E" w:rsidRPr="00E45A7B" w:rsidRDefault="00F31D8E" w:rsidP="00DF65FF">
      <w:pPr>
        <w:spacing w:after="60" w:line="276" w:lineRule="auto"/>
        <w:ind w:left="567"/>
        <w:jc w:val="both"/>
        <w:rPr>
          <w:rFonts w:ascii="Arial" w:hAnsi="Arial" w:cs="Arial"/>
          <w:sz w:val="22"/>
          <w:szCs w:val="22"/>
        </w:rPr>
      </w:pPr>
      <w:r>
        <w:rPr>
          <w:rFonts w:ascii="Arial" w:hAnsi="Arial" w:cs="Arial"/>
          <w:sz w:val="22"/>
          <w:szCs w:val="22"/>
        </w:rPr>
        <w:t>Y gracias, neta gracias</w:t>
      </w:r>
      <w:r w:rsidR="00746D2B">
        <w:rPr>
          <w:rFonts w:ascii="Arial" w:hAnsi="Arial" w:cs="Arial"/>
          <w:sz w:val="22"/>
          <w:szCs w:val="22"/>
        </w:rPr>
        <w:t xml:space="preserve"> </w:t>
      </w:r>
      <w:r>
        <w:rPr>
          <w:rFonts w:ascii="Arial" w:hAnsi="Arial" w:cs="Arial"/>
          <w:sz w:val="22"/>
          <w:szCs w:val="22"/>
        </w:rPr>
        <w:t xml:space="preserve">y ahorita, pues lo que queremos hacer es eso. </w:t>
      </w:r>
    </w:p>
    <w:p w14:paraId="5304D58A" w14:textId="77777777" w:rsidR="00B135E1" w:rsidRPr="001E171A" w:rsidRDefault="00B135E1" w:rsidP="00E45A7B">
      <w:pPr>
        <w:pStyle w:val="corte4fondo"/>
        <w:ind w:right="51" w:firstLine="0"/>
        <w:rPr>
          <w:rFonts w:cs="Arial"/>
          <w:b/>
          <w:bCs/>
          <w:sz w:val="24"/>
          <w:szCs w:val="24"/>
        </w:rPr>
      </w:pPr>
    </w:p>
    <w:p w14:paraId="505B6F15" w14:textId="753BDC55" w:rsidR="00B135E1" w:rsidRPr="001E171A" w:rsidRDefault="00B135E1" w:rsidP="00B135E1">
      <w:pPr>
        <w:pStyle w:val="corte4fondo"/>
        <w:numPr>
          <w:ilvl w:val="3"/>
          <w:numId w:val="6"/>
        </w:numPr>
        <w:spacing w:after="240"/>
        <w:ind w:left="567" w:right="51"/>
        <w:rPr>
          <w:rFonts w:cs="Arial"/>
          <w:b/>
          <w:bCs/>
          <w:sz w:val="24"/>
          <w:szCs w:val="24"/>
        </w:rPr>
      </w:pPr>
      <w:r w:rsidRPr="001E171A">
        <w:rPr>
          <w:rFonts w:cs="Arial"/>
          <w:b/>
          <w:bCs/>
          <w:sz w:val="24"/>
          <w:szCs w:val="24"/>
        </w:rPr>
        <w:t xml:space="preserve">Video </w:t>
      </w:r>
      <w:r w:rsidR="00FE6BFB" w:rsidRPr="001E171A">
        <w:rPr>
          <w:rFonts w:cs="Arial"/>
          <w:b/>
          <w:bCs/>
          <w:sz w:val="24"/>
          <w:szCs w:val="24"/>
        </w:rPr>
        <w:t xml:space="preserve">4, </w:t>
      </w:r>
      <w:r w:rsidRPr="001E171A">
        <w:rPr>
          <w:rFonts w:cs="Arial"/>
          <w:b/>
          <w:bCs/>
          <w:sz w:val="24"/>
          <w:szCs w:val="24"/>
        </w:rPr>
        <w:t xml:space="preserve">con duración de </w:t>
      </w:r>
      <w:r w:rsidR="0011037D" w:rsidRPr="001E171A">
        <w:rPr>
          <w:rFonts w:cs="Arial"/>
          <w:b/>
          <w:bCs/>
          <w:sz w:val="24"/>
          <w:szCs w:val="24"/>
        </w:rPr>
        <w:t>un minuto con cuarenta y siete segundos</w:t>
      </w:r>
      <w:r w:rsidRPr="001E171A">
        <w:rPr>
          <w:rFonts w:cs="Arial"/>
          <w:b/>
          <w:bCs/>
          <w:sz w:val="24"/>
          <w:szCs w:val="24"/>
        </w:rPr>
        <w:t>:</w:t>
      </w:r>
    </w:p>
    <w:p w14:paraId="3889702D" w14:textId="4CF5D683" w:rsidR="0011037D" w:rsidRPr="00E45A7B" w:rsidRDefault="0011037D" w:rsidP="00DF65FF">
      <w:pPr>
        <w:pStyle w:val="corte4fondo"/>
        <w:spacing w:after="60" w:line="276" w:lineRule="auto"/>
        <w:ind w:left="567" w:right="51" w:firstLine="0"/>
        <w:rPr>
          <w:rFonts w:cs="Arial"/>
          <w:sz w:val="22"/>
          <w:szCs w:val="22"/>
        </w:rPr>
      </w:pPr>
      <w:r w:rsidRPr="00684576">
        <w:rPr>
          <w:rFonts w:cs="Arial"/>
          <w:sz w:val="22"/>
          <w:szCs w:val="22"/>
        </w:rPr>
        <w:t xml:space="preserve">(*) </w:t>
      </w:r>
      <w:r w:rsidRPr="0037307F">
        <w:rPr>
          <w:rFonts w:cs="Arial"/>
          <w:sz w:val="22"/>
          <w:szCs w:val="22"/>
        </w:rPr>
        <w:t>La mujer 1</w:t>
      </w:r>
      <w:r>
        <w:rPr>
          <w:rFonts w:cs="Arial"/>
          <w:sz w:val="22"/>
          <w:szCs w:val="22"/>
        </w:rPr>
        <w:t xml:space="preserve">, </w:t>
      </w:r>
      <w:r w:rsidRPr="0037307F">
        <w:rPr>
          <w:rFonts w:cs="Arial"/>
          <w:sz w:val="22"/>
          <w:szCs w:val="22"/>
        </w:rPr>
        <w:t>mujer 2</w:t>
      </w:r>
      <w:r>
        <w:rPr>
          <w:rFonts w:cs="Arial"/>
          <w:sz w:val="22"/>
          <w:szCs w:val="22"/>
        </w:rPr>
        <w:t xml:space="preserve"> y mujer 3</w:t>
      </w:r>
      <w:r w:rsidRPr="0037307F">
        <w:rPr>
          <w:rFonts w:cs="Arial"/>
          <w:sz w:val="22"/>
          <w:szCs w:val="22"/>
        </w:rPr>
        <w:t xml:space="preserve"> relatan lo sucedido en el centro comercial, a una tercera persona.</w:t>
      </w:r>
      <w:r>
        <w:rPr>
          <w:rFonts w:cs="Arial"/>
          <w:sz w:val="22"/>
          <w:szCs w:val="22"/>
        </w:rPr>
        <w:t xml:space="preserve"> La</w:t>
      </w:r>
      <w:r w:rsidR="003876C5">
        <w:rPr>
          <w:rFonts w:cs="Arial"/>
          <w:sz w:val="22"/>
          <w:szCs w:val="22"/>
        </w:rPr>
        <w:t xml:space="preserve"> mujer 1 y mujer 2 </w:t>
      </w:r>
      <w:r>
        <w:rPr>
          <w:rFonts w:cs="Arial"/>
          <w:sz w:val="22"/>
          <w:szCs w:val="22"/>
        </w:rPr>
        <w:t xml:space="preserve">traen la misma vestimenta y accesorios que en los videos 1 y 2. </w:t>
      </w:r>
    </w:p>
    <w:p w14:paraId="2D8F4AA7" w14:textId="77777777" w:rsidR="00ED092A" w:rsidRDefault="00D11198" w:rsidP="00DF65FF">
      <w:pPr>
        <w:spacing w:after="60" w:line="276" w:lineRule="auto"/>
        <w:ind w:left="567"/>
        <w:jc w:val="both"/>
        <w:rPr>
          <w:rFonts w:ascii="Arial" w:hAnsi="Arial" w:cs="Arial"/>
          <w:sz w:val="22"/>
          <w:szCs w:val="22"/>
        </w:rPr>
      </w:pPr>
      <w:r w:rsidRPr="00E45A7B">
        <w:rPr>
          <w:rFonts w:ascii="Arial" w:hAnsi="Arial" w:cs="Arial"/>
          <w:sz w:val="22"/>
          <w:szCs w:val="22"/>
        </w:rPr>
        <w:t xml:space="preserve">Mujer 2: Y también decir que nosotros tenemos la obligación de ayudar, porque a nosotros nos ha pasado. </w:t>
      </w:r>
    </w:p>
    <w:p w14:paraId="584674F0" w14:textId="1413261C" w:rsidR="00ED092A" w:rsidRDefault="00ED092A" w:rsidP="00DF65FF">
      <w:pPr>
        <w:spacing w:after="60" w:line="276" w:lineRule="auto"/>
        <w:ind w:left="567"/>
        <w:jc w:val="both"/>
        <w:rPr>
          <w:rFonts w:ascii="Arial" w:hAnsi="Arial" w:cs="Arial"/>
          <w:sz w:val="22"/>
          <w:szCs w:val="22"/>
        </w:rPr>
      </w:pPr>
      <w:r>
        <w:rPr>
          <w:rFonts w:ascii="Arial" w:hAnsi="Arial" w:cs="Arial"/>
          <w:sz w:val="22"/>
          <w:szCs w:val="22"/>
        </w:rPr>
        <w:t>Mujer 1: Sí, eso sí.</w:t>
      </w:r>
    </w:p>
    <w:p w14:paraId="10DA79AE" w14:textId="342BEBD8" w:rsidR="00D11198" w:rsidRPr="00E45A7B" w:rsidRDefault="00ED092A" w:rsidP="00DF65FF">
      <w:pPr>
        <w:spacing w:after="60" w:line="276" w:lineRule="auto"/>
        <w:ind w:left="567"/>
        <w:jc w:val="both"/>
        <w:rPr>
          <w:rFonts w:ascii="Arial" w:hAnsi="Arial" w:cs="Arial"/>
          <w:sz w:val="22"/>
          <w:szCs w:val="22"/>
        </w:rPr>
      </w:pPr>
      <w:r>
        <w:rPr>
          <w:rFonts w:ascii="Arial" w:hAnsi="Arial" w:cs="Arial"/>
          <w:sz w:val="22"/>
          <w:szCs w:val="22"/>
        </w:rPr>
        <w:t xml:space="preserve">Mujer 2: </w:t>
      </w:r>
      <w:r w:rsidR="00D11198" w:rsidRPr="00E45A7B">
        <w:rPr>
          <w:rFonts w:ascii="Arial" w:hAnsi="Arial" w:cs="Arial"/>
          <w:sz w:val="22"/>
          <w:szCs w:val="22"/>
        </w:rPr>
        <w:t>No se vale, a lo mejor nosotros no queríamos nada de esto en el día</w:t>
      </w:r>
      <w:r w:rsidR="00675356">
        <w:rPr>
          <w:rFonts w:ascii="Arial" w:hAnsi="Arial" w:cs="Arial"/>
          <w:sz w:val="22"/>
          <w:szCs w:val="22"/>
        </w:rPr>
        <w:t xml:space="preserve">. </w:t>
      </w:r>
      <w:r w:rsidR="00D11198" w:rsidRPr="00E45A7B">
        <w:rPr>
          <w:rFonts w:ascii="Arial" w:hAnsi="Arial" w:cs="Arial"/>
          <w:sz w:val="22"/>
          <w:szCs w:val="22"/>
        </w:rPr>
        <w:t xml:space="preserve">*Se tapa la cara </w:t>
      </w:r>
      <w:r w:rsidR="00675356">
        <w:rPr>
          <w:rFonts w:ascii="Arial" w:hAnsi="Arial" w:cs="Arial"/>
          <w:sz w:val="22"/>
          <w:szCs w:val="22"/>
        </w:rPr>
        <w:t>y comienza</w:t>
      </w:r>
      <w:r w:rsidR="00D11198" w:rsidRPr="00E45A7B">
        <w:rPr>
          <w:rFonts w:ascii="Arial" w:hAnsi="Arial" w:cs="Arial"/>
          <w:sz w:val="22"/>
          <w:szCs w:val="22"/>
        </w:rPr>
        <w:t xml:space="preserve"> a llorar*</w:t>
      </w:r>
      <w:r w:rsidR="00675356">
        <w:rPr>
          <w:rFonts w:ascii="Arial" w:hAnsi="Arial" w:cs="Arial"/>
          <w:sz w:val="22"/>
          <w:szCs w:val="22"/>
        </w:rPr>
        <w:t>.</w:t>
      </w:r>
    </w:p>
    <w:p w14:paraId="06CFC881" w14:textId="7EB3C906" w:rsidR="00D11198" w:rsidRPr="00E45A7B" w:rsidRDefault="00D11198" w:rsidP="00DF65FF">
      <w:pPr>
        <w:spacing w:after="60" w:line="276" w:lineRule="auto"/>
        <w:ind w:left="567"/>
        <w:jc w:val="both"/>
        <w:rPr>
          <w:rFonts w:ascii="Arial" w:hAnsi="Arial" w:cs="Arial"/>
          <w:sz w:val="22"/>
          <w:szCs w:val="22"/>
        </w:rPr>
      </w:pPr>
      <w:r w:rsidRPr="00E45A7B">
        <w:rPr>
          <w:rFonts w:ascii="Arial" w:hAnsi="Arial" w:cs="Arial"/>
          <w:sz w:val="22"/>
          <w:szCs w:val="22"/>
        </w:rPr>
        <w:lastRenderedPageBreak/>
        <w:t>Mujer 3: *Abraza a</w:t>
      </w:r>
      <w:r w:rsidR="00F70AEE">
        <w:rPr>
          <w:rFonts w:ascii="Arial" w:hAnsi="Arial" w:cs="Arial"/>
          <w:sz w:val="22"/>
          <w:szCs w:val="22"/>
        </w:rPr>
        <w:t xml:space="preserve"> la mujer 1</w:t>
      </w:r>
      <w:r w:rsidRPr="00E45A7B">
        <w:rPr>
          <w:rFonts w:ascii="Arial" w:hAnsi="Arial" w:cs="Arial"/>
          <w:sz w:val="22"/>
          <w:szCs w:val="22"/>
        </w:rPr>
        <w:t>*</w:t>
      </w:r>
      <w:r w:rsidR="00F70AEE">
        <w:rPr>
          <w:rFonts w:ascii="Arial" w:hAnsi="Arial" w:cs="Arial"/>
          <w:sz w:val="22"/>
          <w:szCs w:val="22"/>
        </w:rPr>
        <w:t>.</w:t>
      </w:r>
      <w:r w:rsidRPr="00E45A7B">
        <w:rPr>
          <w:rFonts w:ascii="Arial" w:hAnsi="Arial" w:cs="Arial"/>
          <w:sz w:val="22"/>
          <w:szCs w:val="22"/>
        </w:rPr>
        <w:t xml:space="preserve"> Tranquila</w:t>
      </w:r>
      <w:r w:rsidR="00675356">
        <w:rPr>
          <w:rFonts w:ascii="Arial" w:hAnsi="Arial" w:cs="Arial"/>
          <w:sz w:val="22"/>
          <w:szCs w:val="22"/>
        </w:rPr>
        <w:t>,</w:t>
      </w:r>
      <w:r w:rsidRPr="00E45A7B">
        <w:rPr>
          <w:rFonts w:ascii="Arial" w:hAnsi="Arial" w:cs="Arial"/>
          <w:sz w:val="22"/>
          <w:szCs w:val="22"/>
        </w:rPr>
        <w:t xml:space="preserve"> hermana.</w:t>
      </w:r>
    </w:p>
    <w:p w14:paraId="6C4B9EBA" w14:textId="684AA478" w:rsidR="00D11198" w:rsidRPr="00E45A7B" w:rsidRDefault="00D11198" w:rsidP="00DF65FF">
      <w:pPr>
        <w:spacing w:after="60" w:line="276" w:lineRule="auto"/>
        <w:ind w:left="567"/>
        <w:jc w:val="both"/>
        <w:rPr>
          <w:rFonts w:ascii="Arial" w:hAnsi="Arial" w:cs="Arial"/>
          <w:sz w:val="22"/>
          <w:szCs w:val="22"/>
        </w:rPr>
      </w:pPr>
      <w:r w:rsidRPr="00E45A7B">
        <w:rPr>
          <w:rFonts w:ascii="Arial" w:hAnsi="Arial" w:cs="Arial"/>
          <w:sz w:val="22"/>
          <w:szCs w:val="22"/>
        </w:rPr>
        <w:t>Mujer</w:t>
      </w:r>
      <w:r w:rsidR="00264910">
        <w:rPr>
          <w:rFonts w:ascii="Arial" w:hAnsi="Arial" w:cs="Arial"/>
          <w:sz w:val="22"/>
          <w:szCs w:val="22"/>
        </w:rPr>
        <w:t xml:space="preserve"> </w:t>
      </w:r>
      <w:r w:rsidRPr="00E45A7B">
        <w:rPr>
          <w:rFonts w:ascii="Arial" w:hAnsi="Arial" w:cs="Arial"/>
          <w:sz w:val="22"/>
          <w:szCs w:val="22"/>
        </w:rPr>
        <w:t>2: Pero, pues al final de cuentas, por algo pasó.</w:t>
      </w:r>
    </w:p>
    <w:p w14:paraId="2C1549AC" w14:textId="4BAF7E4B" w:rsidR="00D11198" w:rsidRPr="00E45A7B" w:rsidRDefault="00D11198" w:rsidP="00DF65FF">
      <w:pPr>
        <w:spacing w:after="60" w:line="276" w:lineRule="auto"/>
        <w:ind w:left="567"/>
        <w:jc w:val="both"/>
        <w:rPr>
          <w:rFonts w:ascii="Arial" w:hAnsi="Arial" w:cs="Arial"/>
          <w:sz w:val="22"/>
          <w:szCs w:val="22"/>
        </w:rPr>
      </w:pPr>
      <w:r w:rsidRPr="00E45A7B">
        <w:rPr>
          <w:rFonts w:ascii="Arial" w:hAnsi="Arial" w:cs="Arial"/>
          <w:sz w:val="22"/>
          <w:szCs w:val="22"/>
        </w:rPr>
        <w:t>Mujer 3: Por algo, por algo y</w:t>
      </w:r>
      <w:r w:rsidR="00675356">
        <w:rPr>
          <w:rFonts w:ascii="Arial" w:hAnsi="Arial" w:cs="Arial"/>
          <w:sz w:val="22"/>
          <w:szCs w:val="22"/>
        </w:rPr>
        <w:t>…</w:t>
      </w:r>
      <w:r w:rsidRPr="00E45A7B">
        <w:rPr>
          <w:rFonts w:ascii="Arial" w:hAnsi="Arial" w:cs="Arial"/>
          <w:sz w:val="22"/>
          <w:szCs w:val="22"/>
        </w:rPr>
        <w:t xml:space="preserve"> </w:t>
      </w:r>
      <w:r w:rsidR="00675356">
        <w:rPr>
          <w:rFonts w:ascii="Arial" w:hAnsi="Arial" w:cs="Arial"/>
          <w:sz w:val="22"/>
          <w:szCs w:val="22"/>
        </w:rPr>
        <w:t>Y</w:t>
      </w:r>
      <w:r w:rsidRPr="00E45A7B">
        <w:rPr>
          <w:rFonts w:ascii="Arial" w:hAnsi="Arial" w:cs="Arial"/>
          <w:sz w:val="22"/>
          <w:szCs w:val="22"/>
        </w:rPr>
        <w:t xml:space="preserve">o te lo juro que cuando no te vi en el </w:t>
      </w:r>
      <w:r w:rsidRPr="00453D61">
        <w:rPr>
          <w:rFonts w:ascii="Arial" w:hAnsi="Arial" w:cs="Arial"/>
          <w:sz w:val="22"/>
          <w:szCs w:val="22"/>
        </w:rPr>
        <w:t xml:space="preserve">centro Telcel, </w:t>
      </w:r>
      <w:r w:rsidRPr="00E45A7B">
        <w:rPr>
          <w:rFonts w:ascii="Arial" w:hAnsi="Arial" w:cs="Arial"/>
          <w:sz w:val="22"/>
          <w:szCs w:val="22"/>
        </w:rPr>
        <w:t xml:space="preserve">que también ahí todo mundo me tenía como tiburón así viendo, eh dije </w:t>
      </w:r>
      <w:r w:rsidR="00675356">
        <w:rPr>
          <w:rFonts w:ascii="Arial" w:hAnsi="Arial" w:cs="Arial"/>
          <w:sz w:val="22"/>
          <w:szCs w:val="22"/>
        </w:rPr>
        <w:t>“</w:t>
      </w:r>
      <w:r w:rsidRPr="00E45A7B">
        <w:rPr>
          <w:rFonts w:ascii="Arial" w:hAnsi="Arial" w:cs="Arial"/>
          <w:sz w:val="22"/>
          <w:szCs w:val="22"/>
        </w:rPr>
        <w:t>algo pasó</w:t>
      </w:r>
      <w:r w:rsidR="00675356">
        <w:rPr>
          <w:rFonts w:ascii="Arial" w:hAnsi="Arial" w:cs="Arial"/>
          <w:sz w:val="22"/>
          <w:szCs w:val="22"/>
        </w:rPr>
        <w:t>”</w:t>
      </w:r>
      <w:r w:rsidRPr="00E45A7B">
        <w:rPr>
          <w:rFonts w:ascii="Arial" w:hAnsi="Arial" w:cs="Arial"/>
          <w:sz w:val="22"/>
          <w:szCs w:val="22"/>
        </w:rPr>
        <w:t>. Te hablé, como que respondiste</w:t>
      </w:r>
      <w:r w:rsidR="00C23138">
        <w:rPr>
          <w:rFonts w:ascii="Arial" w:hAnsi="Arial" w:cs="Arial"/>
          <w:sz w:val="22"/>
          <w:szCs w:val="22"/>
        </w:rPr>
        <w:t>,</w:t>
      </w:r>
      <w:r w:rsidRPr="00E45A7B">
        <w:rPr>
          <w:rFonts w:ascii="Arial" w:hAnsi="Arial" w:cs="Arial"/>
          <w:sz w:val="22"/>
          <w:szCs w:val="22"/>
        </w:rPr>
        <w:t xml:space="preserve"> pero oí el eco del baño y dije </w:t>
      </w:r>
      <w:r w:rsidR="00C23138">
        <w:rPr>
          <w:rFonts w:ascii="Arial" w:hAnsi="Arial" w:cs="Arial"/>
          <w:sz w:val="22"/>
          <w:szCs w:val="22"/>
        </w:rPr>
        <w:t>“</w:t>
      </w:r>
      <w:r w:rsidRPr="00E45A7B">
        <w:rPr>
          <w:rFonts w:ascii="Arial" w:hAnsi="Arial" w:cs="Arial"/>
          <w:sz w:val="22"/>
          <w:szCs w:val="22"/>
        </w:rPr>
        <w:t>voy a baño</w:t>
      </w:r>
      <w:r w:rsidR="00C23138">
        <w:rPr>
          <w:rFonts w:ascii="Arial" w:hAnsi="Arial" w:cs="Arial"/>
          <w:sz w:val="22"/>
          <w:szCs w:val="22"/>
        </w:rPr>
        <w:t>”.</w:t>
      </w:r>
      <w:r w:rsidRPr="00E45A7B">
        <w:rPr>
          <w:rFonts w:ascii="Arial" w:hAnsi="Arial" w:cs="Arial"/>
          <w:sz w:val="22"/>
          <w:szCs w:val="22"/>
        </w:rPr>
        <w:t xml:space="preserve"> </w:t>
      </w:r>
      <w:r w:rsidR="00C23138">
        <w:rPr>
          <w:rFonts w:ascii="Arial" w:hAnsi="Arial" w:cs="Arial"/>
          <w:sz w:val="22"/>
          <w:szCs w:val="22"/>
        </w:rPr>
        <w:t>N</w:t>
      </w:r>
      <w:r w:rsidRPr="00E45A7B">
        <w:rPr>
          <w:rFonts w:ascii="Arial" w:hAnsi="Arial" w:cs="Arial"/>
          <w:sz w:val="22"/>
          <w:szCs w:val="22"/>
        </w:rPr>
        <w:t>o y ya cuando volvieron dije</w:t>
      </w:r>
      <w:r w:rsidR="00203766">
        <w:rPr>
          <w:rFonts w:ascii="Arial" w:hAnsi="Arial" w:cs="Arial"/>
          <w:sz w:val="22"/>
          <w:szCs w:val="22"/>
        </w:rPr>
        <w:t>…</w:t>
      </w:r>
    </w:p>
    <w:p w14:paraId="47B807F4" w14:textId="12828553" w:rsidR="00D11198" w:rsidRPr="00E45A7B" w:rsidRDefault="00D11198" w:rsidP="00DF65FF">
      <w:pPr>
        <w:spacing w:after="60" w:line="276" w:lineRule="auto"/>
        <w:ind w:left="567"/>
        <w:jc w:val="both"/>
        <w:rPr>
          <w:rFonts w:ascii="Arial" w:hAnsi="Arial" w:cs="Arial"/>
          <w:sz w:val="22"/>
          <w:szCs w:val="22"/>
        </w:rPr>
      </w:pPr>
      <w:r w:rsidRPr="00E45A7B">
        <w:rPr>
          <w:rFonts w:ascii="Arial" w:hAnsi="Arial" w:cs="Arial"/>
          <w:sz w:val="22"/>
          <w:szCs w:val="22"/>
        </w:rPr>
        <w:t>Mujer 2: Hoy no se vale</w:t>
      </w:r>
      <w:r w:rsidR="001B7D46">
        <w:rPr>
          <w:rFonts w:ascii="Arial" w:hAnsi="Arial" w:cs="Arial"/>
          <w:sz w:val="22"/>
          <w:szCs w:val="22"/>
        </w:rPr>
        <w:t>, hoy no se vale</w:t>
      </w:r>
      <w:r w:rsidRPr="00E45A7B">
        <w:rPr>
          <w:rFonts w:ascii="Arial" w:hAnsi="Arial" w:cs="Arial"/>
          <w:sz w:val="22"/>
          <w:szCs w:val="22"/>
        </w:rPr>
        <w:t>.</w:t>
      </w:r>
    </w:p>
    <w:p w14:paraId="6FA02A57" w14:textId="77777777" w:rsidR="001B7D46" w:rsidRDefault="00D11198" w:rsidP="00DF65FF">
      <w:pPr>
        <w:spacing w:after="60" w:line="276" w:lineRule="auto"/>
        <w:ind w:left="567"/>
        <w:jc w:val="both"/>
        <w:rPr>
          <w:rFonts w:ascii="Arial" w:hAnsi="Arial" w:cs="Arial"/>
          <w:sz w:val="22"/>
          <w:szCs w:val="22"/>
        </w:rPr>
      </w:pPr>
      <w:r w:rsidRPr="00E45A7B">
        <w:rPr>
          <w:rFonts w:ascii="Arial" w:hAnsi="Arial" w:cs="Arial"/>
          <w:sz w:val="22"/>
          <w:szCs w:val="22"/>
        </w:rPr>
        <w:t>Mujer 1: Hoy y nunca</w:t>
      </w:r>
      <w:r w:rsidR="001B7D46">
        <w:rPr>
          <w:rFonts w:ascii="Arial" w:hAnsi="Arial" w:cs="Arial"/>
          <w:sz w:val="22"/>
          <w:szCs w:val="22"/>
        </w:rPr>
        <w:t>, hoy y nunca</w:t>
      </w:r>
      <w:r w:rsidRPr="00E45A7B">
        <w:rPr>
          <w:rFonts w:ascii="Arial" w:hAnsi="Arial" w:cs="Arial"/>
          <w:sz w:val="22"/>
          <w:szCs w:val="22"/>
        </w:rPr>
        <w:t xml:space="preserve"> se vale</w:t>
      </w:r>
      <w:r w:rsidR="001B7D46">
        <w:rPr>
          <w:rFonts w:ascii="Arial" w:hAnsi="Arial" w:cs="Arial"/>
          <w:sz w:val="22"/>
          <w:szCs w:val="22"/>
        </w:rPr>
        <w:t>…</w:t>
      </w:r>
    </w:p>
    <w:p w14:paraId="4839D9B4" w14:textId="7164765B" w:rsidR="001B7D46" w:rsidRDefault="001B7D46" w:rsidP="00DF65FF">
      <w:pPr>
        <w:spacing w:after="60" w:line="276" w:lineRule="auto"/>
        <w:ind w:left="567"/>
        <w:jc w:val="both"/>
        <w:rPr>
          <w:rFonts w:ascii="Arial" w:hAnsi="Arial" w:cs="Arial"/>
          <w:sz w:val="22"/>
          <w:szCs w:val="22"/>
        </w:rPr>
      </w:pPr>
      <w:r>
        <w:rPr>
          <w:rFonts w:ascii="Arial" w:hAnsi="Arial" w:cs="Arial"/>
          <w:sz w:val="22"/>
          <w:szCs w:val="22"/>
        </w:rPr>
        <w:t>Mujer 3: Nunca, nunca, nunca hay que dejar pasar esto y…</w:t>
      </w:r>
    </w:p>
    <w:p w14:paraId="7A15E584" w14:textId="60140727" w:rsidR="00D11198" w:rsidRPr="00E45A7B" w:rsidRDefault="001B7D46" w:rsidP="00DF65FF">
      <w:pPr>
        <w:spacing w:after="60" w:line="276" w:lineRule="auto"/>
        <w:ind w:left="567"/>
        <w:jc w:val="both"/>
        <w:rPr>
          <w:rFonts w:ascii="Arial" w:hAnsi="Arial" w:cs="Arial"/>
          <w:sz w:val="22"/>
          <w:szCs w:val="22"/>
        </w:rPr>
      </w:pPr>
      <w:r>
        <w:rPr>
          <w:rFonts w:ascii="Arial" w:hAnsi="Arial" w:cs="Arial"/>
          <w:sz w:val="22"/>
          <w:szCs w:val="22"/>
        </w:rPr>
        <w:t>Mujer 1: P</w:t>
      </w:r>
      <w:r w:rsidR="00D11198" w:rsidRPr="00E45A7B">
        <w:rPr>
          <w:rFonts w:ascii="Arial" w:hAnsi="Arial" w:cs="Arial"/>
          <w:sz w:val="22"/>
          <w:szCs w:val="22"/>
        </w:rPr>
        <w:t xml:space="preserve">orque, yo tengo una vida, yo tengo un día, yo merezco entrar al baño donde a </w:t>
      </w:r>
      <w:r w:rsidR="004E07D1" w:rsidRPr="004E07D1">
        <w:rPr>
          <w:rFonts w:ascii="Arial" w:hAnsi="Arial" w:cs="Arial"/>
          <w:sz w:val="22"/>
          <w:szCs w:val="22"/>
        </w:rPr>
        <w:t>mí</w:t>
      </w:r>
      <w:r w:rsidR="00D11198" w:rsidRPr="00E45A7B">
        <w:rPr>
          <w:rFonts w:ascii="Arial" w:hAnsi="Arial" w:cs="Arial"/>
          <w:sz w:val="22"/>
          <w:szCs w:val="22"/>
        </w:rPr>
        <w:t xml:space="preserve"> me corresponde porque yo lo elijo así. Entonces, yo también tengo derecho de ir y tener las necesidades básicas que todas las personas tenemos y tengo el derecho a transitar por el espacio sin que nadie se burle, sin que nadie me grite de cosas, sin que nadie me ponga su radar de </w:t>
      </w:r>
      <w:r w:rsidR="00A33658" w:rsidRPr="00E45A7B">
        <w:rPr>
          <w:rFonts w:ascii="Arial" w:hAnsi="Arial" w:cs="Arial"/>
          <w:sz w:val="22"/>
          <w:szCs w:val="22"/>
        </w:rPr>
        <w:t>cómo</w:t>
      </w:r>
      <w:r w:rsidR="00D11198" w:rsidRPr="00E45A7B">
        <w:rPr>
          <w:rFonts w:ascii="Arial" w:hAnsi="Arial" w:cs="Arial"/>
          <w:sz w:val="22"/>
          <w:szCs w:val="22"/>
        </w:rPr>
        <w:t xml:space="preserve"> me visto</w:t>
      </w:r>
      <w:r w:rsidR="005D0D7B">
        <w:rPr>
          <w:rFonts w:ascii="Arial" w:hAnsi="Arial" w:cs="Arial"/>
          <w:sz w:val="22"/>
          <w:szCs w:val="22"/>
        </w:rPr>
        <w:t>,</w:t>
      </w:r>
      <w:r w:rsidR="00D11198" w:rsidRPr="00E45A7B">
        <w:rPr>
          <w:rFonts w:ascii="Arial" w:hAnsi="Arial" w:cs="Arial"/>
          <w:sz w:val="22"/>
          <w:szCs w:val="22"/>
        </w:rPr>
        <w:t xml:space="preserve"> de su radar clasista, su radar racista</w:t>
      </w:r>
      <w:r w:rsidR="00B174CE">
        <w:rPr>
          <w:rFonts w:ascii="Arial" w:hAnsi="Arial" w:cs="Arial"/>
          <w:sz w:val="22"/>
          <w:szCs w:val="22"/>
        </w:rPr>
        <w:t>.</w:t>
      </w:r>
    </w:p>
    <w:p w14:paraId="3512FCE7" w14:textId="77777777" w:rsidR="00D11198" w:rsidRPr="00E45A7B" w:rsidRDefault="00D11198" w:rsidP="00DF65FF">
      <w:pPr>
        <w:spacing w:after="60" w:line="276" w:lineRule="auto"/>
        <w:ind w:left="567"/>
        <w:jc w:val="both"/>
        <w:rPr>
          <w:rFonts w:ascii="Arial" w:hAnsi="Arial" w:cs="Arial"/>
          <w:sz w:val="22"/>
          <w:szCs w:val="22"/>
        </w:rPr>
      </w:pPr>
      <w:r w:rsidRPr="00E45A7B">
        <w:rPr>
          <w:rFonts w:ascii="Arial" w:hAnsi="Arial" w:cs="Arial"/>
          <w:sz w:val="22"/>
          <w:szCs w:val="22"/>
        </w:rPr>
        <w:t>Mujer 2: Transfóbico…</w:t>
      </w:r>
    </w:p>
    <w:p w14:paraId="347CFED0" w14:textId="3324D153" w:rsidR="00D11198" w:rsidRPr="00E45A7B" w:rsidRDefault="00D11198" w:rsidP="00DF65FF">
      <w:pPr>
        <w:spacing w:after="60" w:line="276" w:lineRule="auto"/>
        <w:ind w:left="567"/>
        <w:jc w:val="both"/>
        <w:rPr>
          <w:rFonts w:ascii="Arial" w:hAnsi="Arial" w:cs="Arial"/>
          <w:sz w:val="22"/>
          <w:szCs w:val="22"/>
        </w:rPr>
      </w:pPr>
      <w:r w:rsidRPr="00E45A7B">
        <w:rPr>
          <w:rFonts w:ascii="Arial" w:hAnsi="Arial" w:cs="Arial"/>
          <w:sz w:val="22"/>
          <w:szCs w:val="22"/>
        </w:rPr>
        <w:t>Mujer 1: Transfóbico… No tenemos</w:t>
      </w:r>
      <w:r w:rsidR="005D0D7B">
        <w:rPr>
          <w:rFonts w:ascii="Arial" w:hAnsi="Arial" w:cs="Arial"/>
          <w:sz w:val="22"/>
          <w:szCs w:val="22"/>
        </w:rPr>
        <w:t>, n</w:t>
      </w:r>
      <w:r w:rsidR="005D0D7B" w:rsidRPr="005D0D7B">
        <w:rPr>
          <w:rFonts w:ascii="Arial" w:hAnsi="Arial" w:cs="Arial"/>
          <w:sz w:val="22"/>
          <w:szCs w:val="22"/>
        </w:rPr>
        <w:t>o tenemos</w:t>
      </w:r>
      <w:r w:rsidRPr="005D0D7B">
        <w:rPr>
          <w:rFonts w:ascii="Arial" w:hAnsi="Arial" w:cs="Arial"/>
          <w:sz w:val="22"/>
          <w:szCs w:val="22"/>
        </w:rPr>
        <w:t xml:space="preserve"> </w:t>
      </w:r>
      <w:r w:rsidR="00C93E81" w:rsidRPr="005D0D7B">
        <w:rPr>
          <w:rFonts w:ascii="Arial" w:hAnsi="Arial" w:cs="Arial"/>
          <w:sz w:val="22"/>
          <w:szCs w:val="22"/>
        </w:rPr>
        <w:t>por qué</w:t>
      </w:r>
      <w:r w:rsidRPr="005D0D7B">
        <w:rPr>
          <w:rFonts w:ascii="Arial" w:hAnsi="Arial" w:cs="Arial"/>
          <w:sz w:val="22"/>
          <w:szCs w:val="22"/>
        </w:rPr>
        <w:t xml:space="preserve"> pasarlo, porque hoy yo hoy tendría que estar justo </w:t>
      </w:r>
      <w:r w:rsidR="005D0D7B" w:rsidRPr="0073269D">
        <w:rPr>
          <w:rFonts w:ascii="Arial" w:hAnsi="Arial" w:cs="Arial"/>
          <w:sz w:val="22"/>
          <w:szCs w:val="22"/>
        </w:rPr>
        <w:t xml:space="preserve">haciendo </w:t>
      </w:r>
      <w:r w:rsidRPr="005D0D7B">
        <w:rPr>
          <w:rFonts w:ascii="Arial" w:hAnsi="Arial" w:cs="Arial"/>
          <w:sz w:val="22"/>
          <w:szCs w:val="22"/>
        </w:rPr>
        <w:t>las labores que cualquier persona tiene que hacer</w:t>
      </w:r>
      <w:r w:rsidR="005D0D7B" w:rsidRPr="005D0D7B">
        <w:rPr>
          <w:rFonts w:ascii="Arial" w:hAnsi="Arial" w:cs="Arial"/>
          <w:sz w:val="22"/>
          <w:szCs w:val="22"/>
        </w:rPr>
        <w:t>,</w:t>
      </w:r>
      <w:r w:rsidRPr="005D0D7B">
        <w:rPr>
          <w:rFonts w:ascii="Arial" w:hAnsi="Arial" w:cs="Arial"/>
          <w:sz w:val="22"/>
          <w:szCs w:val="22"/>
        </w:rPr>
        <w:t xml:space="preserve"> como ir a la escuela, porque soy estudiante, y si no fuera estudiante también tendría que hacer mi trabajo, o sea, merezco una vi</w:t>
      </w:r>
      <w:r w:rsidRPr="00E45A7B">
        <w:rPr>
          <w:rFonts w:ascii="Arial" w:hAnsi="Arial" w:cs="Arial"/>
          <w:sz w:val="22"/>
          <w:szCs w:val="22"/>
        </w:rPr>
        <w:t>da digna. O sea, no</w:t>
      </w:r>
      <w:r w:rsidR="00407A5B">
        <w:rPr>
          <w:rFonts w:ascii="Arial" w:hAnsi="Arial" w:cs="Arial"/>
          <w:sz w:val="22"/>
          <w:szCs w:val="22"/>
        </w:rPr>
        <w:t>. T</w:t>
      </w:r>
      <w:r w:rsidRPr="00E45A7B">
        <w:rPr>
          <w:rFonts w:ascii="Arial" w:hAnsi="Arial" w:cs="Arial"/>
          <w:sz w:val="22"/>
          <w:szCs w:val="22"/>
        </w:rPr>
        <w:t>engo una rabia que no puedo controlar porque evidentemente es</w:t>
      </w:r>
      <w:r w:rsidR="005D0D7B">
        <w:rPr>
          <w:rFonts w:ascii="Arial" w:hAnsi="Arial" w:cs="Arial"/>
          <w:sz w:val="22"/>
          <w:szCs w:val="22"/>
        </w:rPr>
        <w:t>t</w:t>
      </w:r>
      <w:r w:rsidRPr="00E45A7B">
        <w:rPr>
          <w:rFonts w:ascii="Arial" w:hAnsi="Arial" w:cs="Arial"/>
          <w:sz w:val="22"/>
          <w:szCs w:val="22"/>
        </w:rPr>
        <w:t>o es lo que me genera, me genera aquí una rabia y una sed de justicia</w:t>
      </w:r>
      <w:r w:rsidR="005D0D7B">
        <w:rPr>
          <w:rFonts w:ascii="Arial" w:hAnsi="Arial" w:cs="Arial"/>
          <w:sz w:val="22"/>
          <w:szCs w:val="22"/>
        </w:rPr>
        <w:t>,</w:t>
      </w:r>
      <w:r w:rsidRPr="00E45A7B">
        <w:rPr>
          <w:rFonts w:ascii="Arial" w:hAnsi="Arial" w:cs="Arial"/>
          <w:sz w:val="22"/>
          <w:szCs w:val="22"/>
        </w:rPr>
        <w:t xml:space="preserve"> porque esto no puede estar pasando aquí y en ningún lado, para ninguna compañera.</w:t>
      </w:r>
    </w:p>
    <w:p w14:paraId="6E647F09" w14:textId="77777777" w:rsidR="002C7925" w:rsidRPr="0073269D" w:rsidRDefault="002C7925" w:rsidP="00A73C6A">
      <w:pPr>
        <w:pStyle w:val="corte4fondo"/>
        <w:ind w:right="51" w:firstLine="0"/>
        <w:rPr>
          <w:rFonts w:cs="Arial"/>
          <w:sz w:val="26"/>
          <w:szCs w:val="26"/>
          <w:lang w:val="es-MX"/>
        </w:rPr>
      </w:pPr>
    </w:p>
    <w:p w14:paraId="56C6609B" w14:textId="0932CC48" w:rsidR="00B56BB8" w:rsidRDefault="004013D2" w:rsidP="00B56BB8">
      <w:pPr>
        <w:pStyle w:val="corte4fondo"/>
        <w:numPr>
          <w:ilvl w:val="0"/>
          <w:numId w:val="2"/>
        </w:numPr>
        <w:ind w:left="0" w:right="51" w:hanging="567"/>
        <w:rPr>
          <w:rFonts w:cs="Arial"/>
          <w:sz w:val="26"/>
          <w:szCs w:val="26"/>
        </w:rPr>
      </w:pPr>
      <w:r>
        <w:rPr>
          <w:rFonts w:cs="Arial"/>
          <w:sz w:val="26"/>
          <w:szCs w:val="26"/>
          <w:lang w:val="es-ES"/>
        </w:rPr>
        <w:t>A partir de</w:t>
      </w:r>
      <w:r w:rsidR="00587CCC">
        <w:rPr>
          <w:rFonts w:cs="Arial"/>
          <w:sz w:val="26"/>
          <w:szCs w:val="26"/>
          <w:lang w:val="es-ES"/>
        </w:rPr>
        <w:t xml:space="preserve">l material probatorio </w:t>
      </w:r>
      <w:r>
        <w:rPr>
          <w:rFonts w:cs="Arial"/>
          <w:sz w:val="26"/>
          <w:szCs w:val="26"/>
          <w:lang w:val="es-ES"/>
        </w:rPr>
        <w:t xml:space="preserve">anterior, </w:t>
      </w:r>
      <w:r w:rsidR="00B238F7">
        <w:rPr>
          <w:rFonts w:cs="Arial"/>
          <w:sz w:val="26"/>
          <w:szCs w:val="26"/>
          <w:lang w:val="es-ES"/>
        </w:rPr>
        <w:t>esta</w:t>
      </w:r>
      <w:r w:rsidRPr="003F6B95">
        <w:rPr>
          <w:rFonts w:cs="Arial"/>
          <w:sz w:val="26"/>
          <w:szCs w:val="26"/>
        </w:rPr>
        <w:t xml:space="preserve"> </w:t>
      </w:r>
      <w:r w:rsidRPr="00453D61">
        <w:rPr>
          <w:rFonts w:cs="Arial"/>
          <w:sz w:val="26"/>
          <w:szCs w:val="26"/>
        </w:rPr>
        <w:t xml:space="preserve">Primera Sala </w:t>
      </w:r>
      <w:r w:rsidR="00B238F7" w:rsidRPr="00453D61">
        <w:rPr>
          <w:rFonts w:cs="Arial"/>
          <w:sz w:val="26"/>
          <w:szCs w:val="26"/>
        </w:rPr>
        <w:t>advierte</w:t>
      </w:r>
      <w:r w:rsidRPr="00453D61">
        <w:rPr>
          <w:rFonts w:cs="Arial"/>
          <w:sz w:val="26"/>
          <w:szCs w:val="26"/>
        </w:rPr>
        <w:t xml:space="preserve"> que, tanto las declaraciones del administrador del centro comercial “Reforma 222” ante el COPRED, como del representante legal de Protección Privada 2010 y de Reforma 222 en el juicio, </w:t>
      </w:r>
      <w:r w:rsidR="0029007A" w:rsidRPr="00453D61">
        <w:rPr>
          <w:rFonts w:cs="Arial"/>
          <w:sz w:val="26"/>
          <w:szCs w:val="26"/>
        </w:rPr>
        <w:t>permiten</w:t>
      </w:r>
      <w:r w:rsidRPr="00453D61">
        <w:rPr>
          <w:rFonts w:cs="Arial"/>
          <w:sz w:val="26"/>
          <w:szCs w:val="26"/>
        </w:rPr>
        <w:t xml:space="preserve"> </w:t>
      </w:r>
      <w:r w:rsidR="0029007A" w:rsidRPr="00453D61">
        <w:rPr>
          <w:rFonts w:cs="Arial"/>
          <w:sz w:val="26"/>
          <w:szCs w:val="26"/>
        </w:rPr>
        <w:t xml:space="preserve">acreditar </w:t>
      </w:r>
      <w:r w:rsidRPr="00453D61">
        <w:rPr>
          <w:rFonts w:cs="Arial"/>
          <w:sz w:val="26"/>
          <w:szCs w:val="26"/>
        </w:rPr>
        <w:t>que, como sostuvieron las actoras</w:t>
      </w:r>
      <w:r w:rsidR="00273A77" w:rsidRPr="00453D61">
        <w:rPr>
          <w:rFonts w:cs="Arial"/>
          <w:sz w:val="26"/>
          <w:szCs w:val="26"/>
        </w:rPr>
        <w:t xml:space="preserve"> y como afirmó la sala responsable</w:t>
      </w:r>
      <w:r w:rsidRPr="00453D61">
        <w:rPr>
          <w:rFonts w:cs="Arial"/>
          <w:sz w:val="26"/>
          <w:szCs w:val="26"/>
        </w:rPr>
        <w:t>, efectivamente Protección Privada 2010 es la encargada (por lo menos, hasta el 26 de septiembre de 2018, momento en que se desahogó la confesional a cargo de la empresa) de prestar los servicios de seguridad al centro comercial “Reforma 222</w:t>
      </w:r>
      <w:r w:rsidRPr="003F6B95">
        <w:rPr>
          <w:rFonts w:cs="Arial"/>
          <w:sz w:val="26"/>
          <w:szCs w:val="26"/>
        </w:rPr>
        <w:t xml:space="preserve">” operado por la persona </w:t>
      </w:r>
      <w:r w:rsidRPr="00453D61">
        <w:rPr>
          <w:rFonts w:cs="Arial"/>
          <w:sz w:val="26"/>
          <w:szCs w:val="26"/>
        </w:rPr>
        <w:t xml:space="preserve">moral Reforma 222, </w:t>
      </w:r>
      <w:r w:rsidRPr="003F6B95">
        <w:rPr>
          <w:rFonts w:cs="Arial"/>
          <w:sz w:val="26"/>
          <w:szCs w:val="26"/>
        </w:rPr>
        <w:t>y que la empresa de seguridad realizó tales labores el 25 de noviembre de 2015.</w:t>
      </w:r>
    </w:p>
    <w:p w14:paraId="4B9FDEB7" w14:textId="77777777" w:rsidR="00B56BB8" w:rsidRPr="00070BFC" w:rsidRDefault="00B56BB8" w:rsidP="00070BFC">
      <w:pPr>
        <w:pStyle w:val="corte4fondo"/>
        <w:ind w:right="51" w:firstLine="0"/>
        <w:rPr>
          <w:rFonts w:cs="Arial"/>
          <w:color w:val="000000" w:themeColor="text1"/>
          <w:sz w:val="26"/>
          <w:szCs w:val="26"/>
        </w:rPr>
      </w:pPr>
    </w:p>
    <w:p w14:paraId="0CD5E108" w14:textId="35C7ECF5" w:rsidR="00D856C8" w:rsidRPr="00070BFC" w:rsidRDefault="00B56BB8" w:rsidP="00FF2339">
      <w:pPr>
        <w:pStyle w:val="corte4fondo"/>
        <w:numPr>
          <w:ilvl w:val="0"/>
          <w:numId w:val="2"/>
        </w:numPr>
        <w:ind w:left="0" w:right="51" w:hanging="567"/>
        <w:rPr>
          <w:rFonts w:cs="Arial"/>
          <w:sz w:val="26"/>
          <w:szCs w:val="26"/>
        </w:rPr>
      </w:pPr>
      <w:r w:rsidRPr="00070BFC">
        <w:rPr>
          <w:rFonts w:cs="Arial"/>
          <w:color w:val="000000" w:themeColor="text1"/>
          <w:sz w:val="26"/>
          <w:szCs w:val="26"/>
          <w:lang w:val="es-MX"/>
        </w:rPr>
        <w:t xml:space="preserve">Por otra parte, se estima que las constancias del expediente ante el </w:t>
      </w:r>
      <w:r w:rsidR="004013D2" w:rsidRPr="00070BFC">
        <w:rPr>
          <w:rFonts w:cs="Arial"/>
          <w:color w:val="000000" w:themeColor="text1"/>
          <w:sz w:val="26"/>
          <w:szCs w:val="26"/>
          <w:lang w:val="es-MX"/>
        </w:rPr>
        <w:t xml:space="preserve">COPRED </w:t>
      </w:r>
      <w:r w:rsidR="00E1165C">
        <w:rPr>
          <w:rFonts w:cs="Arial"/>
          <w:color w:val="000000" w:themeColor="text1"/>
          <w:sz w:val="26"/>
          <w:szCs w:val="26"/>
          <w:lang w:val="es-MX"/>
        </w:rPr>
        <w:t>respaldan</w:t>
      </w:r>
      <w:r w:rsidR="003B6D36">
        <w:rPr>
          <w:rFonts w:cs="Arial"/>
          <w:color w:val="000000" w:themeColor="text1"/>
          <w:sz w:val="26"/>
          <w:szCs w:val="26"/>
          <w:lang w:val="es-MX"/>
        </w:rPr>
        <w:t xml:space="preserve"> los hechos afirmados por las quejosas en su demanda. </w:t>
      </w:r>
      <w:r w:rsidR="00E1165C">
        <w:rPr>
          <w:rFonts w:cs="Arial"/>
          <w:color w:val="000000" w:themeColor="text1"/>
          <w:sz w:val="26"/>
          <w:szCs w:val="26"/>
          <w:lang w:val="es-MX"/>
        </w:rPr>
        <w:t>En particular</w:t>
      </w:r>
      <w:r w:rsidR="00255B53">
        <w:rPr>
          <w:rFonts w:cs="Arial"/>
          <w:color w:val="000000" w:themeColor="text1"/>
          <w:sz w:val="26"/>
          <w:szCs w:val="26"/>
          <w:lang w:val="es-MX"/>
        </w:rPr>
        <w:t>,</w:t>
      </w:r>
      <w:r w:rsidR="00B3582A">
        <w:rPr>
          <w:rFonts w:cs="Arial"/>
          <w:color w:val="000000" w:themeColor="text1"/>
          <w:sz w:val="26"/>
          <w:szCs w:val="26"/>
          <w:lang w:val="es-MX"/>
        </w:rPr>
        <w:t xml:space="preserve"> </w:t>
      </w:r>
      <w:r w:rsidR="00E1165C">
        <w:rPr>
          <w:rFonts w:cs="Arial"/>
          <w:color w:val="000000" w:themeColor="text1"/>
          <w:sz w:val="26"/>
          <w:szCs w:val="26"/>
          <w:lang w:val="es-MX"/>
        </w:rPr>
        <w:t xml:space="preserve">destaca </w:t>
      </w:r>
      <w:r w:rsidR="003B6D36">
        <w:rPr>
          <w:rFonts w:cs="Arial"/>
          <w:color w:val="000000" w:themeColor="text1"/>
          <w:sz w:val="26"/>
          <w:szCs w:val="26"/>
          <w:lang w:val="es-MX"/>
        </w:rPr>
        <w:t>la d</w:t>
      </w:r>
      <w:r w:rsidR="004013D2" w:rsidRPr="00070BFC">
        <w:rPr>
          <w:rFonts w:cs="Arial"/>
          <w:color w:val="000000" w:themeColor="text1"/>
          <w:sz w:val="26"/>
          <w:szCs w:val="26"/>
          <w:lang w:val="es-MX"/>
        </w:rPr>
        <w:t>eclaración del administrador</w:t>
      </w:r>
      <w:r w:rsidR="003B6D36">
        <w:rPr>
          <w:rFonts w:cs="Arial"/>
          <w:color w:val="000000" w:themeColor="text1"/>
          <w:sz w:val="26"/>
          <w:szCs w:val="26"/>
          <w:lang w:val="es-MX"/>
        </w:rPr>
        <w:t xml:space="preserve"> d</w:t>
      </w:r>
      <w:r w:rsidR="003B6D36" w:rsidRPr="00AC13A1">
        <w:rPr>
          <w:rFonts w:cs="Arial"/>
          <w:color w:val="000000" w:themeColor="text1"/>
          <w:sz w:val="26"/>
          <w:szCs w:val="26"/>
          <w:lang w:val="es-MX"/>
        </w:rPr>
        <w:t>el centro comercial,</w:t>
      </w:r>
      <w:r w:rsidR="004013D2" w:rsidRPr="00070BFC">
        <w:rPr>
          <w:rFonts w:cs="Arial"/>
          <w:color w:val="000000" w:themeColor="text1"/>
          <w:sz w:val="26"/>
          <w:szCs w:val="26"/>
          <w:lang w:val="es-MX"/>
        </w:rPr>
        <w:t xml:space="preserve"> </w:t>
      </w:r>
      <w:r w:rsidR="004013D2" w:rsidRPr="00453D61">
        <w:rPr>
          <w:rFonts w:cs="Arial"/>
          <w:sz w:val="26"/>
          <w:szCs w:val="26"/>
          <w:lang w:val="es-MX"/>
        </w:rPr>
        <w:t>Rafael Aguilar Mejía</w:t>
      </w:r>
      <w:r w:rsidR="008E3BD2" w:rsidRPr="00453D61">
        <w:rPr>
          <w:rFonts w:cs="Arial"/>
          <w:sz w:val="26"/>
          <w:szCs w:val="26"/>
          <w:lang w:val="es-MX"/>
        </w:rPr>
        <w:t xml:space="preserve">, </w:t>
      </w:r>
      <w:r w:rsidR="008E3BD2">
        <w:rPr>
          <w:rFonts w:cs="Arial"/>
          <w:color w:val="000000" w:themeColor="text1"/>
          <w:sz w:val="26"/>
          <w:szCs w:val="26"/>
          <w:lang w:val="es-MX"/>
        </w:rPr>
        <w:t xml:space="preserve">quien </w:t>
      </w:r>
      <w:r w:rsidR="00B3582A" w:rsidRPr="00AC13A1">
        <w:rPr>
          <w:rFonts w:cs="Arial"/>
          <w:color w:val="000000" w:themeColor="text1"/>
          <w:sz w:val="26"/>
          <w:szCs w:val="26"/>
          <w:lang w:val="es-MX"/>
        </w:rPr>
        <w:t xml:space="preserve">relató </w:t>
      </w:r>
      <w:r w:rsidR="008E3BD2">
        <w:rPr>
          <w:rFonts w:cs="Arial"/>
          <w:color w:val="000000" w:themeColor="text1"/>
          <w:sz w:val="26"/>
          <w:szCs w:val="26"/>
          <w:lang w:val="es-MX"/>
        </w:rPr>
        <w:t>lo siguient</w:t>
      </w:r>
      <w:r w:rsidR="006A2FC8">
        <w:rPr>
          <w:rFonts w:cs="Arial"/>
          <w:color w:val="000000" w:themeColor="text1"/>
          <w:sz w:val="26"/>
          <w:szCs w:val="26"/>
          <w:lang w:val="es-MX"/>
        </w:rPr>
        <w:t xml:space="preserve">e con base </w:t>
      </w:r>
      <w:r w:rsidR="00B3582A" w:rsidRPr="00AC13A1">
        <w:rPr>
          <w:rFonts w:cs="Arial"/>
          <w:color w:val="000000" w:themeColor="text1"/>
          <w:sz w:val="26"/>
          <w:szCs w:val="26"/>
          <w:lang w:val="es-MX"/>
        </w:rPr>
        <w:t xml:space="preserve">en el reporte </w:t>
      </w:r>
      <w:r w:rsidR="000C318F" w:rsidRPr="00070BFC">
        <w:rPr>
          <w:rFonts w:cs="Arial"/>
          <w:color w:val="000000" w:themeColor="text1"/>
          <w:sz w:val="26"/>
          <w:szCs w:val="26"/>
          <w:lang w:val="es-MX"/>
        </w:rPr>
        <w:t>realizado</w:t>
      </w:r>
      <w:r w:rsidR="009C3FD7" w:rsidRPr="00AC13A1">
        <w:rPr>
          <w:rFonts w:cs="Arial"/>
          <w:color w:val="000000" w:themeColor="text1"/>
          <w:sz w:val="26"/>
          <w:szCs w:val="26"/>
          <w:lang w:val="es-MX"/>
        </w:rPr>
        <w:t xml:space="preserve"> por la empresa de seguridad</w:t>
      </w:r>
      <w:r w:rsidR="006A2FC8" w:rsidRPr="006A2FC8">
        <w:rPr>
          <w:rFonts w:cs="Arial"/>
          <w:color w:val="000000" w:themeColor="text1"/>
          <w:sz w:val="26"/>
          <w:szCs w:val="26"/>
          <w:lang w:val="es-MX"/>
        </w:rPr>
        <w:t xml:space="preserve"> </w:t>
      </w:r>
      <w:r w:rsidR="006A2FC8" w:rsidRPr="00AC13A1">
        <w:rPr>
          <w:rFonts w:cs="Arial"/>
          <w:color w:val="000000" w:themeColor="text1"/>
          <w:sz w:val="26"/>
          <w:szCs w:val="26"/>
          <w:lang w:val="es-MX"/>
        </w:rPr>
        <w:t>el día de los hechos</w:t>
      </w:r>
      <w:r w:rsidR="00A15DBC">
        <w:rPr>
          <w:rFonts w:cs="Arial"/>
          <w:color w:val="000000" w:themeColor="text1"/>
          <w:sz w:val="26"/>
          <w:szCs w:val="26"/>
          <w:lang w:val="es-MX"/>
        </w:rPr>
        <w:t xml:space="preserve">: </w:t>
      </w:r>
      <w:r w:rsidR="009C3FD7" w:rsidRPr="00070BFC">
        <w:rPr>
          <w:rFonts w:cs="Arial"/>
          <w:sz w:val="26"/>
          <w:szCs w:val="26"/>
          <w:lang w:val="es-MX"/>
        </w:rPr>
        <w:t>un guardia de seguridad se trasladó</w:t>
      </w:r>
      <w:r w:rsidR="009A15BD" w:rsidRPr="00070BFC">
        <w:rPr>
          <w:rFonts w:cs="Arial"/>
          <w:sz w:val="26"/>
          <w:szCs w:val="26"/>
          <w:lang w:val="es-MX"/>
        </w:rPr>
        <w:t xml:space="preserve"> a los sanitarios de mujeres ante un aviso </w:t>
      </w:r>
      <w:r w:rsidR="004E26D4">
        <w:rPr>
          <w:rFonts w:cs="Arial"/>
          <w:sz w:val="26"/>
          <w:szCs w:val="26"/>
          <w:lang w:val="es-MX"/>
        </w:rPr>
        <w:t xml:space="preserve">sobre la </w:t>
      </w:r>
      <w:r w:rsidR="007B0B02">
        <w:rPr>
          <w:rFonts w:cs="Arial"/>
          <w:sz w:val="26"/>
          <w:szCs w:val="26"/>
          <w:lang w:val="es-MX"/>
        </w:rPr>
        <w:t>presencia de</w:t>
      </w:r>
      <w:r w:rsidR="009A15BD" w:rsidRPr="00070BFC">
        <w:rPr>
          <w:rFonts w:cs="Arial"/>
          <w:sz w:val="26"/>
          <w:szCs w:val="26"/>
          <w:lang w:val="es-MX"/>
        </w:rPr>
        <w:t xml:space="preserve"> “dos hombres” dentro; </w:t>
      </w:r>
      <w:r w:rsidR="00F07B4F">
        <w:rPr>
          <w:rFonts w:cs="Arial"/>
          <w:sz w:val="26"/>
          <w:szCs w:val="26"/>
          <w:lang w:val="es-MX"/>
        </w:rPr>
        <w:t xml:space="preserve">al llegar, </w:t>
      </w:r>
      <w:r w:rsidR="00DE43B7" w:rsidRPr="00070BFC">
        <w:rPr>
          <w:rFonts w:cs="Arial"/>
          <w:sz w:val="26"/>
          <w:szCs w:val="26"/>
          <w:lang w:val="es-MX"/>
        </w:rPr>
        <w:t xml:space="preserve">pidió a las dos personas se identificaran; </w:t>
      </w:r>
      <w:r w:rsidR="00FD5FE0">
        <w:rPr>
          <w:rFonts w:cs="Arial"/>
          <w:sz w:val="26"/>
          <w:szCs w:val="26"/>
          <w:lang w:val="es-MX"/>
        </w:rPr>
        <w:t xml:space="preserve">al notar </w:t>
      </w:r>
      <w:r w:rsidR="00DE43B7" w:rsidRPr="00070BFC">
        <w:rPr>
          <w:rFonts w:cs="Arial"/>
          <w:sz w:val="26"/>
          <w:szCs w:val="26"/>
          <w:lang w:val="es-MX"/>
        </w:rPr>
        <w:t>la molestia de las dos personas</w:t>
      </w:r>
      <w:r w:rsidR="00D66C03">
        <w:rPr>
          <w:rFonts w:cs="Arial"/>
          <w:sz w:val="26"/>
          <w:szCs w:val="26"/>
          <w:lang w:val="es-MX"/>
        </w:rPr>
        <w:t xml:space="preserve">, </w:t>
      </w:r>
      <w:r w:rsidR="00DE43B7" w:rsidRPr="00070BFC">
        <w:rPr>
          <w:rFonts w:cs="Arial"/>
          <w:sz w:val="26"/>
          <w:szCs w:val="26"/>
          <w:lang w:val="es-MX"/>
        </w:rPr>
        <w:t xml:space="preserve">solicitó apoyo de su </w:t>
      </w:r>
      <w:r w:rsidR="00DE43B7" w:rsidRPr="00070BFC">
        <w:rPr>
          <w:rFonts w:cs="Arial"/>
          <w:sz w:val="26"/>
          <w:szCs w:val="26"/>
          <w:lang w:val="es-MX"/>
        </w:rPr>
        <w:lastRenderedPageBreak/>
        <w:t xml:space="preserve">supervisor; </w:t>
      </w:r>
      <w:r w:rsidR="00974F29">
        <w:rPr>
          <w:rFonts w:cs="Arial"/>
          <w:sz w:val="26"/>
          <w:szCs w:val="26"/>
          <w:lang w:val="es-MX"/>
        </w:rPr>
        <w:t>posteriormente</w:t>
      </w:r>
      <w:r w:rsidR="00DE43B7" w:rsidRPr="00070BFC">
        <w:rPr>
          <w:rFonts w:cs="Arial"/>
          <w:sz w:val="26"/>
          <w:szCs w:val="26"/>
          <w:lang w:val="es-MX"/>
        </w:rPr>
        <w:t xml:space="preserve"> </w:t>
      </w:r>
      <w:r w:rsidR="00CD225D" w:rsidRPr="00070BFC">
        <w:rPr>
          <w:rFonts w:cs="Arial"/>
          <w:sz w:val="26"/>
          <w:szCs w:val="26"/>
          <w:lang w:val="es-MX"/>
        </w:rPr>
        <w:t xml:space="preserve">las dos personas ingresaron al baño; </w:t>
      </w:r>
      <w:r w:rsidR="00974F29">
        <w:rPr>
          <w:rFonts w:cs="Arial"/>
          <w:sz w:val="26"/>
          <w:szCs w:val="26"/>
          <w:lang w:val="es-MX"/>
        </w:rPr>
        <w:t xml:space="preserve">más tarde </w:t>
      </w:r>
      <w:r w:rsidR="00CD225D" w:rsidRPr="00070BFC">
        <w:rPr>
          <w:rFonts w:cs="Arial"/>
          <w:sz w:val="26"/>
          <w:szCs w:val="26"/>
          <w:lang w:val="es-MX"/>
        </w:rPr>
        <w:t xml:space="preserve">el supervisor </w:t>
      </w:r>
      <w:r w:rsidR="00A76514" w:rsidRPr="00070BFC">
        <w:rPr>
          <w:rFonts w:cs="Arial"/>
          <w:sz w:val="26"/>
          <w:szCs w:val="26"/>
          <w:lang w:val="es-MX"/>
        </w:rPr>
        <w:t>se entrevist</w:t>
      </w:r>
      <w:r w:rsidR="002B0BA4">
        <w:rPr>
          <w:rFonts w:cs="Arial"/>
          <w:sz w:val="26"/>
          <w:szCs w:val="26"/>
          <w:lang w:val="es-MX"/>
        </w:rPr>
        <w:t>ó</w:t>
      </w:r>
      <w:r w:rsidR="00A76514" w:rsidRPr="00070BFC">
        <w:rPr>
          <w:rFonts w:cs="Arial"/>
          <w:sz w:val="26"/>
          <w:szCs w:val="26"/>
          <w:lang w:val="es-MX"/>
        </w:rPr>
        <w:t xml:space="preserve"> con las personas, quienes </w:t>
      </w:r>
      <w:r w:rsidR="002B0BA4" w:rsidRPr="00070BFC">
        <w:rPr>
          <w:rFonts w:cs="Arial"/>
          <w:sz w:val="26"/>
          <w:szCs w:val="26"/>
          <w:lang w:val="es-MX"/>
        </w:rPr>
        <w:t>s</w:t>
      </w:r>
      <w:r w:rsidR="002B0BA4">
        <w:rPr>
          <w:rFonts w:cs="Arial"/>
          <w:sz w:val="26"/>
          <w:szCs w:val="26"/>
          <w:lang w:val="es-MX"/>
        </w:rPr>
        <w:t>eguían</w:t>
      </w:r>
      <w:r w:rsidR="002B0BA4" w:rsidRPr="00070BFC">
        <w:rPr>
          <w:rFonts w:cs="Arial"/>
          <w:sz w:val="26"/>
          <w:szCs w:val="26"/>
          <w:lang w:val="es-MX"/>
        </w:rPr>
        <w:t xml:space="preserve"> </w:t>
      </w:r>
      <w:r w:rsidR="00A76514" w:rsidRPr="00070BFC">
        <w:rPr>
          <w:rFonts w:cs="Arial"/>
          <w:sz w:val="26"/>
          <w:szCs w:val="26"/>
          <w:lang w:val="es-MX"/>
        </w:rPr>
        <w:t>molestas</w:t>
      </w:r>
      <w:r w:rsidR="00352486">
        <w:rPr>
          <w:rFonts w:cs="Arial"/>
          <w:sz w:val="26"/>
          <w:szCs w:val="26"/>
          <w:lang w:val="es-MX"/>
        </w:rPr>
        <w:t>,</w:t>
      </w:r>
      <w:r w:rsidR="00A76514" w:rsidRPr="00070BFC">
        <w:rPr>
          <w:rFonts w:cs="Arial"/>
          <w:sz w:val="26"/>
          <w:szCs w:val="26"/>
          <w:lang w:val="es-MX"/>
        </w:rPr>
        <w:t xml:space="preserve"> y </w:t>
      </w:r>
      <w:r w:rsidR="002B0BA4">
        <w:rPr>
          <w:rFonts w:cs="Arial"/>
          <w:sz w:val="26"/>
          <w:szCs w:val="26"/>
          <w:lang w:val="es-MX"/>
        </w:rPr>
        <w:t>finalmente,</w:t>
      </w:r>
      <w:r w:rsidR="00A76514" w:rsidRPr="00070BFC">
        <w:rPr>
          <w:rFonts w:cs="Arial"/>
          <w:sz w:val="26"/>
          <w:szCs w:val="26"/>
          <w:lang w:val="es-MX"/>
        </w:rPr>
        <w:t xml:space="preserve"> las personas acu</w:t>
      </w:r>
      <w:r w:rsidR="002B0BA4">
        <w:rPr>
          <w:rFonts w:cs="Arial"/>
          <w:sz w:val="26"/>
          <w:szCs w:val="26"/>
          <w:lang w:val="es-MX"/>
        </w:rPr>
        <w:t>dieron</w:t>
      </w:r>
      <w:r w:rsidR="00A76514" w:rsidRPr="00070BFC">
        <w:rPr>
          <w:rFonts w:cs="Arial"/>
          <w:sz w:val="26"/>
          <w:szCs w:val="26"/>
          <w:lang w:val="es-MX"/>
        </w:rPr>
        <w:t xml:space="preserve"> al área de Atención al Cliente para presentar una queja</w:t>
      </w:r>
      <w:r w:rsidR="00AC5EF1">
        <w:rPr>
          <w:rFonts w:cs="Arial"/>
          <w:sz w:val="26"/>
          <w:szCs w:val="26"/>
          <w:lang w:val="es-MX"/>
        </w:rPr>
        <w:t xml:space="preserve">. Esta declaración </w:t>
      </w:r>
      <w:r w:rsidR="00255B53" w:rsidRPr="00070BFC">
        <w:rPr>
          <w:rFonts w:cs="Arial"/>
          <w:sz w:val="26"/>
          <w:szCs w:val="26"/>
          <w:lang w:val="es-MX"/>
        </w:rPr>
        <w:t xml:space="preserve">coincide </w:t>
      </w:r>
      <w:r w:rsidR="000C318F" w:rsidRPr="00070BFC">
        <w:rPr>
          <w:rFonts w:cs="Arial"/>
          <w:sz w:val="26"/>
          <w:szCs w:val="26"/>
          <w:lang w:val="es-MX"/>
        </w:rPr>
        <w:t>esencialmente con los hechos narrados por las actoras</w:t>
      </w:r>
      <w:r w:rsidR="00A76514" w:rsidRPr="00070BFC">
        <w:rPr>
          <w:rFonts w:cs="Arial"/>
          <w:sz w:val="26"/>
          <w:szCs w:val="26"/>
          <w:lang w:val="es-MX"/>
        </w:rPr>
        <w:t xml:space="preserve">. </w:t>
      </w:r>
    </w:p>
    <w:p w14:paraId="4F909939" w14:textId="77777777" w:rsidR="00D856C8" w:rsidRPr="00070BFC" w:rsidRDefault="00D856C8" w:rsidP="00070BFC">
      <w:pPr>
        <w:pStyle w:val="corte4fondo"/>
        <w:ind w:right="51" w:firstLine="0"/>
        <w:rPr>
          <w:rFonts w:cs="Arial"/>
          <w:sz w:val="26"/>
          <w:szCs w:val="26"/>
        </w:rPr>
      </w:pPr>
    </w:p>
    <w:p w14:paraId="444B9D37" w14:textId="184357D1" w:rsidR="00AE34D0" w:rsidRPr="00900E4D" w:rsidRDefault="00E94FFC" w:rsidP="00FF2339">
      <w:pPr>
        <w:pStyle w:val="corte4fondo"/>
        <w:numPr>
          <w:ilvl w:val="0"/>
          <w:numId w:val="2"/>
        </w:numPr>
        <w:ind w:left="0" w:right="51" w:hanging="567"/>
        <w:rPr>
          <w:rFonts w:cs="Arial"/>
          <w:sz w:val="26"/>
          <w:szCs w:val="26"/>
        </w:rPr>
      </w:pPr>
      <w:r>
        <w:rPr>
          <w:rFonts w:cs="Arial"/>
          <w:sz w:val="26"/>
          <w:szCs w:val="26"/>
          <w:lang w:val="es-MX"/>
        </w:rPr>
        <w:t>L</w:t>
      </w:r>
      <w:r w:rsidR="00D9449B">
        <w:rPr>
          <w:rFonts w:cs="Arial"/>
          <w:sz w:val="26"/>
          <w:szCs w:val="26"/>
          <w:lang w:val="es-MX"/>
        </w:rPr>
        <w:t xml:space="preserve">as manifestaciones de los </w:t>
      </w:r>
      <w:r w:rsidR="00F42FF4" w:rsidRPr="00AC13A1">
        <w:rPr>
          <w:rFonts w:cs="Arial"/>
          <w:sz w:val="26"/>
          <w:szCs w:val="26"/>
        </w:rPr>
        <w:t xml:space="preserve">dos </w:t>
      </w:r>
      <w:r w:rsidR="00AE34D0" w:rsidRPr="00453D61">
        <w:rPr>
          <w:rFonts w:cs="Arial"/>
          <w:sz w:val="26"/>
          <w:szCs w:val="26"/>
        </w:rPr>
        <w:t>representante</w:t>
      </w:r>
      <w:r w:rsidR="00F42FF4" w:rsidRPr="00453D61">
        <w:rPr>
          <w:rFonts w:cs="Arial"/>
          <w:sz w:val="26"/>
          <w:szCs w:val="26"/>
        </w:rPr>
        <w:t>s</w:t>
      </w:r>
      <w:r w:rsidR="00AE34D0" w:rsidRPr="00453D61">
        <w:rPr>
          <w:rFonts w:cs="Arial"/>
          <w:sz w:val="26"/>
          <w:szCs w:val="26"/>
        </w:rPr>
        <w:t xml:space="preserve"> de Protección Privada 2010</w:t>
      </w:r>
      <w:r w:rsidR="00D9449B" w:rsidRPr="00453D61">
        <w:rPr>
          <w:rFonts w:cs="Arial"/>
          <w:sz w:val="26"/>
          <w:szCs w:val="26"/>
        </w:rPr>
        <w:t xml:space="preserve"> </w:t>
      </w:r>
      <w:r w:rsidR="00D9449B" w:rsidRPr="00070BFC">
        <w:rPr>
          <w:rFonts w:cs="Arial"/>
          <w:color w:val="000000" w:themeColor="text1"/>
          <w:sz w:val="26"/>
          <w:szCs w:val="26"/>
        </w:rPr>
        <w:t>ante el COPRED</w:t>
      </w:r>
      <w:r w:rsidRPr="00E94FFC">
        <w:rPr>
          <w:rFonts w:cs="Arial"/>
          <w:sz w:val="26"/>
          <w:szCs w:val="26"/>
          <w:lang w:val="es-MX"/>
        </w:rPr>
        <w:t xml:space="preserve"> </w:t>
      </w:r>
      <w:r w:rsidR="00EE2D95">
        <w:rPr>
          <w:rFonts w:cs="Arial"/>
          <w:sz w:val="26"/>
          <w:szCs w:val="26"/>
          <w:lang w:val="es-MX"/>
        </w:rPr>
        <w:t>t</w:t>
      </w:r>
      <w:r>
        <w:rPr>
          <w:rFonts w:cs="Arial"/>
          <w:sz w:val="26"/>
          <w:szCs w:val="26"/>
          <w:lang w:val="es-MX"/>
        </w:rPr>
        <w:t xml:space="preserve">ambién sirven para corroborar los </w:t>
      </w:r>
      <w:r w:rsidR="00EE2D95">
        <w:rPr>
          <w:rFonts w:cs="Arial"/>
          <w:sz w:val="26"/>
          <w:szCs w:val="26"/>
          <w:lang w:val="es-MX"/>
        </w:rPr>
        <w:t xml:space="preserve">hechos </w:t>
      </w:r>
      <w:r>
        <w:rPr>
          <w:rFonts w:cs="Arial"/>
          <w:sz w:val="26"/>
          <w:szCs w:val="26"/>
          <w:lang w:val="es-MX"/>
        </w:rPr>
        <w:t>del caso</w:t>
      </w:r>
      <w:r w:rsidR="00EE2D95">
        <w:rPr>
          <w:rFonts w:cs="Arial"/>
          <w:color w:val="000000" w:themeColor="text1"/>
          <w:sz w:val="26"/>
          <w:szCs w:val="26"/>
        </w:rPr>
        <w:t>.</w:t>
      </w:r>
      <w:r w:rsidR="00AE34D0" w:rsidRPr="00070BFC">
        <w:rPr>
          <w:rFonts w:cs="Arial"/>
          <w:color w:val="000000" w:themeColor="text1"/>
          <w:sz w:val="26"/>
          <w:szCs w:val="26"/>
        </w:rPr>
        <w:t xml:space="preserve"> </w:t>
      </w:r>
      <w:r w:rsidR="009339FA">
        <w:rPr>
          <w:rFonts w:cs="Arial"/>
          <w:color w:val="000000" w:themeColor="text1"/>
          <w:sz w:val="26"/>
          <w:szCs w:val="26"/>
        </w:rPr>
        <w:t>R</w:t>
      </w:r>
      <w:r w:rsidR="004F64B0">
        <w:rPr>
          <w:rFonts w:cs="Arial"/>
          <w:color w:val="000000" w:themeColor="text1"/>
          <w:sz w:val="26"/>
          <w:szCs w:val="26"/>
        </w:rPr>
        <w:t xml:space="preserve">econocieron </w:t>
      </w:r>
      <w:r w:rsidR="00AE34D0" w:rsidRPr="00AC13A1">
        <w:rPr>
          <w:rFonts w:cs="Arial"/>
          <w:sz w:val="26"/>
          <w:szCs w:val="26"/>
        </w:rPr>
        <w:t>que</w:t>
      </w:r>
      <w:r w:rsidR="00B33171">
        <w:rPr>
          <w:rFonts w:cs="Arial"/>
          <w:sz w:val="26"/>
          <w:szCs w:val="26"/>
        </w:rPr>
        <w:t xml:space="preserve"> </w:t>
      </w:r>
      <w:r w:rsidR="004F64B0">
        <w:rPr>
          <w:rFonts w:cs="Arial"/>
          <w:sz w:val="26"/>
          <w:szCs w:val="26"/>
        </w:rPr>
        <w:t xml:space="preserve">los agentes de seguridad </w:t>
      </w:r>
      <w:r w:rsidR="00AE34D0" w:rsidRPr="00FF2339">
        <w:rPr>
          <w:rFonts w:cs="Arial"/>
          <w:sz w:val="26"/>
          <w:szCs w:val="26"/>
        </w:rPr>
        <w:t>no supieron cómo manejar la situación</w:t>
      </w:r>
      <w:r w:rsidR="00FF2339">
        <w:rPr>
          <w:rFonts w:cs="Arial"/>
          <w:sz w:val="26"/>
          <w:szCs w:val="26"/>
        </w:rPr>
        <w:t xml:space="preserve"> y que su intención no era</w:t>
      </w:r>
      <w:r w:rsidR="00AE34D0" w:rsidRPr="00FF2339">
        <w:rPr>
          <w:rFonts w:cs="Arial"/>
          <w:sz w:val="26"/>
          <w:szCs w:val="26"/>
        </w:rPr>
        <w:t xml:space="preserve"> violentar a las personas, sino protegerlas</w:t>
      </w:r>
      <w:r w:rsidR="00323C10">
        <w:rPr>
          <w:rFonts w:cs="Arial"/>
          <w:sz w:val="26"/>
          <w:szCs w:val="26"/>
        </w:rPr>
        <w:t>. Asimismo</w:t>
      </w:r>
      <w:r w:rsidR="00FF2339" w:rsidRPr="00FF2339" w:rsidDel="00323C10">
        <w:rPr>
          <w:rFonts w:cs="Arial"/>
          <w:sz w:val="26"/>
          <w:szCs w:val="26"/>
        </w:rPr>
        <w:t>,</w:t>
      </w:r>
      <w:r w:rsidR="00323C10">
        <w:rPr>
          <w:rFonts w:cs="Arial"/>
          <w:sz w:val="26"/>
          <w:szCs w:val="26"/>
        </w:rPr>
        <w:t xml:space="preserve"> ofrecieron </w:t>
      </w:r>
      <w:r w:rsidR="00FF2339" w:rsidRPr="00900E4D">
        <w:rPr>
          <w:rFonts w:cs="Arial"/>
          <w:sz w:val="26"/>
          <w:szCs w:val="26"/>
        </w:rPr>
        <w:t xml:space="preserve">una disculpa a las mujeres </w:t>
      </w:r>
      <w:r w:rsidR="00AE34D0" w:rsidRPr="00900E4D">
        <w:rPr>
          <w:rFonts w:cs="Arial"/>
          <w:sz w:val="26"/>
          <w:szCs w:val="26"/>
        </w:rPr>
        <w:t>en nombre de</w:t>
      </w:r>
      <w:r w:rsidR="00FF2339" w:rsidRPr="00900E4D">
        <w:rPr>
          <w:rFonts w:cs="Arial"/>
          <w:sz w:val="26"/>
          <w:szCs w:val="26"/>
        </w:rPr>
        <w:t xml:space="preserve">l </w:t>
      </w:r>
      <w:r w:rsidR="00AE34D0" w:rsidRPr="00900E4D">
        <w:rPr>
          <w:rFonts w:cs="Arial"/>
          <w:sz w:val="26"/>
          <w:szCs w:val="26"/>
        </w:rPr>
        <w:t xml:space="preserve">personal y </w:t>
      </w:r>
      <w:r w:rsidR="00B83E08">
        <w:rPr>
          <w:rFonts w:cs="Arial"/>
          <w:sz w:val="26"/>
          <w:szCs w:val="26"/>
        </w:rPr>
        <w:t xml:space="preserve">de </w:t>
      </w:r>
      <w:r w:rsidR="00AE34D0" w:rsidRPr="00900E4D">
        <w:rPr>
          <w:rFonts w:cs="Arial"/>
          <w:sz w:val="26"/>
          <w:szCs w:val="26"/>
        </w:rPr>
        <w:t xml:space="preserve">la empresa por la molestia e inconformidad </w:t>
      </w:r>
      <w:r w:rsidR="00A22FC3" w:rsidRPr="00900E4D">
        <w:rPr>
          <w:rFonts w:cs="Arial"/>
          <w:sz w:val="26"/>
          <w:szCs w:val="26"/>
        </w:rPr>
        <w:t>que vivieron</w:t>
      </w:r>
      <w:r w:rsidR="00AE34D0" w:rsidRPr="00900E4D">
        <w:rPr>
          <w:rFonts w:cs="Arial"/>
          <w:sz w:val="26"/>
          <w:szCs w:val="26"/>
        </w:rPr>
        <w:t xml:space="preserve">, </w:t>
      </w:r>
      <w:r w:rsidR="00A41652">
        <w:rPr>
          <w:rFonts w:cs="Arial"/>
          <w:sz w:val="26"/>
          <w:szCs w:val="26"/>
        </w:rPr>
        <w:t>y explicaron que</w:t>
      </w:r>
      <w:r w:rsidR="00A41652" w:rsidRPr="00900E4D">
        <w:rPr>
          <w:rFonts w:cs="Arial"/>
          <w:sz w:val="26"/>
          <w:szCs w:val="26"/>
        </w:rPr>
        <w:t xml:space="preserve"> </w:t>
      </w:r>
      <w:r w:rsidR="00D856C8" w:rsidRPr="00900E4D">
        <w:rPr>
          <w:rFonts w:cs="Arial"/>
          <w:sz w:val="26"/>
          <w:szCs w:val="26"/>
        </w:rPr>
        <w:t xml:space="preserve">el </w:t>
      </w:r>
      <w:r w:rsidR="00AE34D0" w:rsidRPr="00900E4D">
        <w:rPr>
          <w:rFonts w:cs="Arial"/>
          <w:sz w:val="26"/>
          <w:szCs w:val="26"/>
        </w:rPr>
        <w:t>personal no supo cómo manejar la situación</w:t>
      </w:r>
      <w:r w:rsidR="00D856C8" w:rsidRPr="00900E4D">
        <w:rPr>
          <w:rFonts w:cs="Arial"/>
          <w:sz w:val="26"/>
          <w:szCs w:val="26"/>
        </w:rPr>
        <w:t>, dado</w:t>
      </w:r>
      <w:r w:rsidR="00AE34D0" w:rsidRPr="00900E4D">
        <w:rPr>
          <w:rFonts w:cs="Arial"/>
          <w:sz w:val="26"/>
          <w:szCs w:val="26"/>
        </w:rPr>
        <w:t xml:space="preserve"> que son temas nuevos que no conocen completamente. </w:t>
      </w:r>
    </w:p>
    <w:p w14:paraId="45B0ECA8" w14:textId="77777777" w:rsidR="00D91046" w:rsidRPr="00900E4D" w:rsidRDefault="00D91046" w:rsidP="00D91046">
      <w:pPr>
        <w:pStyle w:val="corte4fondo"/>
        <w:ind w:right="51" w:firstLine="0"/>
        <w:rPr>
          <w:rFonts w:cs="Arial"/>
          <w:sz w:val="26"/>
          <w:szCs w:val="26"/>
        </w:rPr>
      </w:pPr>
    </w:p>
    <w:p w14:paraId="7A5B59DE" w14:textId="312B229B" w:rsidR="00832CDA" w:rsidRPr="00453D61" w:rsidRDefault="00D91046" w:rsidP="00D91046">
      <w:pPr>
        <w:pStyle w:val="corte4fondo"/>
        <w:numPr>
          <w:ilvl w:val="0"/>
          <w:numId w:val="2"/>
        </w:numPr>
        <w:ind w:left="0" w:right="51" w:hanging="567"/>
        <w:rPr>
          <w:rFonts w:cs="Arial"/>
          <w:sz w:val="26"/>
          <w:szCs w:val="26"/>
        </w:rPr>
      </w:pPr>
      <w:r w:rsidRPr="00900E4D">
        <w:rPr>
          <w:rFonts w:cs="Arial"/>
          <w:sz w:val="26"/>
          <w:szCs w:val="26"/>
        </w:rPr>
        <w:t>Finalmente</w:t>
      </w:r>
      <w:r w:rsidR="00832CDA" w:rsidRPr="00900E4D">
        <w:rPr>
          <w:rFonts w:cs="Arial"/>
          <w:sz w:val="26"/>
          <w:szCs w:val="26"/>
        </w:rPr>
        <w:t xml:space="preserve">, </w:t>
      </w:r>
      <w:r w:rsidRPr="00900E4D">
        <w:rPr>
          <w:rFonts w:cs="Arial"/>
          <w:sz w:val="26"/>
          <w:szCs w:val="26"/>
        </w:rPr>
        <w:t xml:space="preserve">resaltamos que </w:t>
      </w:r>
      <w:r w:rsidR="00832CDA" w:rsidRPr="00900E4D">
        <w:rPr>
          <w:rFonts w:cs="Arial"/>
          <w:sz w:val="26"/>
          <w:szCs w:val="26"/>
        </w:rPr>
        <w:t xml:space="preserve">el relato </w:t>
      </w:r>
      <w:r w:rsidRPr="00900E4D">
        <w:rPr>
          <w:rFonts w:cs="Arial"/>
          <w:sz w:val="26"/>
          <w:szCs w:val="26"/>
        </w:rPr>
        <w:t xml:space="preserve">de los hechos </w:t>
      </w:r>
      <w:r w:rsidR="00417546">
        <w:rPr>
          <w:rFonts w:cs="Arial"/>
          <w:sz w:val="26"/>
          <w:szCs w:val="26"/>
        </w:rPr>
        <w:t>expuesto</w:t>
      </w:r>
      <w:r w:rsidR="00417546" w:rsidRPr="00900E4D">
        <w:rPr>
          <w:rFonts w:cs="Arial"/>
          <w:sz w:val="26"/>
          <w:szCs w:val="26"/>
        </w:rPr>
        <w:t xml:space="preserve"> </w:t>
      </w:r>
      <w:r w:rsidRPr="00900E4D">
        <w:rPr>
          <w:rFonts w:cs="Arial"/>
          <w:sz w:val="26"/>
          <w:szCs w:val="26"/>
        </w:rPr>
        <w:t xml:space="preserve">en la queja presentada ante el COPRED coincide </w:t>
      </w:r>
      <w:r w:rsidR="004B186E">
        <w:rPr>
          <w:rFonts w:cs="Arial"/>
          <w:sz w:val="26"/>
          <w:szCs w:val="26"/>
        </w:rPr>
        <w:t>sustancialmente</w:t>
      </w:r>
      <w:r w:rsidR="004B186E" w:rsidRPr="00900E4D">
        <w:rPr>
          <w:rFonts w:cs="Arial"/>
          <w:sz w:val="26"/>
          <w:szCs w:val="26"/>
        </w:rPr>
        <w:t xml:space="preserve"> </w:t>
      </w:r>
      <w:r w:rsidRPr="00900E4D">
        <w:rPr>
          <w:rFonts w:cs="Arial"/>
          <w:sz w:val="26"/>
          <w:szCs w:val="26"/>
        </w:rPr>
        <w:t>con los planteados en la demanda civil de la que derivó el presente juicio de amparo directo</w:t>
      </w:r>
      <w:r w:rsidR="004B186E">
        <w:rPr>
          <w:rFonts w:cs="Arial"/>
          <w:sz w:val="26"/>
          <w:szCs w:val="26"/>
        </w:rPr>
        <w:t>.</w:t>
      </w:r>
      <w:r w:rsidR="003C6BDA" w:rsidRPr="00900E4D">
        <w:rPr>
          <w:rFonts w:cs="Arial"/>
          <w:sz w:val="26"/>
          <w:szCs w:val="26"/>
        </w:rPr>
        <w:t xml:space="preserve"> </w:t>
      </w:r>
      <w:r w:rsidR="000C4591">
        <w:rPr>
          <w:rFonts w:cs="Arial"/>
          <w:sz w:val="26"/>
          <w:szCs w:val="26"/>
        </w:rPr>
        <w:t>E</w:t>
      </w:r>
      <w:r w:rsidR="00A9314A">
        <w:rPr>
          <w:rFonts w:cs="Arial"/>
          <w:sz w:val="26"/>
          <w:szCs w:val="26"/>
        </w:rPr>
        <w:t>n particular,</w:t>
      </w:r>
      <w:r w:rsidR="003C6BDA" w:rsidRPr="00900E4D">
        <w:rPr>
          <w:rFonts w:cs="Arial"/>
          <w:sz w:val="26"/>
          <w:szCs w:val="26"/>
        </w:rPr>
        <w:t xml:space="preserve"> </w:t>
      </w:r>
      <w:r w:rsidR="000C4591">
        <w:rPr>
          <w:rFonts w:cs="Arial"/>
          <w:sz w:val="26"/>
          <w:szCs w:val="26"/>
        </w:rPr>
        <w:t>se refieren a</w:t>
      </w:r>
      <w:r w:rsidR="003C6BDA" w:rsidRPr="00900E4D">
        <w:rPr>
          <w:rFonts w:cs="Arial"/>
          <w:sz w:val="26"/>
          <w:szCs w:val="26"/>
        </w:rPr>
        <w:t xml:space="preserve"> la negativa</w:t>
      </w:r>
      <w:r w:rsidR="000C4591">
        <w:rPr>
          <w:rFonts w:cs="Arial"/>
          <w:sz w:val="26"/>
          <w:szCs w:val="26"/>
        </w:rPr>
        <w:t xml:space="preserve"> y</w:t>
      </w:r>
      <w:r w:rsidR="003C6BDA" w:rsidRPr="00900E4D">
        <w:rPr>
          <w:rFonts w:cs="Arial"/>
          <w:sz w:val="26"/>
          <w:szCs w:val="26"/>
        </w:rPr>
        <w:t xml:space="preserve"> obstaculización del personal de seguridad </w:t>
      </w:r>
      <w:r w:rsidR="00B12916" w:rsidRPr="00900E4D">
        <w:rPr>
          <w:rFonts w:cs="Arial"/>
          <w:sz w:val="26"/>
          <w:szCs w:val="26"/>
        </w:rPr>
        <w:t xml:space="preserve">del centro comercial </w:t>
      </w:r>
      <w:r w:rsidR="003C6BDA" w:rsidRPr="00900E4D">
        <w:rPr>
          <w:rFonts w:cs="Arial"/>
          <w:sz w:val="26"/>
          <w:szCs w:val="26"/>
        </w:rPr>
        <w:t xml:space="preserve">para que las señoras </w:t>
      </w:r>
      <w:r w:rsidR="003C6BDA" w:rsidRPr="00900E4D">
        <w:rPr>
          <w:rFonts w:cs="Arial"/>
          <w:color w:val="FF0000"/>
          <w:sz w:val="26"/>
          <w:szCs w:val="26"/>
          <w:lang w:val="es-ES"/>
        </w:rPr>
        <w:t xml:space="preserve">DF </w:t>
      </w:r>
      <w:r w:rsidR="003C6BDA" w:rsidRPr="00900E4D">
        <w:rPr>
          <w:rFonts w:cs="Arial"/>
          <w:color w:val="000000" w:themeColor="text1"/>
          <w:sz w:val="26"/>
          <w:szCs w:val="26"/>
          <w:lang w:val="es-ES"/>
        </w:rPr>
        <w:t xml:space="preserve">y </w:t>
      </w:r>
      <w:r w:rsidR="003C6BDA" w:rsidRPr="00900E4D">
        <w:rPr>
          <w:rFonts w:cs="Arial"/>
          <w:color w:val="FF0000"/>
          <w:sz w:val="26"/>
          <w:szCs w:val="26"/>
          <w:lang w:val="es-ES"/>
        </w:rPr>
        <w:t>MF</w:t>
      </w:r>
      <w:r w:rsidR="003C6BDA" w:rsidRPr="00900E4D">
        <w:rPr>
          <w:rFonts w:cs="Arial"/>
          <w:color w:val="000000" w:themeColor="text1"/>
          <w:sz w:val="26"/>
          <w:szCs w:val="26"/>
          <w:lang w:val="es-ES"/>
        </w:rPr>
        <w:t xml:space="preserve"> accedieran a los sanitarios de mujeres, así como</w:t>
      </w:r>
      <w:r w:rsidR="00140130">
        <w:rPr>
          <w:rFonts w:cs="Arial"/>
          <w:color w:val="000000" w:themeColor="text1"/>
          <w:sz w:val="26"/>
          <w:szCs w:val="26"/>
          <w:lang w:val="es-ES"/>
        </w:rPr>
        <w:t xml:space="preserve"> </w:t>
      </w:r>
      <w:r w:rsidR="003C6BDA" w:rsidRPr="00900E4D">
        <w:rPr>
          <w:rFonts w:cs="Arial"/>
          <w:color w:val="000000" w:themeColor="text1"/>
          <w:sz w:val="26"/>
          <w:szCs w:val="26"/>
          <w:lang w:val="es-ES"/>
        </w:rPr>
        <w:t xml:space="preserve">al trato indiferente y agresivo </w:t>
      </w:r>
      <w:r w:rsidR="00435B31" w:rsidRPr="00900E4D">
        <w:rPr>
          <w:rFonts w:cs="Arial"/>
          <w:color w:val="000000" w:themeColor="text1"/>
          <w:sz w:val="26"/>
          <w:szCs w:val="26"/>
          <w:lang w:val="es-ES"/>
        </w:rPr>
        <w:t>realizado por el personal del centro comercial y los guardias de seguridad, mientras l</w:t>
      </w:r>
      <w:r w:rsidR="003C6BDA" w:rsidRPr="00900E4D">
        <w:rPr>
          <w:rFonts w:cs="Arial"/>
          <w:color w:val="000000" w:themeColor="text1"/>
          <w:sz w:val="26"/>
          <w:szCs w:val="26"/>
          <w:lang w:val="es-ES"/>
        </w:rPr>
        <w:t xml:space="preserve">as señoras </w:t>
      </w:r>
      <w:r w:rsidR="003C6BDA" w:rsidRPr="00900E4D">
        <w:rPr>
          <w:rFonts w:cs="Arial"/>
          <w:color w:val="FF0000"/>
          <w:sz w:val="26"/>
          <w:szCs w:val="26"/>
          <w:lang w:val="es-ES"/>
        </w:rPr>
        <w:t>DF</w:t>
      </w:r>
      <w:r w:rsidR="003C6BDA" w:rsidRPr="00900E4D">
        <w:rPr>
          <w:rFonts w:cs="Arial"/>
          <w:color w:val="000000" w:themeColor="text1"/>
          <w:sz w:val="26"/>
          <w:szCs w:val="26"/>
          <w:lang w:val="es-ES"/>
        </w:rPr>
        <w:t xml:space="preserve">, </w:t>
      </w:r>
      <w:r w:rsidR="003C6BDA" w:rsidRPr="00900E4D">
        <w:rPr>
          <w:rFonts w:cs="Arial"/>
          <w:color w:val="FF0000"/>
          <w:sz w:val="26"/>
          <w:szCs w:val="26"/>
          <w:lang w:val="es-ES"/>
        </w:rPr>
        <w:t xml:space="preserve">MF </w:t>
      </w:r>
      <w:r w:rsidR="003C6BDA" w:rsidRPr="00900E4D">
        <w:rPr>
          <w:rFonts w:cs="Arial"/>
          <w:color w:val="000000" w:themeColor="text1"/>
          <w:sz w:val="26"/>
          <w:szCs w:val="26"/>
          <w:lang w:val="es-ES"/>
        </w:rPr>
        <w:t xml:space="preserve">y </w:t>
      </w:r>
      <w:r w:rsidR="003C6BDA" w:rsidRPr="00900E4D">
        <w:rPr>
          <w:rFonts w:cs="Arial"/>
          <w:color w:val="FF0000"/>
          <w:sz w:val="26"/>
          <w:szCs w:val="26"/>
          <w:lang w:val="es-ES"/>
        </w:rPr>
        <w:t xml:space="preserve">GB </w:t>
      </w:r>
      <w:r w:rsidR="00435B31" w:rsidRPr="00900E4D">
        <w:rPr>
          <w:rFonts w:cs="Arial"/>
          <w:color w:val="000000" w:themeColor="text1"/>
          <w:sz w:val="26"/>
          <w:szCs w:val="26"/>
          <w:lang w:val="es-ES"/>
        </w:rPr>
        <w:t>intentaban presentar una queja en el módulo de quejas</w:t>
      </w:r>
      <w:r w:rsidRPr="00900E4D">
        <w:rPr>
          <w:rFonts w:cs="Arial"/>
          <w:color w:val="000000" w:themeColor="text1"/>
          <w:sz w:val="26"/>
          <w:szCs w:val="26"/>
        </w:rPr>
        <w:t xml:space="preserve">. </w:t>
      </w:r>
      <w:r w:rsidR="00BB0508" w:rsidRPr="00900E4D">
        <w:rPr>
          <w:rFonts w:cs="Arial"/>
          <w:color w:val="000000" w:themeColor="text1"/>
          <w:sz w:val="26"/>
          <w:szCs w:val="26"/>
        </w:rPr>
        <w:t>A</w:t>
      </w:r>
      <w:r w:rsidR="00BB0508">
        <w:rPr>
          <w:rFonts w:cs="Arial"/>
          <w:color w:val="000000" w:themeColor="text1"/>
          <w:sz w:val="26"/>
          <w:szCs w:val="26"/>
        </w:rPr>
        <w:t>demás</w:t>
      </w:r>
      <w:r w:rsidRPr="00900E4D">
        <w:rPr>
          <w:rFonts w:cs="Arial"/>
          <w:color w:val="000000" w:themeColor="text1"/>
          <w:sz w:val="26"/>
          <w:szCs w:val="26"/>
        </w:rPr>
        <w:t>,</w:t>
      </w:r>
      <w:r w:rsidRPr="00900E4D" w:rsidDel="00BB0508">
        <w:rPr>
          <w:rFonts w:cs="Arial"/>
          <w:color w:val="000000" w:themeColor="text1"/>
          <w:sz w:val="26"/>
          <w:szCs w:val="26"/>
        </w:rPr>
        <w:t xml:space="preserve"> </w:t>
      </w:r>
      <w:r w:rsidR="00BB0508">
        <w:rPr>
          <w:rFonts w:cs="Arial"/>
          <w:sz w:val="26"/>
          <w:szCs w:val="26"/>
        </w:rPr>
        <w:t>estos</w:t>
      </w:r>
      <w:r w:rsidR="00BB0508" w:rsidRPr="00900E4D">
        <w:rPr>
          <w:rFonts w:cs="Arial"/>
          <w:sz w:val="26"/>
          <w:szCs w:val="26"/>
        </w:rPr>
        <w:t xml:space="preserve"> </w:t>
      </w:r>
      <w:r w:rsidRPr="00900E4D">
        <w:rPr>
          <w:rFonts w:cs="Arial"/>
          <w:sz w:val="26"/>
          <w:szCs w:val="26"/>
        </w:rPr>
        <w:t xml:space="preserve">hechos </w:t>
      </w:r>
      <w:r w:rsidR="00BB0508">
        <w:rPr>
          <w:rFonts w:cs="Arial"/>
          <w:sz w:val="26"/>
          <w:szCs w:val="26"/>
        </w:rPr>
        <w:t>coinciden</w:t>
      </w:r>
      <w:r w:rsidRPr="00900E4D">
        <w:rPr>
          <w:rFonts w:cs="Arial"/>
          <w:sz w:val="26"/>
          <w:szCs w:val="26"/>
        </w:rPr>
        <w:t xml:space="preserve"> con lo </w:t>
      </w:r>
      <w:r w:rsidR="00176A1E" w:rsidRPr="00900E4D">
        <w:rPr>
          <w:rFonts w:cs="Arial"/>
          <w:sz w:val="26"/>
          <w:szCs w:val="26"/>
        </w:rPr>
        <w:t xml:space="preserve">manifestado por las hoy </w:t>
      </w:r>
      <w:r w:rsidR="00176A1E" w:rsidRPr="00453D61">
        <w:rPr>
          <w:rFonts w:cs="Arial"/>
          <w:sz w:val="26"/>
          <w:szCs w:val="26"/>
        </w:rPr>
        <w:t xml:space="preserve">quejosas </w:t>
      </w:r>
      <w:r w:rsidR="00227786" w:rsidRPr="00453D61">
        <w:rPr>
          <w:rFonts w:cs="Arial"/>
          <w:sz w:val="26"/>
          <w:szCs w:val="26"/>
        </w:rPr>
        <w:t>durante la audiencia de conciliación celebrada con</w:t>
      </w:r>
      <w:r w:rsidR="00176A1E" w:rsidRPr="00453D61">
        <w:rPr>
          <w:rFonts w:cs="Arial"/>
          <w:sz w:val="26"/>
          <w:szCs w:val="26"/>
        </w:rPr>
        <w:t xml:space="preserve"> las empresas Protección Privada 2010 y Reforma 222</w:t>
      </w:r>
      <w:r w:rsidR="00176A1E" w:rsidRPr="00453D61" w:rsidDel="00227786">
        <w:rPr>
          <w:rFonts w:cs="Arial"/>
          <w:sz w:val="26"/>
          <w:szCs w:val="26"/>
        </w:rPr>
        <w:t xml:space="preserve">. </w:t>
      </w:r>
    </w:p>
    <w:p w14:paraId="63E39918" w14:textId="77777777" w:rsidR="00AE34D0" w:rsidRPr="00706A91" w:rsidRDefault="00AE34D0" w:rsidP="00070BFC">
      <w:pPr>
        <w:pStyle w:val="corte4fondo"/>
        <w:ind w:firstLine="0"/>
        <w:rPr>
          <w:rFonts w:cs="Arial"/>
          <w:sz w:val="26"/>
          <w:szCs w:val="26"/>
        </w:rPr>
      </w:pPr>
    </w:p>
    <w:p w14:paraId="38D57A94" w14:textId="724C5F26" w:rsidR="00C34AB7" w:rsidRPr="00A968B5" w:rsidRDefault="001905A0" w:rsidP="00070BFC">
      <w:pPr>
        <w:pStyle w:val="corte4fondo"/>
        <w:numPr>
          <w:ilvl w:val="0"/>
          <w:numId w:val="2"/>
        </w:numPr>
        <w:ind w:left="0" w:right="51" w:hanging="567"/>
        <w:rPr>
          <w:rFonts w:cs="Arial"/>
          <w:b/>
          <w:bCs/>
          <w:sz w:val="26"/>
          <w:szCs w:val="26"/>
          <w:u w:val="single"/>
        </w:rPr>
      </w:pPr>
      <w:r w:rsidRPr="00900E4D">
        <w:rPr>
          <w:rFonts w:cs="Arial"/>
          <w:sz w:val="26"/>
          <w:szCs w:val="26"/>
          <w:lang w:val="es-MX"/>
        </w:rPr>
        <w:t xml:space="preserve">Por </w:t>
      </w:r>
      <w:r w:rsidR="00890C85" w:rsidRPr="00900E4D">
        <w:rPr>
          <w:rFonts w:cs="Arial"/>
          <w:sz w:val="26"/>
          <w:szCs w:val="26"/>
          <w:lang w:val="es-MX"/>
        </w:rPr>
        <w:t>otra</w:t>
      </w:r>
      <w:r w:rsidRPr="00900E4D">
        <w:rPr>
          <w:rFonts w:cs="Arial"/>
          <w:sz w:val="26"/>
          <w:szCs w:val="26"/>
          <w:lang w:val="es-MX"/>
        </w:rPr>
        <w:t xml:space="preserve"> parte, </w:t>
      </w:r>
      <w:r w:rsidR="00037CD5" w:rsidRPr="00900E4D">
        <w:rPr>
          <w:rFonts w:cs="Arial"/>
          <w:sz w:val="26"/>
          <w:szCs w:val="26"/>
          <w:lang w:val="es-MX"/>
        </w:rPr>
        <w:t xml:space="preserve">contrario a lo estimado por la sala responsable, consideramos que </w:t>
      </w:r>
      <w:r w:rsidRPr="00900E4D">
        <w:rPr>
          <w:rFonts w:cs="Arial"/>
          <w:sz w:val="26"/>
          <w:szCs w:val="26"/>
          <w:lang w:val="es-MX"/>
        </w:rPr>
        <w:t xml:space="preserve">la declaración del testigo </w:t>
      </w:r>
      <w:r w:rsidR="002B6FBD" w:rsidRPr="00900E4D">
        <w:rPr>
          <w:rFonts w:cs="Arial"/>
          <w:color w:val="FF0000"/>
          <w:sz w:val="26"/>
          <w:szCs w:val="26"/>
        </w:rPr>
        <w:t>RJBB</w:t>
      </w:r>
      <w:r w:rsidR="002B6FBD" w:rsidRPr="00900E4D">
        <w:rPr>
          <w:rFonts w:cs="Arial"/>
          <w:color w:val="000000" w:themeColor="text1"/>
          <w:sz w:val="26"/>
          <w:szCs w:val="26"/>
        </w:rPr>
        <w:t xml:space="preserve"> </w:t>
      </w:r>
      <w:r w:rsidR="00037CD5" w:rsidRPr="00900E4D">
        <w:rPr>
          <w:rFonts w:cs="Arial"/>
          <w:color w:val="000000" w:themeColor="text1"/>
          <w:sz w:val="26"/>
          <w:szCs w:val="26"/>
        </w:rPr>
        <w:t>sí c</w:t>
      </w:r>
      <w:r w:rsidR="002B6FBD" w:rsidRPr="00900E4D">
        <w:rPr>
          <w:rFonts w:cs="Arial"/>
          <w:color w:val="000000" w:themeColor="text1"/>
          <w:sz w:val="26"/>
          <w:szCs w:val="26"/>
        </w:rPr>
        <w:t xml:space="preserve">oincide esencialmente </w:t>
      </w:r>
      <w:r w:rsidR="00DF2700" w:rsidRPr="00900E4D">
        <w:rPr>
          <w:rFonts w:cs="Arial"/>
          <w:color w:val="000000" w:themeColor="text1"/>
          <w:sz w:val="26"/>
          <w:szCs w:val="26"/>
        </w:rPr>
        <w:t>con l</w:t>
      </w:r>
      <w:r w:rsidR="00037CD5" w:rsidRPr="00900E4D">
        <w:rPr>
          <w:rFonts w:cs="Arial"/>
          <w:color w:val="000000" w:themeColor="text1"/>
          <w:sz w:val="26"/>
          <w:szCs w:val="26"/>
        </w:rPr>
        <w:t xml:space="preserve">os hechos narrados </w:t>
      </w:r>
      <w:r w:rsidR="00DF2700" w:rsidRPr="00900E4D">
        <w:rPr>
          <w:rFonts w:cs="Arial"/>
          <w:color w:val="000000" w:themeColor="text1"/>
          <w:sz w:val="26"/>
          <w:szCs w:val="26"/>
        </w:rPr>
        <w:t>por las actoras</w:t>
      </w:r>
      <w:r w:rsidR="00591D6B" w:rsidRPr="00900E4D">
        <w:rPr>
          <w:rFonts w:cs="Arial"/>
          <w:color w:val="000000" w:themeColor="text1"/>
          <w:sz w:val="26"/>
          <w:szCs w:val="26"/>
        </w:rPr>
        <w:t xml:space="preserve"> en su demanda inicial</w:t>
      </w:r>
      <w:r w:rsidR="00AF0EF2">
        <w:rPr>
          <w:rFonts w:cs="Arial"/>
          <w:color w:val="000000" w:themeColor="text1"/>
          <w:sz w:val="26"/>
          <w:szCs w:val="26"/>
        </w:rPr>
        <w:t>. El señor</w:t>
      </w:r>
      <w:r w:rsidR="00DF2700" w:rsidRPr="00900E4D">
        <w:rPr>
          <w:rFonts w:cs="Arial"/>
          <w:color w:val="000000" w:themeColor="text1"/>
          <w:sz w:val="26"/>
          <w:szCs w:val="26"/>
        </w:rPr>
        <w:t xml:space="preserve"> declaró haberse presentado al sanitario de mujeres con su cámara, </w:t>
      </w:r>
      <w:r w:rsidR="00C67038" w:rsidRPr="00900E4D">
        <w:rPr>
          <w:rFonts w:cs="Arial"/>
          <w:color w:val="000000" w:themeColor="text1"/>
          <w:sz w:val="26"/>
          <w:szCs w:val="26"/>
        </w:rPr>
        <w:t xml:space="preserve">y, mientras esperaba que las </w:t>
      </w:r>
      <w:r w:rsidR="0006699C" w:rsidRPr="00900E4D">
        <w:rPr>
          <w:rFonts w:cs="Arial"/>
          <w:color w:val="000000" w:themeColor="text1"/>
          <w:sz w:val="26"/>
          <w:szCs w:val="26"/>
        </w:rPr>
        <w:t xml:space="preserve">señoras </w:t>
      </w:r>
      <w:r w:rsidR="00655670" w:rsidRPr="00900E4D">
        <w:rPr>
          <w:rFonts w:cs="Arial"/>
          <w:color w:val="FF0000"/>
          <w:sz w:val="26"/>
          <w:szCs w:val="26"/>
          <w:lang w:val="es-ES"/>
        </w:rPr>
        <w:t xml:space="preserve">DF </w:t>
      </w:r>
      <w:r w:rsidR="00655670" w:rsidRPr="00900E4D">
        <w:rPr>
          <w:rFonts w:cs="Arial"/>
          <w:color w:val="000000" w:themeColor="text1"/>
          <w:sz w:val="26"/>
          <w:szCs w:val="26"/>
          <w:lang w:val="es-ES"/>
        </w:rPr>
        <w:t xml:space="preserve">y </w:t>
      </w:r>
      <w:r w:rsidR="00655670" w:rsidRPr="00900E4D">
        <w:rPr>
          <w:rFonts w:cs="Arial"/>
          <w:color w:val="FF0000"/>
          <w:sz w:val="26"/>
          <w:szCs w:val="26"/>
          <w:lang w:val="es-ES"/>
        </w:rPr>
        <w:t>MF</w:t>
      </w:r>
      <w:r w:rsidR="00655670" w:rsidRPr="00900E4D" w:rsidDel="00655670">
        <w:rPr>
          <w:rFonts w:cs="Arial"/>
          <w:color w:val="FF0000"/>
          <w:sz w:val="26"/>
          <w:szCs w:val="26"/>
        </w:rPr>
        <w:t xml:space="preserve"> </w:t>
      </w:r>
      <w:r w:rsidR="00C67038" w:rsidRPr="00900E4D">
        <w:rPr>
          <w:rFonts w:cs="Arial"/>
          <w:color w:val="000000" w:themeColor="text1"/>
          <w:sz w:val="26"/>
          <w:szCs w:val="26"/>
        </w:rPr>
        <w:t>salieran del sanitario, observó que el personal de seguridad no</w:t>
      </w:r>
      <w:r w:rsidR="00C67038" w:rsidRPr="00706A91">
        <w:rPr>
          <w:rFonts w:cs="Arial"/>
          <w:color w:val="000000" w:themeColor="text1"/>
          <w:sz w:val="26"/>
          <w:szCs w:val="26"/>
        </w:rPr>
        <w:t xml:space="preserve"> </w:t>
      </w:r>
      <w:r w:rsidR="0006699C" w:rsidRPr="00706A91">
        <w:rPr>
          <w:rFonts w:cs="Arial"/>
          <w:color w:val="000000" w:themeColor="text1"/>
          <w:sz w:val="26"/>
          <w:szCs w:val="26"/>
        </w:rPr>
        <w:t>permitía a otras mujeres entrar,</w:t>
      </w:r>
      <w:r w:rsidR="006F7C7B" w:rsidRPr="00706A91">
        <w:rPr>
          <w:rFonts w:cs="Arial"/>
          <w:color w:val="000000" w:themeColor="text1"/>
          <w:sz w:val="26"/>
          <w:szCs w:val="26"/>
        </w:rPr>
        <w:t xml:space="preserve"> </w:t>
      </w:r>
      <w:r w:rsidR="00C34AB7" w:rsidRPr="00706A91">
        <w:rPr>
          <w:rFonts w:cs="Arial"/>
          <w:color w:val="000000" w:themeColor="text1"/>
          <w:sz w:val="26"/>
          <w:szCs w:val="26"/>
        </w:rPr>
        <w:t>dado que</w:t>
      </w:r>
      <w:r w:rsidR="006F7C7B" w:rsidRPr="00706A91">
        <w:rPr>
          <w:rFonts w:cs="Arial"/>
          <w:color w:val="000000" w:themeColor="text1"/>
          <w:sz w:val="26"/>
          <w:szCs w:val="26"/>
        </w:rPr>
        <w:t xml:space="preserve"> había “dos hombres en el baño</w:t>
      </w:r>
      <w:r w:rsidR="00C34AB7" w:rsidRPr="00706A91">
        <w:rPr>
          <w:rFonts w:cs="Arial"/>
          <w:color w:val="000000" w:themeColor="text1"/>
          <w:sz w:val="26"/>
          <w:szCs w:val="26"/>
        </w:rPr>
        <w:t>”</w:t>
      </w:r>
      <w:r w:rsidR="006F7C7B" w:rsidRPr="00706A91">
        <w:rPr>
          <w:rFonts w:cs="Arial"/>
          <w:color w:val="000000" w:themeColor="text1"/>
          <w:sz w:val="26"/>
          <w:szCs w:val="26"/>
        </w:rPr>
        <w:t>. As</w:t>
      </w:r>
      <w:r w:rsidR="006F7C7B" w:rsidRPr="007D7EC6">
        <w:rPr>
          <w:rFonts w:cs="Arial"/>
          <w:color w:val="000000" w:themeColor="text1"/>
          <w:sz w:val="26"/>
          <w:szCs w:val="26"/>
        </w:rPr>
        <w:t>imismo, el testigo declaró que</w:t>
      </w:r>
      <w:r w:rsidR="002B6FBD" w:rsidRPr="007D7EC6">
        <w:rPr>
          <w:rFonts w:cs="Arial"/>
          <w:sz w:val="26"/>
          <w:szCs w:val="26"/>
        </w:rPr>
        <w:t xml:space="preserve"> pud</w:t>
      </w:r>
      <w:r w:rsidR="006F7C7B" w:rsidRPr="007D7EC6">
        <w:rPr>
          <w:rFonts w:cs="Arial"/>
          <w:sz w:val="26"/>
          <w:szCs w:val="26"/>
        </w:rPr>
        <w:t>o</w:t>
      </w:r>
      <w:r w:rsidR="002B6FBD" w:rsidRPr="007D7EC6">
        <w:rPr>
          <w:rFonts w:cs="Arial"/>
          <w:sz w:val="26"/>
          <w:szCs w:val="26"/>
        </w:rPr>
        <w:t xml:space="preserve"> grabar parte de</w:t>
      </w:r>
      <w:r w:rsidR="006F7C7B" w:rsidRPr="007D7EC6">
        <w:rPr>
          <w:rFonts w:cs="Arial"/>
          <w:sz w:val="26"/>
          <w:szCs w:val="26"/>
        </w:rPr>
        <w:t xml:space="preserve"> los </w:t>
      </w:r>
      <w:r w:rsidR="006F7C7B" w:rsidRPr="007D7EC6">
        <w:rPr>
          <w:rFonts w:cs="Arial"/>
          <w:sz w:val="26"/>
          <w:szCs w:val="26"/>
        </w:rPr>
        <w:lastRenderedPageBreak/>
        <w:t>hechos</w:t>
      </w:r>
      <w:r w:rsidR="002B6FBD" w:rsidRPr="007D7EC6">
        <w:rPr>
          <w:rStyle w:val="Refdenotaalpie"/>
          <w:rFonts w:cs="Arial"/>
          <w:sz w:val="26"/>
          <w:szCs w:val="26"/>
        </w:rPr>
        <w:footnoteReference w:id="69"/>
      </w:r>
      <w:r w:rsidR="002B6FBD" w:rsidRPr="007D7EC6">
        <w:rPr>
          <w:rFonts w:cs="Arial"/>
          <w:sz w:val="26"/>
          <w:szCs w:val="26"/>
        </w:rPr>
        <w:t xml:space="preserve">. </w:t>
      </w:r>
      <w:r w:rsidR="004546FE" w:rsidRPr="007D7EC6">
        <w:rPr>
          <w:rFonts w:cs="Arial"/>
          <w:sz w:val="26"/>
          <w:szCs w:val="26"/>
        </w:rPr>
        <w:t>E</w:t>
      </w:r>
      <w:r w:rsidR="001E309A" w:rsidRPr="007D7EC6">
        <w:rPr>
          <w:rFonts w:cs="Arial"/>
          <w:sz w:val="26"/>
          <w:szCs w:val="26"/>
        </w:rPr>
        <w:t xml:space="preserve">n este </w:t>
      </w:r>
      <w:r w:rsidR="004546FE" w:rsidRPr="007D7EC6">
        <w:rPr>
          <w:rFonts w:cs="Arial"/>
          <w:sz w:val="26"/>
          <w:szCs w:val="26"/>
        </w:rPr>
        <w:t xml:space="preserve">punto, </w:t>
      </w:r>
      <w:r w:rsidR="005C1A78" w:rsidRPr="007D7EC6">
        <w:rPr>
          <w:rFonts w:cs="Arial"/>
          <w:sz w:val="26"/>
          <w:szCs w:val="26"/>
        </w:rPr>
        <w:t xml:space="preserve">advertimos que la sala de apelación no tomó en consideración que </w:t>
      </w:r>
      <w:r w:rsidR="00B30E7D" w:rsidRPr="007D7EC6">
        <w:rPr>
          <w:rFonts w:cs="Arial"/>
          <w:sz w:val="26"/>
          <w:szCs w:val="26"/>
        </w:rPr>
        <w:t xml:space="preserve">la grabación de los hechos </w:t>
      </w:r>
      <w:r w:rsidR="001E309A" w:rsidRPr="007D7EC6">
        <w:rPr>
          <w:rFonts w:cs="Arial"/>
          <w:sz w:val="26"/>
          <w:szCs w:val="26"/>
        </w:rPr>
        <w:t xml:space="preserve">por parte del señor </w:t>
      </w:r>
      <w:r w:rsidR="001E309A" w:rsidRPr="007D7EC6">
        <w:rPr>
          <w:rFonts w:cs="Arial"/>
          <w:color w:val="FF0000"/>
          <w:sz w:val="26"/>
          <w:szCs w:val="26"/>
        </w:rPr>
        <w:t>B</w:t>
      </w:r>
      <w:r w:rsidR="001F610B" w:rsidRPr="007D7EC6">
        <w:rPr>
          <w:rFonts w:cs="Arial"/>
          <w:color w:val="FF0000"/>
          <w:sz w:val="26"/>
          <w:szCs w:val="26"/>
        </w:rPr>
        <w:t>B</w:t>
      </w:r>
      <w:r w:rsidR="001E309A" w:rsidRPr="007D7EC6">
        <w:rPr>
          <w:rFonts w:cs="Arial"/>
          <w:color w:val="FF0000"/>
          <w:sz w:val="26"/>
          <w:szCs w:val="26"/>
        </w:rPr>
        <w:t xml:space="preserve"> </w:t>
      </w:r>
      <w:r w:rsidR="00B30E7D" w:rsidRPr="007D7EC6">
        <w:rPr>
          <w:rFonts w:cs="Arial"/>
          <w:sz w:val="26"/>
          <w:szCs w:val="26"/>
        </w:rPr>
        <w:t>se corrobora con el contenido de</w:t>
      </w:r>
      <w:r w:rsidR="006A7653" w:rsidRPr="007D7EC6">
        <w:rPr>
          <w:rFonts w:cs="Arial"/>
          <w:sz w:val="26"/>
          <w:szCs w:val="26"/>
        </w:rPr>
        <w:t xml:space="preserve"> los videos 1 y 2 antes descritos, por los cuales una mujer le dijo al guardia de seguridad que “Sí, él puede grabar, él viene conmigo”</w:t>
      </w:r>
      <w:r w:rsidR="00B662E8" w:rsidRPr="007D7EC6">
        <w:rPr>
          <w:rFonts w:cs="Arial"/>
          <w:sz w:val="26"/>
          <w:szCs w:val="26"/>
        </w:rPr>
        <w:t>, y que “</w:t>
      </w:r>
      <w:r w:rsidR="000D00E0" w:rsidRPr="007D7EC6">
        <w:rPr>
          <w:rFonts w:cs="Arial"/>
          <w:sz w:val="26"/>
          <w:szCs w:val="26"/>
        </w:rPr>
        <w:t>No. Sí va a grabar, va a grabar</w:t>
      </w:r>
      <w:r w:rsidR="00B662E8" w:rsidRPr="007D7EC6">
        <w:rPr>
          <w:rFonts w:cs="Arial"/>
          <w:sz w:val="26"/>
          <w:szCs w:val="26"/>
        </w:rPr>
        <w:t>”</w:t>
      </w:r>
      <w:r w:rsidR="000D00E0" w:rsidRPr="007D7EC6">
        <w:rPr>
          <w:rFonts w:cs="Arial"/>
          <w:sz w:val="26"/>
          <w:szCs w:val="26"/>
        </w:rPr>
        <w:t>.</w:t>
      </w:r>
      <w:r w:rsidR="00C34AB7" w:rsidRPr="00706A91">
        <w:rPr>
          <w:rFonts w:cs="Arial"/>
          <w:sz w:val="26"/>
          <w:szCs w:val="26"/>
        </w:rPr>
        <w:t xml:space="preserve"> La </w:t>
      </w:r>
      <w:r w:rsidR="00E40EE5" w:rsidRPr="00706A91">
        <w:rPr>
          <w:rFonts w:cs="Arial"/>
          <w:sz w:val="26"/>
          <w:szCs w:val="26"/>
        </w:rPr>
        <w:t>mujer</w:t>
      </w:r>
      <w:r w:rsidR="00C34AB7" w:rsidRPr="00706A91">
        <w:rPr>
          <w:rFonts w:cs="Arial"/>
          <w:sz w:val="26"/>
          <w:szCs w:val="26"/>
        </w:rPr>
        <w:t xml:space="preserve"> que sostuvo tales afirmaciones se identificó expresamente en el video 1 como “</w:t>
      </w:r>
      <w:r w:rsidR="00C34AB7" w:rsidRPr="00706A91">
        <w:rPr>
          <w:rFonts w:cs="Arial"/>
          <w:color w:val="FF0000"/>
          <w:sz w:val="26"/>
          <w:szCs w:val="26"/>
        </w:rPr>
        <w:t>AF</w:t>
      </w:r>
      <w:r w:rsidR="00C34AB7" w:rsidRPr="00706A91">
        <w:rPr>
          <w:rFonts w:cs="Arial"/>
          <w:sz w:val="26"/>
          <w:szCs w:val="26"/>
        </w:rPr>
        <w:t>”.</w:t>
      </w:r>
      <w:r w:rsidR="001E309A" w:rsidRPr="00706A91">
        <w:rPr>
          <w:rFonts w:cs="Arial"/>
          <w:sz w:val="26"/>
          <w:szCs w:val="26"/>
        </w:rPr>
        <w:t xml:space="preserve"> </w:t>
      </w:r>
      <w:r w:rsidR="00866201">
        <w:rPr>
          <w:rFonts w:cs="Arial"/>
          <w:sz w:val="26"/>
          <w:szCs w:val="26"/>
        </w:rPr>
        <w:t>Asimismo</w:t>
      </w:r>
      <w:r w:rsidR="002F2D20">
        <w:rPr>
          <w:rFonts w:cs="Arial"/>
          <w:sz w:val="26"/>
          <w:szCs w:val="26"/>
        </w:rPr>
        <w:t>, en el video 3</w:t>
      </w:r>
      <w:r w:rsidR="00866201">
        <w:rPr>
          <w:rFonts w:cs="Arial"/>
          <w:sz w:val="26"/>
          <w:szCs w:val="26"/>
        </w:rPr>
        <w:t xml:space="preserve">, </w:t>
      </w:r>
      <w:r w:rsidR="00866201" w:rsidRPr="00D22A06">
        <w:rPr>
          <w:rFonts w:cs="Arial"/>
          <w:color w:val="FF0000"/>
          <w:sz w:val="26"/>
          <w:szCs w:val="26"/>
        </w:rPr>
        <w:t>AF</w:t>
      </w:r>
      <w:r w:rsidR="004106C4">
        <w:rPr>
          <w:rFonts w:cs="Arial"/>
          <w:sz w:val="26"/>
          <w:szCs w:val="26"/>
        </w:rPr>
        <w:t xml:space="preserve"> t</w:t>
      </w:r>
      <w:r w:rsidR="00866201">
        <w:rPr>
          <w:rFonts w:cs="Arial"/>
          <w:sz w:val="26"/>
          <w:szCs w:val="26"/>
        </w:rPr>
        <w:t xml:space="preserve">ambién recontó cómo </w:t>
      </w:r>
      <w:r w:rsidR="00713DBA">
        <w:rPr>
          <w:rFonts w:cs="Arial"/>
          <w:sz w:val="26"/>
          <w:szCs w:val="26"/>
        </w:rPr>
        <w:t xml:space="preserve">un señor que </w:t>
      </w:r>
      <w:r w:rsidR="00713DBA" w:rsidRPr="00A968B5">
        <w:rPr>
          <w:rFonts w:cs="Arial"/>
          <w:sz w:val="26"/>
          <w:szCs w:val="26"/>
        </w:rPr>
        <w:t xml:space="preserve">la acompañaba sacó su cámara para grabar lo que estaba sucediendo en el área de sanitarios, cuando </w:t>
      </w:r>
      <w:r w:rsidR="003C6891" w:rsidRPr="00A968B5">
        <w:rPr>
          <w:rFonts w:cs="Arial"/>
          <w:sz w:val="26"/>
          <w:szCs w:val="26"/>
        </w:rPr>
        <w:t>el personal del centro comercial se negó a ser grabado.</w:t>
      </w:r>
    </w:p>
    <w:p w14:paraId="37DECEAE" w14:textId="77777777" w:rsidR="00516FB3" w:rsidRPr="00A968B5" w:rsidRDefault="00516FB3" w:rsidP="00516FB3">
      <w:pPr>
        <w:pStyle w:val="corte4fondo"/>
        <w:ind w:right="51" w:firstLine="0"/>
        <w:rPr>
          <w:rFonts w:cs="Arial"/>
          <w:b/>
          <w:bCs/>
          <w:sz w:val="26"/>
          <w:szCs w:val="26"/>
          <w:u w:val="single"/>
        </w:rPr>
      </w:pPr>
    </w:p>
    <w:p w14:paraId="2E3504F6" w14:textId="3DF05E82" w:rsidR="00516FB3" w:rsidRPr="00A968B5" w:rsidRDefault="00E017F9" w:rsidP="00070BFC">
      <w:pPr>
        <w:pStyle w:val="corte4fondo"/>
        <w:numPr>
          <w:ilvl w:val="0"/>
          <w:numId w:val="2"/>
        </w:numPr>
        <w:ind w:left="0" w:right="51" w:hanging="567"/>
        <w:rPr>
          <w:rFonts w:cs="Arial"/>
          <w:b/>
          <w:bCs/>
          <w:color w:val="000000" w:themeColor="text1"/>
          <w:sz w:val="26"/>
          <w:szCs w:val="26"/>
        </w:rPr>
      </w:pPr>
      <w:r>
        <w:rPr>
          <w:rFonts w:cs="Arial"/>
          <w:sz w:val="26"/>
          <w:szCs w:val="26"/>
        </w:rPr>
        <w:t>Cabe señalar</w:t>
      </w:r>
      <w:r w:rsidR="002E0FAA" w:rsidRPr="00A968B5">
        <w:rPr>
          <w:rFonts w:cs="Arial"/>
          <w:sz w:val="26"/>
          <w:szCs w:val="26"/>
        </w:rPr>
        <w:t xml:space="preserve"> </w:t>
      </w:r>
      <w:r w:rsidR="00516FB3" w:rsidRPr="00A968B5">
        <w:rPr>
          <w:rFonts w:cs="Arial"/>
          <w:sz w:val="26"/>
          <w:szCs w:val="26"/>
        </w:rPr>
        <w:t>que, como sostuvo la sala responsable</w:t>
      </w:r>
      <w:r w:rsidR="00330029" w:rsidRPr="00A968B5">
        <w:rPr>
          <w:rStyle w:val="Refdenotaalpie"/>
          <w:rFonts w:cs="Arial"/>
          <w:sz w:val="26"/>
          <w:szCs w:val="26"/>
        </w:rPr>
        <w:footnoteReference w:id="70"/>
      </w:r>
      <w:r w:rsidR="00516FB3" w:rsidRPr="00A968B5">
        <w:rPr>
          <w:rFonts w:cs="Arial"/>
          <w:sz w:val="26"/>
          <w:szCs w:val="26"/>
        </w:rPr>
        <w:t xml:space="preserve">, </w:t>
      </w:r>
      <w:r w:rsidR="00382D5A" w:rsidRPr="00A968B5">
        <w:rPr>
          <w:rFonts w:cs="Arial"/>
          <w:sz w:val="26"/>
          <w:szCs w:val="26"/>
        </w:rPr>
        <w:t xml:space="preserve">el señor </w:t>
      </w:r>
      <w:r w:rsidR="00382D5A" w:rsidRPr="00A968B5">
        <w:rPr>
          <w:rFonts w:cs="Arial"/>
          <w:color w:val="FF0000"/>
          <w:sz w:val="26"/>
          <w:szCs w:val="26"/>
        </w:rPr>
        <w:t xml:space="preserve">BB </w:t>
      </w:r>
      <w:r w:rsidR="00382D5A" w:rsidRPr="00A968B5">
        <w:rPr>
          <w:rFonts w:cs="Arial"/>
          <w:color w:val="000000" w:themeColor="text1"/>
          <w:sz w:val="26"/>
          <w:szCs w:val="26"/>
        </w:rPr>
        <w:t xml:space="preserve">declaró </w:t>
      </w:r>
      <w:r w:rsidR="007D0A00">
        <w:rPr>
          <w:rFonts w:cs="Arial"/>
          <w:color w:val="000000" w:themeColor="text1"/>
          <w:sz w:val="26"/>
          <w:szCs w:val="26"/>
        </w:rPr>
        <w:t xml:space="preserve">haber acudido </w:t>
      </w:r>
      <w:r w:rsidR="002E0FAA" w:rsidRPr="00A968B5">
        <w:rPr>
          <w:rFonts w:cs="Arial"/>
          <w:color w:val="000000" w:themeColor="text1"/>
          <w:sz w:val="26"/>
          <w:szCs w:val="26"/>
        </w:rPr>
        <w:t xml:space="preserve">al área de sanitarios de mujeres del centro comercial ante una llamada de la señora </w:t>
      </w:r>
      <w:r w:rsidR="008A02C3" w:rsidRPr="00A968B5">
        <w:rPr>
          <w:rFonts w:cs="Arial"/>
          <w:color w:val="FF0000"/>
          <w:sz w:val="26"/>
          <w:szCs w:val="26"/>
          <w:lang w:val="es-ES"/>
        </w:rPr>
        <w:t>DF</w:t>
      </w:r>
      <w:r w:rsidR="00F73FD1">
        <w:rPr>
          <w:rFonts w:cs="Arial"/>
          <w:color w:val="000000" w:themeColor="text1"/>
          <w:sz w:val="26"/>
          <w:szCs w:val="26"/>
        </w:rPr>
        <w:t>. Por otro lado,</w:t>
      </w:r>
      <w:r w:rsidR="008A02C3" w:rsidRPr="00A968B5">
        <w:rPr>
          <w:rFonts w:cs="Arial"/>
          <w:color w:val="000000" w:themeColor="text1"/>
          <w:sz w:val="26"/>
          <w:szCs w:val="26"/>
        </w:rPr>
        <w:t xml:space="preserve"> en la demanda inicial, las actoras sostuvieron que el testigo acudió a los sanitarios </w:t>
      </w:r>
      <w:r w:rsidR="008A16F7">
        <w:rPr>
          <w:rFonts w:cs="Arial"/>
          <w:color w:val="000000" w:themeColor="text1"/>
          <w:sz w:val="26"/>
          <w:szCs w:val="26"/>
        </w:rPr>
        <w:t>tras</w:t>
      </w:r>
      <w:r w:rsidR="00D62C8F" w:rsidRPr="00A968B5">
        <w:rPr>
          <w:rFonts w:cs="Arial"/>
          <w:color w:val="000000" w:themeColor="text1"/>
          <w:sz w:val="26"/>
          <w:szCs w:val="26"/>
        </w:rPr>
        <w:t xml:space="preserve"> escuchar los disturbios que provenían de dicha zona. Sin embargo, contrario a lo considerado por la sala de apelación, estimamos que </w:t>
      </w:r>
      <w:r w:rsidR="001D7A15">
        <w:rPr>
          <w:rFonts w:cs="Arial"/>
          <w:color w:val="000000" w:themeColor="text1"/>
          <w:sz w:val="26"/>
          <w:szCs w:val="26"/>
        </w:rPr>
        <w:t xml:space="preserve">esa </w:t>
      </w:r>
      <w:r w:rsidR="00D62C8F" w:rsidRPr="00A968B5">
        <w:rPr>
          <w:rFonts w:cs="Arial"/>
          <w:color w:val="000000" w:themeColor="text1"/>
          <w:sz w:val="26"/>
          <w:szCs w:val="26"/>
        </w:rPr>
        <w:t xml:space="preserve">discrepancia </w:t>
      </w:r>
      <w:r w:rsidR="0096747F" w:rsidRPr="00A968B5">
        <w:rPr>
          <w:rFonts w:cs="Arial"/>
          <w:color w:val="000000" w:themeColor="text1"/>
          <w:sz w:val="26"/>
          <w:szCs w:val="26"/>
        </w:rPr>
        <w:t>es insuficiente para restar credibilidad al relato del testigo</w:t>
      </w:r>
      <w:r w:rsidR="001D7A15">
        <w:rPr>
          <w:rFonts w:cs="Arial"/>
          <w:color w:val="000000" w:themeColor="text1"/>
          <w:sz w:val="26"/>
          <w:szCs w:val="26"/>
        </w:rPr>
        <w:t>. S</w:t>
      </w:r>
      <w:r w:rsidR="0096747F" w:rsidRPr="00A968B5">
        <w:rPr>
          <w:rFonts w:cs="Arial"/>
          <w:color w:val="000000" w:themeColor="text1"/>
          <w:sz w:val="26"/>
          <w:szCs w:val="26"/>
        </w:rPr>
        <w:t xml:space="preserve">u narración </w:t>
      </w:r>
      <w:r w:rsidR="006A6EA3" w:rsidRPr="00A968B5">
        <w:rPr>
          <w:rFonts w:cs="Arial"/>
          <w:color w:val="000000" w:themeColor="text1"/>
          <w:sz w:val="26"/>
          <w:szCs w:val="26"/>
        </w:rPr>
        <w:t>sobre los sucesos</w:t>
      </w:r>
      <w:r w:rsidR="0096747F" w:rsidRPr="00A968B5">
        <w:rPr>
          <w:rFonts w:cs="Arial"/>
          <w:color w:val="000000" w:themeColor="text1"/>
          <w:sz w:val="26"/>
          <w:szCs w:val="26"/>
        </w:rPr>
        <w:t xml:space="preserve"> </w:t>
      </w:r>
      <w:r w:rsidR="00C65AA8" w:rsidRPr="00A968B5">
        <w:rPr>
          <w:rFonts w:cs="Arial"/>
          <w:color w:val="000000" w:themeColor="text1"/>
          <w:sz w:val="26"/>
          <w:szCs w:val="26"/>
        </w:rPr>
        <w:t xml:space="preserve">en el sanitario de mujeres coincide </w:t>
      </w:r>
      <w:r w:rsidR="002746E5" w:rsidRPr="00A968B5">
        <w:rPr>
          <w:rFonts w:cs="Arial"/>
          <w:color w:val="000000" w:themeColor="text1"/>
          <w:sz w:val="26"/>
          <w:szCs w:val="26"/>
        </w:rPr>
        <w:t xml:space="preserve">toralmente </w:t>
      </w:r>
      <w:r w:rsidR="00C65AA8" w:rsidRPr="00A968B5">
        <w:rPr>
          <w:rFonts w:cs="Arial"/>
          <w:color w:val="000000" w:themeColor="text1"/>
          <w:sz w:val="26"/>
          <w:szCs w:val="26"/>
        </w:rPr>
        <w:t xml:space="preserve">con los hechos </w:t>
      </w:r>
      <w:r w:rsidR="002746E5" w:rsidRPr="00A968B5">
        <w:rPr>
          <w:rFonts w:cs="Arial"/>
          <w:color w:val="000000" w:themeColor="text1"/>
          <w:sz w:val="26"/>
          <w:szCs w:val="26"/>
        </w:rPr>
        <w:t xml:space="preserve">principales </w:t>
      </w:r>
      <w:r w:rsidR="00C65AA8" w:rsidRPr="00A968B5">
        <w:rPr>
          <w:rFonts w:cs="Arial"/>
          <w:color w:val="000000" w:themeColor="text1"/>
          <w:sz w:val="26"/>
          <w:szCs w:val="26"/>
        </w:rPr>
        <w:t>identificados por</w:t>
      </w:r>
      <w:r w:rsidR="0096747F" w:rsidRPr="00A968B5">
        <w:rPr>
          <w:rFonts w:cs="Arial"/>
          <w:color w:val="000000" w:themeColor="text1"/>
          <w:sz w:val="26"/>
          <w:szCs w:val="26"/>
        </w:rPr>
        <w:t xml:space="preserve"> las quejosas</w:t>
      </w:r>
      <w:r w:rsidR="002746E5" w:rsidRPr="00A968B5">
        <w:rPr>
          <w:rFonts w:cs="Arial"/>
          <w:color w:val="000000" w:themeColor="text1"/>
          <w:sz w:val="26"/>
          <w:szCs w:val="26"/>
        </w:rPr>
        <w:t xml:space="preserve"> </w:t>
      </w:r>
      <w:r w:rsidR="006B02CC">
        <w:rPr>
          <w:rFonts w:cs="Arial"/>
          <w:color w:val="000000" w:themeColor="text1"/>
          <w:sz w:val="26"/>
          <w:szCs w:val="26"/>
        </w:rPr>
        <w:t xml:space="preserve">como base de su reclamo de discriminación. </w:t>
      </w:r>
      <w:r w:rsidR="00EF3A15">
        <w:rPr>
          <w:rFonts w:cs="Arial"/>
          <w:color w:val="000000" w:themeColor="text1"/>
          <w:sz w:val="26"/>
          <w:szCs w:val="26"/>
        </w:rPr>
        <w:t xml:space="preserve">Además, </w:t>
      </w:r>
      <w:r w:rsidR="006A6EA3" w:rsidRPr="00A968B5">
        <w:rPr>
          <w:rFonts w:cs="Arial"/>
          <w:color w:val="000000" w:themeColor="text1"/>
          <w:sz w:val="26"/>
          <w:szCs w:val="26"/>
        </w:rPr>
        <w:t xml:space="preserve">su presencia en los hechos </w:t>
      </w:r>
      <w:r w:rsidR="00C65AA8" w:rsidRPr="00A968B5">
        <w:rPr>
          <w:rFonts w:cs="Arial"/>
          <w:color w:val="000000" w:themeColor="text1"/>
          <w:sz w:val="26"/>
          <w:szCs w:val="26"/>
        </w:rPr>
        <w:t>se corrobora con los videos 1 y 2 antes narrados.</w:t>
      </w:r>
    </w:p>
    <w:p w14:paraId="36B26532" w14:textId="77777777" w:rsidR="00C34AB7" w:rsidRPr="00C34AB7" w:rsidRDefault="00C34AB7" w:rsidP="002B6FBD">
      <w:pPr>
        <w:pStyle w:val="corte4fondo"/>
        <w:ind w:firstLine="0"/>
        <w:rPr>
          <w:rFonts w:cs="Arial"/>
          <w:sz w:val="26"/>
          <w:szCs w:val="26"/>
        </w:rPr>
      </w:pPr>
    </w:p>
    <w:p w14:paraId="499EA037" w14:textId="7FCB5F98" w:rsidR="002456F7" w:rsidRPr="008B03EE" w:rsidRDefault="00CF7A53" w:rsidP="002456F7">
      <w:pPr>
        <w:pStyle w:val="corte4fondo"/>
        <w:numPr>
          <w:ilvl w:val="0"/>
          <w:numId w:val="2"/>
        </w:numPr>
        <w:ind w:left="0" w:right="51" w:hanging="567"/>
        <w:rPr>
          <w:rFonts w:cs="Arial"/>
          <w:sz w:val="26"/>
          <w:szCs w:val="26"/>
          <w:lang w:val="es-MX"/>
        </w:rPr>
      </w:pPr>
      <w:r w:rsidRPr="00006662">
        <w:rPr>
          <w:rFonts w:cs="Arial"/>
          <w:sz w:val="26"/>
          <w:szCs w:val="26"/>
          <w:lang w:val="es-ES"/>
        </w:rPr>
        <w:t>Por otra parte, e</w:t>
      </w:r>
      <w:r w:rsidR="00B0103A" w:rsidRPr="00006662">
        <w:rPr>
          <w:rFonts w:cs="Arial"/>
          <w:sz w:val="26"/>
          <w:szCs w:val="26"/>
          <w:lang w:val="es-ES"/>
        </w:rPr>
        <w:t xml:space="preserve">sta Primera Sala </w:t>
      </w:r>
      <w:r w:rsidR="00FF703B" w:rsidRPr="00006662">
        <w:rPr>
          <w:rFonts w:cs="Arial"/>
          <w:sz w:val="26"/>
          <w:szCs w:val="26"/>
          <w:lang w:val="es-ES"/>
        </w:rPr>
        <w:t xml:space="preserve">también </w:t>
      </w:r>
      <w:r w:rsidR="00006662" w:rsidRPr="00006662">
        <w:rPr>
          <w:rFonts w:cs="Arial"/>
          <w:sz w:val="26"/>
          <w:szCs w:val="26"/>
          <w:lang w:val="es-ES"/>
        </w:rPr>
        <w:t>considera</w:t>
      </w:r>
      <w:r w:rsidR="00B0103A" w:rsidRPr="00006662">
        <w:rPr>
          <w:rFonts w:cs="Arial"/>
          <w:sz w:val="26"/>
          <w:szCs w:val="26"/>
          <w:lang w:val="es-ES"/>
        </w:rPr>
        <w:t xml:space="preserve"> que, </w:t>
      </w:r>
      <w:r w:rsidRPr="00006662">
        <w:rPr>
          <w:rFonts w:cs="Arial"/>
          <w:sz w:val="26"/>
          <w:szCs w:val="26"/>
          <w:lang w:val="es-ES"/>
        </w:rPr>
        <w:t>contrario a lo estimado por la sala de apelación</w:t>
      </w:r>
      <w:r w:rsidR="00B0103A" w:rsidRPr="00006662">
        <w:rPr>
          <w:rFonts w:cs="Arial"/>
          <w:sz w:val="26"/>
          <w:szCs w:val="26"/>
          <w:lang w:val="es-ES"/>
        </w:rPr>
        <w:t xml:space="preserve">, los videos proporcionados por las </w:t>
      </w:r>
      <w:r w:rsidR="00B7441B" w:rsidRPr="00006662">
        <w:rPr>
          <w:rFonts w:cs="Arial"/>
          <w:sz w:val="26"/>
          <w:szCs w:val="26"/>
          <w:lang w:val="es-ES"/>
        </w:rPr>
        <w:t xml:space="preserve">actoras </w:t>
      </w:r>
      <w:r w:rsidRPr="00006662">
        <w:rPr>
          <w:rFonts w:cs="Arial"/>
          <w:sz w:val="26"/>
          <w:szCs w:val="26"/>
          <w:lang w:val="es-ES"/>
        </w:rPr>
        <w:t xml:space="preserve">sí </w:t>
      </w:r>
      <w:r w:rsidR="00B0103A" w:rsidRPr="00006662">
        <w:rPr>
          <w:rFonts w:cs="Arial"/>
          <w:sz w:val="26"/>
          <w:szCs w:val="26"/>
          <w:lang w:val="es-ES"/>
        </w:rPr>
        <w:t>permiten corroborar los hechos alegados</w:t>
      </w:r>
      <w:r w:rsidR="00B7441B" w:rsidRPr="00006662">
        <w:rPr>
          <w:rFonts w:cs="Arial"/>
          <w:sz w:val="26"/>
          <w:szCs w:val="26"/>
          <w:lang w:val="es-ES"/>
        </w:rPr>
        <w:t xml:space="preserve"> po</w:t>
      </w:r>
      <w:r w:rsidR="00B7441B" w:rsidRPr="008B03EE">
        <w:rPr>
          <w:rFonts w:cs="Arial"/>
          <w:sz w:val="26"/>
          <w:szCs w:val="26"/>
          <w:lang w:val="es-ES"/>
        </w:rPr>
        <w:t>r ellas</w:t>
      </w:r>
      <w:r w:rsidR="00B0103A" w:rsidRPr="008B03EE">
        <w:rPr>
          <w:rFonts w:cs="Arial"/>
          <w:sz w:val="26"/>
          <w:szCs w:val="26"/>
          <w:lang w:val="es-ES"/>
        </w:rPr>
        <w:t xml:space="preserve">. </w:t>
      </w:r>
      <w:r w:rsidR="00337B8A" w:rsidRPr="0089639A">
        <w:rPr>
          <w:rFonts w:cs="Arial"/>
          <w:sz w:val="26"/>
          <w:szCs w:val="26"/>
          <w:lang w:val="es-ES"/>
        </w:rPr>
        <w:t xml:space="preserve">De los </w:t>
      </w:r>
      <w:r w:rsidR="0062168E" w:rsidRPr="0089639A">
        <w:rPr>
          <w:rFonts w:cs="Arial"/>
          <w:sz w:val="26"/>
          <w:szCs w:val="26"/>
          <w:lang w:val="es-ES"/>
        </w:rPr>
        <w:t xml:space="preserve">cuatro </w:t>
      </w:r>
      <w:r w:rsidR="00337B8A" w:rsidRPr="0089639A">
        <w:rPr>
          <w:rFonts w:cs="Arial"/>
          <w:sz w:val="26"/>
          <w:szCs w:val="26"/>
          <w:lang w:val="es-ES"/>
        </w:rPr>
        <w:t xml:space="preserve">videos </w:t>
      </w:r>
      <w:r w:rsidR="002456F7" w:rsidRPr="0089639A">
        <w:rPr>
          <w:rFonts w:cs="Arial"/>
          <w:sz w:val="26"/>
          <w:szCs w:val="26"/>
          <w:lang w:val="es-ES"/>
        </w:rPr>
        <w:t>se obtiene lo siguiente:</w:t>
      </w:r>
    </w:p>
    <w:p w14:paraId="67C33B8D" w14:textId="6F4ECAE5" w:rsidR="009364D6" w:rsidRPr="00171754" w:rsidRDefault="002456F7" w:rsidP="00171754">
      <w:pPr>
        <w:pStyle w:val="corte4fondo"/>
        <w:numPr>
          <w:ilvl w:val="4"/>
          <w:numId w:val="6"/>
        </w:numPr>
        <w:spacing w:after="80" w:line="276" w:lineRule="auto"/>
        <w:ind w:left="567" w:right="51" w:hanging="425"/>
        <w:rPr>
          <w:rFonts w:cs="Arial"/>
          <w:sz w:val="24"/>
          <w:szCs w:val="24"/>
          <w:lang w:val="es-MX"/>
        </w:rPr>
      </w:pPr>
      <w:r w:rsidRPr="00867E06">
        <w:rPr>
          <w:rFonts w:cs="Arial"/>
          <w:sz w:val="24"/>
          <w:szCs w:val="24"/>
          <w:lang w:val="es-MX"/>
        </w:rPr>
        <w:t>En e</w:t>
      </w:r>
      <w:r w:rsidR="008F19E8" w:rsidRPr="00867E06">
        <w:rPr>
          <w:rFonts w:cs="Arial"/>
          <w:sz w:val="24"/>
          <w:szCs w:val="24"/>
          <w:lang w:val="es-MX"/>
        </w:rPr>
        <w:t xml:space="preserve">l video 1, </w:t>
      </w:r>
      <w:r w:rsidR="007D71D6" w:rsidRPr="00867E06">
        <w:rPr>
          <w:rFonts w:cs="Arial"/>
          <w:sz w:val="24"/>
          <w:szCs w:val="24"/>
          <w:lang w:val="es-MX"/>
        </w:rPr>
        <w:t>quien parece ser un</w:t>
      </w:r>
      <w:r w:rsidR="008F19E8" w:rsidRPr="00867E06">
        <w:rPr>
          <w:rFonts w:cs="Arial"/>
          <w:sz w:val="24"/>
          <w:szCs w:val="24"/>
          <w:lang w:val="es-MX"/>
        </w:rPr>
        <w:t xml:space="preserve"> guardia de seguridad impide el ingreso de </w:t>
      </w:r>
      <w:r w:rsidR="007D71D6" w:rsidRPr="00867E06">
        <w:rPr>
          <w:rFonts w:cs="Arial"/>
          <w:sz w:val="24"/>
          <w:szCs w:val="24"/>
          <w:lang w:val="es-MX"/>
        </w:rPr>
        <w:t>dos</w:t>
      </w:r>
      <w:r w:rsidR="008F19E8" w:rsidRPr="00867E06">
        <w:rPr>
          <w:rFonts w:cs="Arial"/>
          <w:sz w:val="24"/>
          <w:szCs w:val="24"/>
          <w:lang w:val="es-MX"/>
        </w:rPr>
        <w:t xml:space="preserve"> mujere</w:t>
      </w:r>
      <w:r w:rsidR="00245043" w:rsidRPr="00867E06">
        <w:rPr>
          <w:rFonts w:cs="Arial"/>
          <w:sz w:val="24"/>
          <w:szCs w:val="24"/>
          <w:lang w:val="es-MX"/>
        </w:rPr>
        <w:t>s (mujer 1 y mujer</w:t>
      </w:r>
      <w:r w:rsidR="008F19E8" w:rsidRPr="00867E06">
        <w:rPr>
          <w:rFonts w:cs="Arial"/>
          <w:sz w:val="24"/>
          <w:szCs w:val="24"/>
          <w:lang w:val="es-MX"/>
        </w:rPr>
        <w:t xml:space="preserve"> 2, quien se identifica como </w:t>
      </w:r>
      <w:r w:rsidR="008F19E8" w:rsidRPr="00867E06">
        <w:rPr>
          <w:rFonts w:cs="Arial"/>
          <w:color w:val="FF0000"/>
          <w:sz w:val="24"/>
          <w:szCs w:val="24"/>
          <w:lang w:val="es-MX"/>
        </w:rPr>
        <w:t>AF</w:t>
      </w:r>
      <w:r w:rsidR="007D71D6" w:rsidRPr="00867E06">
        <w:rPr>
          <w:rFonts w:cs="Arial"/>
          <w:sz w:val="24"/>
          <w:szCs w:val="24"/>
          <w:lang w:val="es-MX"/>
        </w:rPr>
        <w:t xml:space="preserve"> en el video</w:t>
      </w:r>
      <w:r w:rsidR="008F19E8" w:rsidRPr="00867E06">
        <w:rPr>
          <w:rFonts w:cs="Arial"/>
          <w:sz w:val="24"/>
          <w:szCs w:val="24"/>
          <w:lang w:val="es-MX"/>
        </w:rPr>
        <w:t xml:space="preserve">) al </w:t>
      </w:r>
      <w:r w:rsidR="007D71D6" w:rsidRPr="00867E06">
        <w:rPr>
          <w:rFonts w:cs="Arial"/>
          <w:sz w:val="24"/>
          <w:szCs w:val="24"/>
          <w:lang w:val="es-MX"/>
        </w:rPr>
        <w:t>sanitario</w:t>
      </w:r>
      <w:r w:rsidR="008F19E8" w:rsidRPr="00867E06">
        <w:rPr>
          <w:rFonts w:cs="Arial"/>
          <w:sz w:val="24"/>
          <w:szCs w:val="24"/>
          <w:lang w:val="es-MX"/>
        </w:rPr>
        <w:t xml:space="preserve"> de mujeres. </w:t>
      </w:r>
      <w:r w:rsidR="00AF78C5" w:rsidRPr="00867E06">
        <w:rPr>
          <w:rFonts w:cs="Arial"/>
          <w:sz w:val="24"/>
          <w:szCs w:val="24"/>
          <w:lang w:val="es-MX"/>
        </w:rPr>
        <w:t>É</w:t>
      </w:r>
      <w:r w:rsidR="008F19E8" w:rsidRPr="00867E06">
        <w:rPr>
          <w:rFonts w:cs="Arial"/>
          <w:sz w:val="24"/>
          <w:szCs w:val="24"/>
          <w:lang w:val="es-MX"/>
        </w:rPr>
        <w:t>ste les solicita identificaciones</w:t>
      </w:r>
      <w:r w:rsidR="00AF78C5" w:rsidRPr="00867E06">
        <w:rPr>
          <w:rFonts w:cs="Arial"/>
          <w:sz w:val="24"/>
          <w:szCs w:val="24"/>
          <w:lang w:val="es-MX"/>
        </w:rPr>
        <w:t xml:space="preserve"> y, a</w:t>
      </w:r>
      <w:r w:rsidR="008F19E8" w:rsidRPr="00867E06">
        <w:rPr>
          <w:rFonts w:cs="Arial"/>
          <w:sz w:val="24"/>
          <w:szCs w:val="24"/>
          <w:lang w:val="es-MX"/>
        </w:rPr>
        <w:t xml:space="preserve"> pesar de </w:t>
      </w:r>
      <w:r w:rsidR="00AF78C5" w:rsidRPr="00867E06">
        <w:rPr>
          <w:rFonts w:cs="Arial"/>
          <w:sz w:val="24"/>
          <w:szCs w:val="24"/>
          <w:lang w:val="es-MX"/>
        </w:rPr>
        <w:t>los</w:t>
      </w:r>
      <w:r w:rsidR="008F19E8" w:rsidRPr="00867E06">
        <w:rPr>
          <w:rFonts w:cs="Arial"/>
          <w:sz w:val="24"/>
          <w:szCs w:val="24"/>
          <w:lang w:val="es-MX"/>
        </w:rPr>
        <w:t xml:space="preserve"> reclamos</w:t>
      </w:r>
      <w:r w:rsidR="00AF78C5" w:rsidRPr="00867E06">
        <w:rPr>
          <w:rFonts w:cs="Arial"/>
          <w:sz w:val="24"/>
          <w:szCs w:val="24"/>
          <w:lang w:val="es-MX"/>
        </w:rPr>
        <w:t xml:space="preserve"> de las mujeres</w:t>
      </w:r>
      <w:r w:rsidR="008F19E8" w:rsidRPr="00867E06">
        <w:rPr>
          <w:rFonts w:cs="Arial"/>
          <w:sz w:val="24"/>
          <w:szCs w:val="24"/>
          <w:lang w:val="es-MX"/>
        </w:rPr>
        <w:t xml:space="preserve">, el guardia insiste en que </w:t>
      </w:r>
      <w:r w:rsidR="00171754">
        <w:rPr>
          <w:rFonts w:cs="Arial"/>
          <w:sz w:val="24"/>
          <w:szCs w:val="24"/>
          <w:lang w:val="es-MX"/>
        </w:rPr>
        <w:t>“</w:t>
      </w:r>
      <w:r w:rsidR="008F19E8" w:rsidRPr="00171754">
        <w:rPr>
          <w:rFonts w:cs="Arial"/>
          <w:sz w:val="24"/>
          <w:szCs w:val="24"/>
          <w:lang w:val="es-MX"/>
        </w:rPr>
        <w:t>al baño de damas no pueden entrar</w:t>
      </w:r>
      <w:r w:rsidR="00171754">
        <w:rPr>
          <w:rFonts w:cs="Arial"/>
          <w:sz w:val="24"/>
          <w:szCs w:val="24"/>
          <w:lang w:val="es-MX"/>
        </w:rPr>
        <w:t>”</w:t>
      </w:r>
      <w:r w:rsidR="008F19E8" w:rsidRPr="00171754">
        <w:rPr>
          <w:rFonts w:cs="Arial"/>
          <w:sz w:val="24"/>
          <w:szCs w:val="24"/>
          <w:lang w:val="es-MX"/>
        </w:rPr>
        <w:t>.</w:t>
      </w:r>
    </w:p>
    <w:p w14:paraId="6D2CC4D6" w14:textId="31250EAB" w:rsidR="000B36D6" w:rsidRPr="00867E06" w:rsidRDefault="00F64655" w:rsidP="004E7D9A">
      <w:pPr>
        <w:pStyle w:val="corte4fondo"/>
        <w:numPr>
          <w:ilvl w:val="4"/>
          <w:numId w:val="6"/>
        </w:numPr>
        <w:spacing w:after="80" w:line="276" w:lineRule="auto"/>
        <w:ind w:left="567" w:right="51" w:hanging="425"/>
        <w:rPr>
          <w:rFonts w:cs="Arial"/>
          <w:sz w:val="24"/>
          <w:szCs w:val="24"/>
          <w:lang w:val="es-MX"/>
        </w:rPr>
      </w:pPr>
      <w:r w:rsidRPr="00867E06">
        <w:rPr>
          <w:rFonts w:cs="Arial"/>
          <w:sz w:val="24"/>
          <w:szCs w:val="24"/>
          <w:lang w:val="es-MX"/>
        </w:rPr>
        <w:t xml:space="preserve">En </w:t>
      </w:r>
      <w:r w:rsidR="000B36D6" w:rsidRPr="00867E06">
        <w:rPr>
          <w:rFonts w:cs="Arial"/>
          <w:sz w:val="24"/>
          <w:szCs w:val="24"/>
          <w:lang w:val="es-MX"/>
        </w:rPr>
        <w:t xml:space="preserve">los videos </w:t>
      </w:r>
      <w:r w:rsidRPr="00867E06">
        <w:rPr>
          <w:rFonts w:cs="Arial"/>
          <w:sz w:val="24"/>
          <w:szCs w:val="24"/>
          <w:lang w:val="es-MX"/>
        </w:rPr>
        <w:t>1 y 2, a</w:t>
      </w:r>
      <w:r w:rsidR="008F19E8" w:rsidRPr="00867E06">
        <w:rPr>
          <w:rFonts w:cs="Arial"/>
          <w:sz w:val="24"/>
          <w:szCs w:val="24"/>
          <w:lang w:val="es-MX"/>
        </w:rPr>
        <w:t>mbas mujeres cuestionan al guardia por pedirles</w:t>
      </w:r>
      <w:r w:rsidR="009364D6" w:rsidRPr="00867E06">
        <w:rPr>
          <w:rFonts w:cs="Arial"/>
          <w:sz w:val="24"/>
          <w:szCs w:val="24"/>
          <w:lang w:val="es-MX"/>
        </w:rPr>
        <w:t xml:space="preserve"> una</w:t>
      </w:r>
      <w:r w:rsidR="008F19E8" w:rsidRPr="00867E06">
        <w:rPr>
          <w:rFonts w:cs="Arial"/>
          <w:sz w:val="24"/>
          <w:szCs w:val="24"/>
          <w:lang w:val="es-MX"/>
        </w:rPr>
        <w:t xml:space="preserve"> identificación</w:t>
      </w:r>
      <w:r w:rsidR="00A74A1B" w:rsidRPr="00867E06">
        <w:rPr>
          <w:rFonts w:cs="Arial"/>
          <w:sz w:val="24"/>
          <w:szCs w:val="24"/>
          <w:lang w:val="es-MX"/>
        </w:rPr>
        <w:t xml:space="preserve"> para poder acceder a los sanitarios de mujeres</w:t>
      </w:r>
      <w:r w:rsidR="008F19E8" w:rsidRPr="00867E06">
        <w:rPr>
          <w:rFonts w:cs="Arial"/>
          <w:sz w:val="24"/>
          <w:szCs w:val="24"/>
          <w:lang w:val="es-MX"/>
        </w:rPr>
        <w:t xml:space="preserve">, </w:t>
      </w:r>
      <w:r w:rsidR="00A74A1B" w:rsidRPr="00867E06">
        <w:rPr>
          <w:rFonts w:cs="Arial"/>
          <w:sz w:val="24"/>
          <w:szCs w:val="24"/>
          <w:lang w:val="es-MX"/>
        </w:rPr>
        <w:t>y señalan</w:t>
      </w:r>
      <w:r w:rsidR="008F19E8" w:rsidRPr="00867E06">
        <w:rPr>
          <w:rFonts w:cs="Arial"/>
          <w:sz w:val="24"/>
          <w:szCs w:val="24"/>
          <w:lang w:val="es-MX"/>
        </w:rPr>
        <w:t xml:space="preserve"> que </w:t>
      </w:r>
      <w:r w:rsidR="00A74A1B" w:rsidRPr="00867E06">
        <w:rPr>
          <w:rFonts w:cs="Arial"/>
          <w:sz w:val="24"/>
          <w:szCs w:val="24"/>
          <w:lang w:val="es-MX"/>
        </w:rPr>
        <w:t xml:space="preserve">el guardia </w:t>
      </w:r>
      <w:r w:rsidR="008F19E8" w:rsidRPr="00867E06">
        <w:rPr>
          <w:rFonts w:cs="Arial"/>
          <w:sz w:val="24"/>
          <w:szCs w:val="24"/>
          <w:lang w:val="es-MX"/>
        </w:rPr>
        <w:t>no hace lo mismo con otras personas.</w:t>
      </w:r>
    </w:p>
    <w:p w14:paraId="649D5EC6" w14:textId="3F48FBAA" w:rsidR="00644105" w:rsidRPr="00867E06" w:rsidRDefault="000B36D6" w:rsidP="004E7D9A">
      <w:pPr>
        <w:pStyle w:val="corte4fondo"/>
        <w:numPr>
          <w:ilvl w:val="4"/>
          <w:numId w:val="6"/>
        </w:numPr>
        <w:spacing w:after="80" w:line="276" w:lineRule="auto"/>
        <w:ind w:left="567" w:right="51" w:hanging="425"/>
        <w:rPr>
          <w:rFonts w:cs="Arial"/>
          <w:sz w:val="24"/>
          <w:szCs w:val="24"/>
          <w:lang w:val="es-MX"/>
        </w:rPr>
      </w:pPr>
      <w:r w:rsidRPr="00867E06">
        <w:rPr>
          <w:rFonts w:cs="Arial"/>
          <w:sz w:val="24"/>
          <w:szCs w:val="24"/>
          <w:lang w:val="es-MX"/>
        </w:rPr>
        <w:lastRenderedPageBreak/>
        <w:t xml:space="preserve">En </w:t>
      </w:r>
      <w:r w:rsidR="00A24BEE" w:rsidRPr="00867E06">
        <w:rPr>
          <w:rFonts w:cs="Arial"/>
          <w:sz w:val="24"/>
          <w:szCs w:val="24"/>
          <w:lang w:val="es-MX"/>
        </w:rPr>
        <w:t>el video 1</w:t>
      </w:r>
      <w:r w:rsidRPr="00867E06">
        <w:rPr>
          <w:rFonts w:cs="Arial"/>
          <w:sz w:val="24"/>
          <w:szCs w:val="24"/>
          <w:lang w:val="es-MX"/>
        </w:rPr>
        <w:t>, se advierte que ambas</w:t>
      </w:r>
      <w:r w:rsidR="008F19E8" w:rsidRPr="00867E06">
        <w:rPr>
          <w:rFonts w:cs="Arial"/>
          <w:sz w:val="24"/>
          <w:szCs w:val="24"/>
          <w:lang w:val="es-MX"/>
        </w:rPr>
        <w:t xml:space="preserve"> mujeres </w:t>
      </w:r>
      <w:r w:rsidRPr="00867E06">
        <w:rPr>
          <w:rFonts w:cs="Arial"/>
          <w:sz w:val="24"/>
          <w:szCs w:val="24"/>
          <w:lang w:val="es-MX"/>
        </w:rPr>
        <w:t>entran a</w:t>
      </w:r>
      <w:r w:rsidR="00A24BEE" w:rsidRPr="00867E06">
        <w:rPr>
          <w:rFonts w:cs="Arial"/>
          <w:sz w:val="24"/>
          <w:szCs w:val="24"/>
          <w:lang w:val="es-MX"/>
        </w:rPr>
        <w:t xml:space="preserve">l </w:t>
      </w:r>
      <w:r w:rsidRPr="00867E06">
        <w:rPr>
          <w:rFonts w:cs="Arial"/>
          <w:sz w:val="24"/>
          <w:szCs w:val="24"/>
          <w:lang w:val="es-MX"/>
        </w:rPr>
        <w:t>sanitario</w:t>
      </w:r>
      <w:r w:rsidR="008F19E8" w:rsidRPr="00867E06">
        <w:rPr>
          <w:rFonts w:cs="Arial"/>
          <w:sz w:val="24"/>
          <w:szCs w:val="24"/>
          <w:lang w:val="es-MX"/>
        </w:rPr>
        <w:t xml:space="preserve">, aunque expresan que inicialmente les fue negado el acceso debido a la solicitud de identificaciones. Una vez dentro del </w:t>
      </w:r>
      <w:r w:rsidR="002E0FAA">
        <w:rPr>
          <w:rFonts w:cs="Arial"/>
          <w:sz w:val="24"/>
          <w:szCs w:val="24"/>
          <w:lang w:val="es-MX"/>
        </w:rPr>
        <w:t>sanitario</w:t>
      </w:r>
      <w:r w:rsidR="008F19E8" w:rsidRPr="00867E06">
        <w:rPr>
          <w:rFonts w:cs="Arial"/>
          <w:sz w:val="24"/>
          <w:szCs w:val="24"/>
          <w:lang w:val="es-MX"/>
        </w:rPr>
        <w:t xml:space="preserve">, denuncian que el personal de seguridad estaba impidiendo la entrada de otras personas, argumentando que había </w:t>
      </w:r>
      <w:r w:rsidR="00171754">
        <w:rPr>
          <w:rFonts w:cs="Arial"/>
          <w:sz w:val="24"/>
          <w:szCs w:val="24"/>
          <w:lang w:val="es-MX"/>
        </w:rPr>
        <w:t>“</w:t>
      </w:r>
      <w:r w:rsidR="008F19E8" w:rsidRPr="00867E06">
        <w:rPr>
          <w:rFonts w:cs="Arial"/>
          <w:sz w:val="24"/>
          <w:szCs w:val="24"/>
          <w:lang w:val="es-MX"/>
        </w:rPr>
        <w:t>dos hombres</w:t>
      </w:r>
      <w:r w:rsidR="00171754">
        <w:rPr>
          <w:rFonts w:cs="Arial"/>
          <w:sz w:val="24"/>
          <w:szCs w:val="24"/>
          <w:lang w:val="es-MX"/>
        </w:rPr>
        <w:t>”</w:t>
      </w:r>
      <w:r w:rsidR="008F19E8" w:rsidRPr="00867E06">
        <w:rPr>
          <w:rFonts w:cs="Arial"/>
          <w:sz w:val="24"/>
          <w:szCs w:val="24"/>
          <w:lang w:val="es-MX"/>
        </w:rPr>
        <w:t xml:space="preserve"> en el </w:t>
      </w:r>
      <w:r w:rsidR="002E0FAA">
        <w:rPr>
          <w:rFonts w:cs="Arial"/>
          <w:sz w:val="24"/>
          <w:szCs w:val="24"/>
          <w:lang w:val="es-MX"/>
        </w:rPr>
        <w:t>sanitario</w:t>
      </w:r>
      <w:r w:rsidR="00A24BEE" w:rsidRPr="00867E06">
        <w:rPr>
          <w:rFonts w:cs="Arial"/>
          <w:sz w:val="24"/>
          <w:szCs w:val="24"/>
          <w:lang w:val="es-MX"/>
        </w:rPr>
        <w:t xml:space="preserve">; lo que parece ser una referencia </w:t>
      </w:r>
      <w:r w:rsidR="008F19E8" w:rsidRPr="00867E06">
        <w:rPr>
          <w:rFonts w:cs="Arial"/>
          <w:sz w:val="24"/>
          <w:szCs w:val="24"/>
          <w:lang w:val="es-MX"/>
        </w:rPr>
        <w:t>a ellas mismas.</w:t>
      </w:r>
    </w:p>
    <w:p w14:paraId="29161E54" w14:textId="2B56610A" w:rsidR="002B1468" w:rsidRPr="00867E06" w:rsidRDefault="008F19E8" w:rsidP="004E7D9A">
      <w:pPr>
        <w:pStyle w:val="corte4fondo"/>
        <w:numPr>
          <w:ilvl w:val="4"/>
          <w:numId w:val="6"/>
        </w:numPr>
        <w:spacing w:after="80" w:line="276" w:lineRule="auto"/>
        <w:ind w:left="567" w:right="51" w:hanging="425"/>
        <w:rPr>
          <w:rFonts w:cs="Arial"/>
          <w:sz w:val="24"/>
          <w:szCs w:val="24"/>
          <w:lang w:val="es-MX"/>
        </w:rPr>
      </w:pPr>
      <w:r w:rsidRPr="00867E06">
        <w:rPr>
          <w:rFonts w:cs="Arial"/>
          <w:sz w:val="24"/>
          <w:szCs w:val="24"/>
          <w:lang w:val="es-MX"/>
        </w:rPr>
        <w:t xml:space="preserve">En </w:t>
      </w:r>
      <w:r w:rsidR="002B1468" w:rsidRPr="00867E06">
        <w:rPr>
          <w:rFonts w:cs="Arial"/>
          <w:sz w:val="24"/>
          <w:szCs w:val="24"/>
          <w:lang w:val="es-MX"/>
        </w:rPr>
        <w:t>los videos 1 y 2,</w:t>
      </w:r>
      <w:r w:rsidRPr="00867E06">
        <w:rPr>
          <w:rFonts w:cs="Arial"/>
          <w:sz w:val="24"/>
          <w:szCs w:val="24"/>
          <w:lang w:val="es-MX"/>
        </w:rPr>
        <w:t xml:space="preserve"> </w:t>
      </w:r>
      <w:r w:rsidR="00644105" w:rsidRPr="00867E06">
        <w:rPr>
          <w:rFonts w:cs="Arial"/>
          <w:sz w:val="24"/>
          <w:szCs w:val="24"/>
          <w:lang w:val="es-MX"/>
        </w:rPr>
        <w:t>la m</w:t>
      </w:r>
      <w:r w:rsidRPr="00867E06">
        <w:rPr>
          <w:rFonts w:cs="Arial"/>
          <w:sz w:val="24"/>
          <w:szCs w:val="24"/>
          <w:lang w:val="es-MX"/>
        </w:rPr>
        <w:t>ujer 2</w:t>
      </w:r>
      <w:r w:rsidR="00644105" w:rsidRPr="00867E06">
        <w:rPr>
          <w:rFonts w:cs="Arial"/>
          <w:sz w:val="24"/>
          <w:szCs w:val="24"/>
          <w:lang w:val="es-MX"/>
        </w:rPr>
        <w:t xml:space="preserve">, quien se identifica como </w:t>
      </w:r>
      <w:r w:rsidR="00644105" w:rsidRPr="00867E06">
        <w:rPr>
          <w:rFonts w:cs="Arial"/>
          <w:color w:val="FF0000"/>
          <w:sz w:val="24"/>
          <w:szCs w:val="24"/>
          <w:lang w:val="es-MX"/>
        </w:rPr>
        <w:t>AF</w:t>
      </w:r>
      <w:r w:rsidR="00644105" w:rsidRPr="00867E06">
        <w:rPr>
          <w:rFonts w:cs="Arial"/>
          <w:sz w:val="24"/>
          <w:szCs w:val="24"/>
          <w:lang w:val="es-MX"/>
        </w:rPr>
        <w:t xml:space="preserve">, </w:t>
      </w:r>
      <w:r w:rsidRPr="00867E06">
        <w:rPr>
          <w:rFonts w:cs="Arial"/>
          <w:sz w:val="24"/>
          <w:szCs w:val="24"/>
          <w:lang w:val="es-MX"/>
        </w:rPr>
        <w:t xml:space="preserve">expresa su inconformidad con el trato recibido, </w:t>
      </w:r>
      <w:r w:rsidR="00644105" w:rsidRPr="00867E06">
        <w:rPr>
          <w:rFonts w:cs="Arial"/>
          <w:sz w:val="24"/>
          <w:szCs w:val="24"/>
          <w:lang w:val="es-MX"/>
        </w:rPr>
        <w:t>y hace</w:t>
      </w:r>
      <w:r w:rsidRPr="00867E06">
        <w:rPr>
          <w:rFonts w:cs="Arial"/>
          <w:sz w:val="24"/>
          <w:szCs w:val="24"/>
          <w:lang w:val="es-MX"/>
        </w:rPr>
        <w:t xml:space="preserve"> referencia a las leyes de identidad oficial que, </w:t>
      </w:r>
      <w:r w:rsidR="00644105" w:rsidRPr="00867E06">
        <w:rPr>
          <w:rFonts w:cs="Arial"/>
          <w:sz w:val="24"/>
          <w:szCs w:val="24"/>
          <w:lang w:val="es-MX"/>
        </w:rPr>
        <w:t>a su parecer,</w:t>
      </w:r>
      <w:r w:rsidRPr="00867E06">
        <w:rPr>
          <w:rFonts w:cs="Arial"/>
          <w:sz w:val="24"/>
          <w:szCs w:val="24"/>
          <w:lang w:val="es-MX"/>
        </w:rPr>
        <w:t xml:space="preserve"> no permiten solicitar identificaciones para ingresar al </w:t>
      </w:r>
      <w:r w:rsidR="00644105" w:rsidRPr="00867E06">
        <w:rPr>
          <w:rFonts w:cs="Arial"/>
          <w:sz w:val="24"/>
          <w:szCs w:val="24"/>
          <w:lang w:val="es-MX"/>
        </w:rPr>
        <w:t>sanitario</w:t>
      </w:r>
      <w:r w:rsidRPr="00867E06">
        <w:rPr>
          <w:rFonts w:cs="Arial"/>
          <w:sz w:val="24"/>
          <w:szCs w:val="24"/>
          <w:lang w:val="es-MX"/>
        </w:rPr>
        <w:t xml:space="preserve">. </w:t>
      </w:r>
      <w:r w:rsidR="002B1468" w:rsidRPr="00867E06">
        <w:rPr>
          <w:rFonts w:cs="Arial"/>
          <w:sz w:val="24"/>
          <w:szCs w:val="24"/>
          <w:lang w:val="es-MX"/>
        </w:rPr>
        <w:t>Asimismo, r</w:t>
      </w:r>
      <w:r w:rsidRPr="00867E06">
        <w:rPr>
          <w:rFonts w:cs="Arial"/>
          <w:sz w:val="24"/>
          <w:szCs w:val="24"/>
          <w:lang w:val="es-MX"/>
        </w:rPr>
        <w:t>eclama la falta de humanidad del guardia</w:t>
      </w:r>
      <w:r w:rsidR="006037A6" w:rsidRPr="00867E06">
        <w:rPr>
          <w:rFonts w:cs="Arial"/>
          <w:sz w:val="24"/>
          <w:szCs w:val="24"/>
          <w:lang w:val="es-MX"/>
        </w:rPr>
        <w:t xml:space="preserve"> de seguridad</w:t>
      </w:r>
      <w:r w:rsidRPr="00867E06">
        <w:rPr>
          <w:rFonts w:cs="Arial"/>
          <w:sz w:val="24"/>
          <w:szCs w:val="24"/>
          <w:lang w:val="es-MX"/>
        </w:rPr>
        <w:t xml:space="preserve"> y </w:t>
      </w:r>
      <w:r w:rsidR="006037A6" w:rsidRPr="00867E06">
        <w:rPr>
          <w:rFonts w:cs="Arial"/>
          <w:sz w:val="24"/>
          <w:szCs w:val="24"/>
          <w:lang w:val="es-MX"/>
        </w:rPr>
        <w:t>solicita el fundamento</w:t>
      </w:r>
      <w:r w:rsidRPr="00867E06">
        <w:rPr>
          <w:rFonts w:cs="Arial"/>
          <w:sz w:val="24"/>
          <w:szCs w:val="24"/>
          <w:lang w:val="es-MX"/>
        </w:rPr>
        <w:t xml:space="preserve"> legal </w:t>
      </w:r>
      <w:r w:rsidR="002B1468" w:rsidRPr="00867E06">
        <w:rPr>
          <w:rFonts w:cs="Arial"/>
          <w:sz w:val="24"/>
          <w:szCs w:val="24"/>
          <w:lang w:val="es-MX"/>
        </w:rPr>
        <w:t xml:space="preserve">con base en el cual el guardia actuó de esa forma. </w:t>
      </w:r>
    </w:p>
    <w:p w14:paraId="47DC9264" w14:textId="06751E95" w:rsidR="00440DD2" w:rsidRPr="00867E06" w:rsidRDefault="008F19E8" w:rsidP="004E7D9A">
      <w:pPr>
        <w:pStyle w:val="corte4fondo"/>
        <w:numPr>
          <w:ilvl w:val="4"/>
          <w:numId w:val="6"/>
        </w:numPr>
        <w:spacing w:after="80" w:line="276" w:lineRule="auto"/>
        <w:ind w:left="567" w:right="51" w:hanging="425"/>
        <w:rPr>
          <w:rFonts w:cs="Arial"/>
          <w:sz w:val="24"/>
          <w:szCs w:val="24"/>
          <w:lang w:val="es-MX"/>
        </w:rPr>
      </w:pPr>
      <w:r w:rsidRPr="00867E06">
        <w:rPr>
          <w:rFonts w:cs="Arial"/>
          <w:sz w:val="24"/>
          <w:szCs w:val="24"/>
          <w:lang w:val="es-MX"/>
        </w:rPr>
        <w:t xml:space="preserve">Al final de </w:t>
      </w:r>
      <w:r w:rsidR="002B1468" w:rsidRPr="00867E06">
        <w:rPr>
          <w:rFonts w:cs="Arial"/>
          <w:sz w:val="24"/>
          <w:szCs w:val="24"/>
          <w:lang w:val="es-MX"/>
        </w:rPr>
        <w:t>los videos 1 y 2</w:t>
      </w:r>
      <w:r w:rsidRPr="00867E06">
        <w:rPr>
          <w:rFonts w:cs="Arial"/>
          <w:sz w:val="24"/>
          <w:szCs w:val="24"/>
          <w:lang w:val="es-MX"/>
        </w:rPr>
        <w:t>, el guardia y otro agente se retiran del lugar</w:t>
      </w:r>
      <w:r w:rsidR="00AE6FD3" w:rsidRPr="00867E06">
        <w:rPr>
          <w:rFonts w:cs="Arial"/>
          <w:sz w:val="24"/>
          <w:szCs w:val="24"/>
          <w:lang w:val="es-MX"/>
        </w:rPr>
        <w:t>,</w:t>
      </w:r>
      <w:r w:rsidRPr="00867E06">
        <w:rPr>
          <w:rFonts w:cs="Arial"/>
          <w:sz w:val="24"/>
          <w:szCs w:val="24"/>
          <w:lang w:val="es-MX"/>
        </w:rPr>
        <w:t xml:space="preserve"> sin proporcionar nombres ni respuestas a las preguntas de las mujeres</w:t>
      </w:r>
      <w:r w:rsidR="00064C4A">
        <w:rPr>
          <w:rFonts w:cs="Arial"/>
          <w:sz w:val="24"/>
          <w:szCs w:val="24"/>
          <w:lang w:val="es-MX"/>
        </w:rPr>
        <w:t>, quienes les estaban hablando cuando los señores se retiraron</w:t>
      </w:r>
      <w:r w:rsidRPr="00867E06">
        <w:rPr>
          <w:rFonts w:cs="Arial"/>
          <w:sz w:val="24"/>
          <w:szCs w:val="24"/>
          <w:lang w:val="es-MX"/>
        </w:rPr>
        <w:t>. Esto es percibido por ellas como una falta de atención y respeto hacia su situación.</w:t>
      </w:r>
    </w:p>
    <w:p w14:paraId="1768FF92" w14:textId="25947643" w:rsidR="00787708" w:rsidRPr="00867E06" w:rsidRDefault="002F715F" w:rsidP="004E7D9A">
      <w:pPr>
        <w:pStyle w:val="corte4fondo"/>
        <w:numPr>
          <w:ilvl w:val="4"/>
          <w:numId w:val="6"/>
        </w:numPr>
        <w:spacing w:after="80" w:line="276" w:lineRule="auto"/>
        <w:ind w:left="567" w:right="51" w:hanging="425"/>
        <w:rPr>
          <w:rFonts w:cs="Arial"/>
          <w:sz w:val="24"/>
          <w:szCs w:val="24"/>
          <w:lang w:val="es-MX"/>
        </w:rPr>
      </w:pPr>
      <w:r w:rsidRPr="00867E06">
        <w:rPr>
          <w:rFonts w:cs="Arial"/>
          <w:sz w:val="24"/>
          <w:szCs w:val="24"/>
          <w:lang w:val="es-MX"/>
        </w:rPr>
        <w:t>E</w:t>
      </w:r>
      <w:r w:rsidR="008F19E8" w:rsidRPr="00867E06">
        <w:rPr>
          <w:rFonts w:cs="Arial"/>
          <w:sz w:val="24"/>
          <w:szCs w:val="24"/>
          <w:lang w:val="es-MX"/>
        </w:rPr>
        <w:t xml:space="preserve">l video 2 muestra </w:t>
      </w:r>
      <w:r w:rsidR="00311B29" w:rsidRPr="00867E06">
        <w:rPr>
          <w:rFonts w:cs="Arial"/>
          <w:sz w:val="24"/>
          <w:szCs w:val="24"/>
          <w:lang w:val="es-MX"/>
        </w:rPr>
        <w:t xml:space="preserve">la </w:t>
      </w:r>
      <w:r w:rsidR="008F19E8" w:rsidRPr="00867E06">
        <w:rPr>
          <w:rFonts w:cs="Arial"/>
          <w:sz w:val="24"/>
          <w:szCs w:val="24"/>
          <w:lang w:val="es-MX"/>
        </w:rPr>
        <w:t xml:space="preserve">perspectiva </w:t>
      </w:r>
      <w:r w:rsidR="00311B29" w:rsidRPr="00867E06">
        <w:rPr>
          <w:rFonts w:cs="Arial"/>
          <w:sz w:val="24"/>
          <w:szCs w:val="24"/>
          <w:lang w:val="es-MX"/>
        </w:rPr>
        <w:t xml:space="preserve">de </w:t>
      </w:r>
      <w:r w:rsidR="008F19E8" w:rsidRPr="00867E06">
        <w:rPr>
          <w:rFonts w:cs="Arial"/>
          <w:sz w:val="24"/>
          <w:szCs w:val="24"/>
          <w:lang w:val="es-MX"/>
        </w:rPr>
        <w:t>un tercero</w:t>
      </w:r>
      <w:r w:rsidR="00311B29" w:rsidRPr="00867E06">
        <w:rPr>
          <w:rFonts w:cs="Arial"/>
          <w:sz w:val="24"/>
          <w:szCs w:val="24"/>
          <w:lang w:val="es-MX"/>
        </w:rPr>
        <w:t xml:space="preserve">, quien </w:t>
      </w:r>
      <w:r w:rsidR="008F19E8" w:rsidRPr="00867E06">
        <w:rPr>
          <w:rFonts w:cs="Arial"/>
          <w:sz w:val="24"/>
          <w:szCs w:val="24"/>
          <w:lang w:val="es-MX"/>
        </w:rPr>
        <w:t>graba parte de la interacción entre las mujeres y el guardia de seguridad en el área de los sanitarios, confirmando el intercambio de reclamos por la solicitud de identificación y la retirada del guardia.</w:t>
      </w:r>
      <w:r w:rsidR="00161E54" w:rsidRPr="00867E06">
        <w:rPr>
          <w:rFonts w:cs="Arial"/>
          <w:sz w:val="24"/>
          <w:szCs w:val="24"/>
          <w:lang w:val="es-ES"/>
        </w:rPr>
        <w:t xml:space="preserve"> </w:t>
      </w:r>
    </w:p>
    <w:p w14:paraId="3797A4B3" w14:textId="03B5CC17" w:rsidR="00010AEB" w:rsidRPr="00867E06" w:rsidRDefault="00374F2A" w:rsidP="004E7D9A">
      <w:pPr>
        <w:pStyle w:val="corte4fondo"/>
        <w:numPr>
          <w:ilvl w:val="4"/>
          <w:numId w:val="6"/>
        </w:numPr>
        <w:spacing w:after="80" w:line="276" w:lineRule="auto"/>
        <w:ind w:left="567" w:right="51" w:hanging="425"/>
        <w:rPr>
          <w:rFonts w:cs="Arial"/>
          <w:sz w:val="24"/>
          <w:szCs w:val="24"/>
          <w:lang w:val="es-MX"/>
        </w:rPr>
      </w:pPr>
      <w:r w:rsidRPr="00867E06">
        <w:rPr>
          <w:rFonts w:cs="Arial"/>
          <w:sz w:val="24"/>
          <w:szCs w:val="24"/>
          <w:lang w:val="es-ES"/>
        </w:rPr>
        <w:t>E</w:t>
      </w:r>
      <w:r w:rsidR="008B67BD" w:rsidRPr="00867E06">
        <w:rPr>
          <w:rFonts w:cs="Arial"/>
          <w:sz w:val="24"/>
          <w:szCs w:val="24"/>
          <w:lang w:val="es-ES"/>
        </w:rPr>
        <w:t>n el video 3</w:t>
      </w:r>
      <w:r w:rsidRPr="00867E06">
        <w:rPr>
          <w:rFonts w:cs="Arial"/>
          <w:sz w:val="24"/>
          <w:szCs w:val="24"/>
          <w:lang w:val="es-ES"/>
        </w:rPr>
        <w:t xml:space="preserve">, </w:t>
      </w:r>
      <w:r w:rsidR="008B67BD" w:rsidRPr="00867E06">
        <w:rPr>
          <w:rFonts w:cs="Arial"/>
          <w:sz w:val="24"/>
          <w:szCs w:val="24"/>
          <w:lang w:val="es-ES"/>
        </w:rPr>
        <w:t>la mujer 1 y mujer 2</w:t>
      </w:r>
      <w:r w:rsidR="008B67BD" w:rsidRPr="00867E06">
        <w:rPr>
          <w:rFonts w:cs="Arial"/>
          <w:sz w:val="24"/>
          <w:szCs w:val="24"/>
          <w:lang w:val="es-MX"/>
        </w:rPr>
        <w:t xml:space="preserve"> </w:t>
      </w:r>
      <w:r w:rsidRPr="00867E06">
        <w:rPr>
          <w:rFonts w:cs="Arial"/>
          <w:sz w:val="24"/>
          <w:szCs w:val="24"/>
          <w:lang w:val="es-MX"/>
        </w:rPr>
        <w:t>narraron</w:t>
      </w:r>
      <w:r w:rsidR="008B67BD" w:rsidRPr="00867E06">
        <w:rPr>
          <w:rFonts w:cs="Arial"/>
          <w:sz w:val="24"/>
          <w:szCs w:val="24"/>
          <w:lang w:val="es-MX"/>
        </w:rPr>
        <w:t xml:space="preserve"> </w:t>
      </w:r>
      <w:r w:rsidR="008D0309" w:rsidRPr="00867E06">
        <w:rPr>
          <w:rFonts w:cs="Arial"/>
          <w:sz w:val="24"/>
          <w:szCs w:val="24"/>
          <w:lang w:val="es-MX"/>
        </w:rPr>
        <w:t xml:space="preserve">a una tercera persona </w:t>
      </w:r>
      <w:r w:rsidR="00010AEB" w:rsidRPr="00867E06">
        <w:rPr>
          <w:rFonts w:cs="Arial"/>
          <w:sz w:val="24"/>
          <w:szCs w:val="24"/>
          <w:lang w:val="es-MX"/>
        </w:rPr>
        <w:t>que</w:t>
      </w:r>
      <w:r w:rsidR="008D0309" w:rsidRPr="00867E06">
        <w:rPr>
          <w:rFonts w:cs="Arial"/>
          <w:sz w:val="24"/>
          <w:szCs w:val="24"/>
          <w:lang w:val="es-MX"/>
        </w:rPr>
        <w:t xml:space="preserve"> ese día</w:t>
      </w:r>
      <w:r w:rsidR="00010AEB" w:rsidRPr="00867E06">
        <w:rPr>
          <w:rFonts w:cs="Arial"/>
          <w:sz w:val="24"/>
          <w:szCs w:val="24"/>
          <w:lang w:val="es-MX"/>
        </w:rPr>
        <w:t xml:space="preserve"> fueron a</w:t>
      </w:r>
      <w:r w:rsidR="008B67BD" w:rsidRPr="00867E06">
        <w:rPr>
          <w:rFonts w:cs="Arial"/>
          <w:sz w:val="24"/>
          <w:szCs w:val="24"/>
          <w:lang w:val="es-MX"/>
        </w:rPr>
        <w:t xml:space="preserve"> los sanitarios d</w:t>
      </w:r>
      <w:r w:rsidR="00010AEB" w:rsidRPr="00867E06">
        <w:rPr>
          <w:rFonts w:cs="Arial"/>
          <w:sz w:val="24"/>
          <w:szCs w:val="24"/>
          <w:lang w:val="es-MX"/>
        </w:rPr>
        <w:t>e</w:t>
      </w:r>
      <w:r w:rsidR="008B67BD" w:rsidRPr="00867E06">
        <w:rPr>
          <w:rFonts w:cs="Arial"/>
          <w:sz w:val="24"/>
          <w:szCs w:val="24"/>
          <w:lang w:val="es-MX"/>
        </w:rPr>
        <w:t>l</w:t>
      </w:r>
      <w:r w:rsidR="00010AEB" w:rsidRPr="00867E06">
        <w:rPr>
          <w:rFonts w:cs="Arial"/>
          <w:sz w:val="24"/>
          <w:szCs w:val="24"/>
          <w:lang w:val="es-MX"/>
        </w:rPr>
        <w:t xml:space="preserve"> centro </w:t>
      </w:r>
      <w:r w:rsidR="00010AEB" w:rsidRPr="00A36289">
        <w:rPr>
          <w:rFonts w:cs="Arial"/>
          <w:sz w:val="24"/>
          <w:szCs w:val="24"/>
          <w:lang w:val="es-MX"/>
        </w:rPr>
        <w:t>comercial</w:t>
      </w:r>
      <w:r w:rsidR="008B67BD" w:rsidRPr="00A36289">
        <w:rPr>
          <w:rFonts w:cs="Arial"/>
          <w:sz w:val="24"/>
          <w:szCs w:val="24"/>
          <w:lang w:val="es-MX"/>
        </w:rPr>
        <w:t xml:space="preserve"> “Reforma 222”</w:t>
      </w:r>
      <w:r w:rsidR="00010AEB" w:rsidRPr="00A36289">
        <w:rPr>
          <w:rFonts w:cs="Arial"/>
          <w:sz w:val="24"/>
          <w:szCs w:val="24"/>
          <w:lang w:val="es-MX"/>
        </w:rPr>
        <w:t xml:space="preserve">, </w:t>
      </w:r>
      <w:r w:rsidR="00010AEB" w:rsidRPr="00867E06">
        <w:rPr>
          <w:rFonts w:cs="Arial"/>
          <w:sz w:val="24"/>
          <w:szCs w:val="24"/>
          <w:lang w:val="es-MX"/>
        </w:rPr>
        <w:t>donde</w:t>
      </w:r>
      <w:r w:rsidR="000C0BDE" w:rsidRPr="00867E06">
        <w:rPr>
          <w:rFonts w:cs="Arial"/>
          <w:sz w:val="24"/>
          <w:szCs w:val="24"/>
          <w:lang w:val="es-MX"/>
        </w:rPr>
        <w:t xml:space="preserve"> el</w:t>
      </w:r>
      <w:r w:rsidR="00010AEB" w:rsidRPr="00867E06">
        <w:rPr>
          <w:rFonts w:cs="Arial"/>
          <w:sz w:val="24"/>
          <w:szCs w:val="24"/>
          <w:lang w:val="es-MX"/>
        </w:rPr>
        <w:t xml:space="preserve"> personal de seguridad </w:t>
      </w:r>
      <w:r w:rsidR="000C0BDE" w:rsidRPr="00867E06">
        <w:rPr>
          <w:rFonts w:cs="Arial"/>
          <w:sz w:val="24"/>
          <w:szCs w:val="24"/>
          <w:lang w:val="es-MX"/>
        </w:rPr>
        <w:t>les</w:t>
      </w:r>
      <w:r w:rsidR="00010AEB" w:rsidRPr="00867E06">
        <w:rPr>
          <w:rFonts w:cs="Arial"/>
          <w:sz w:val="24"/>
          <w:szCs w:val="24"/>
          <w:lang w:val="es-MX"/>
        </w:rPr>
        <w:t xml:space="preserve"> impidió entrar al </w:t>
      </w:r>
      <w:r w:rsidR="000C0BDE" w:rsidRPr="00867E06">
        <w:rPr>
          <w:rFonts w:cs="Arial"/>
          <w:sz w:val="24"/>
          <w:szCs w:val="24"/>
          <w:lang w:val="es-MX"/>
        </w:rPr>
        <w:t>sanitario</w:t>
      </w:r>
      <w:r w:rsidR="00010AEB" w:rsidRPr="00867E06">
        <w:rPr>
          <w:rFonts w:cs="Arial"/>
          <w:sz w:val="24"/>
          <w:szCs w:val="24"/>
          <w:lang w:val="es-MX"/>
        </w:rPr>
        <w:t xml:space="preserve"> de mujeres y las dirigió al de hombres, </w:t>
      </w:r>
      <w:r w:rsidR="000C0BDE" w:rsidRPr="00867E06">
        <w:rPr>
          <w:rFonts w:cs="Arial"/>
          <w:sz w:val="24"/>
          <w:szCs w:val="24"/>
          <w:lang w:val="es-MX"/>
        </w:rPr>
        <w:t>lo cual generó una</w:t>
      </w:r>
      <w:r w:rsidR="00010AEB" w:rsidRPr="00867E06">
        <w:rPr>
          <w:rFonts w:cs="Arial"/>
          <w:sz w:val="24"/>
          <w:szCs w:val="24"/>
          <w:lang w:val="es-MX"/>
        </w:rPr>
        <w:t xml:space="preserve"> confrontación</w:t>
      </w:r>
      <w:r w:rsidR="000C0BDE" w:rsidRPr="00867E06">
        <w:rPr>
          <w:rFonts w:cs="Arial"/>
          <w:sz w:val="24"/>
          <w:szCs w:val="24"/>
          <w:lang w:val="es-MX"/>
        </w:rPr>
        <w:t xml:space="preserve"> entre las partes</w:t>
      </w:r>
      <w:r w:rsidR="00010AEB" w:rsidRPr="00867E06">
        <w:rPr>
          <w:rFonts w:cs="Arial"/>
          <w:sz w:val="24"/>
          <w:szCs w:val="24"/>
          <w:lang w:val="es-MX"/>
        </w:rPr>
        <w:t>.</w:t>
      </w:r>
      <w:r w:rsidR="000C0BDE" w:rsidRPr="00867E06">
        <w:rPr>
          <w:rFonts w:cs="Arial"/>
          <w:sz w:val="24"/>
          <w:szCs w:val="24"/>
          <w:lang w:val="es-MX"/>
        </w:rPr>
        <w:t xml:space="preserve"> Asimismo, relataron que el personal</w:t>
      </w:r>
      <w:r w:rsidR="00010AEB" w:rsidRPr="00867E06">
        <w:rPr>
          <w:rFonts w:cs="Arial"/>
          <w:sz w:val="24"/>
          <w:szCs w:val="24"/>
          <w:lang w:val="es-MX"/>
        </w:rPr>
        <w:t xml:space="preserve"> les pidió identificarse para acceder al </w:t>
      </w:r>
      <w:r w:rsidR="000C0BDE" w:rsidRPr="00867E06">
        <w:rPr>
          <w:rFonts w:cs="Arial"/>
          <w:sz w:val="24"/>
          <w:szCs w:val="24"/>
          <w:lang w:val="es-MX"/>
        </w:rPr>
        <w:t>sanitario</w:t>
      </w:r>
      <w:r w:rsidR="00010AEB" w:rsidRPr="00867E06">
        <w:rPr>
          <w:rFonts w:cs="Arial"/>
          <w:sz w:val="24"/>
          <w:szCs w:val="24"/>
          <w:lang w:val="es-MX"/>
        </w:rPr>
        <w:t xml:space="preserve">, algo que no se solicitó a otras mujeres presentes. </w:t>
      </w:r>
      <w:r w:rsidRPr="00867E06">
        <w:rPr>
          <w:rFonts w:cs="Arial"/>
          <w:sz w:val="24"/>
          <w:szCs w:val="24"/>
          <w:lang w:val="es-ES"/>
        </w:rPr>
        <w:t>T</w:t>
      </w:r>
      <w:r w:rsidR="0051232D" w:rsidRPr="00867E06">
        <w:rPr>
          <w:rFonts w:cs="Arial"/>
          <w:sz w:val="24"/>
          <w:szCs w:val="24"/>
          <w:lang w:val="es-ES"/>
        </w:rPr>
        <w:t xml:space="preserve">ambién </w:t>
      </w:r>
      <w:r w:rsidRPr="00867E06">
        <w:rPr>
          <w:rFonts w:cs="Arial"/>
          <w:sz w:val="24"/>
          <w:szCs w:val="24"/>
          <w:lang w:val="es-ES"/>
        </w:rPr>
        <w:t>narraron</w:t>
      </w:r>
      <w:r w:rsidR="0051232D" w:rsidRPr="00867E06">
        <w:rPr>
          <w:rFonts w:cs="Arial"/>
          <w:sz w:val="24"/>
          <w:szCs w:val="24"/>
          <w:lang w:val="es-ES"/>
        </w:rPr>
        <w:t xml:space="preserve"> que, una vez que lograron entrar al sanitario, el </w:t>
      </w:r>
      <w:r w:rsidR="0051232D" w:rsidRPr="00867E06">
        <w:rPr>
          <w:rFonts w:cs="Arial"/>
          <w:sz w:val="24"/>
          <w:szCs w:val="24"/>
          <w:lang w:val="es-MX"/>
        </w:rPr>
        <w:t>personal</w:t>
      </w:r>
      <w:r w:rsidR="00010AEB" w:rsidRPr="00867E06">
        <w:rPr>
          <w:rFonts w:cs="Arial"/>
          <w:sz w:val="24"/>
          <w:szCs w:val="24"/>
          <w:lang w:val="es-MX"/>
        </w:rPr>
        <w:t xml:space="preserve"> de seguridad </w:t>
      </w:r>
      <w:r w:rsidR="0051232D" w:rsidRPr="00867E06">
        <w:rPr>
          <w:rFonts w:cs="Arial"/>
          <w:sz w:val="24"/>
          <w:szCs w:val="24"/>
          <w:lang w:val="es-MX"/>
        </w:rPr>
        <w:t xml:space="preserve">las dejó solas adentro, mientras informaba al resto de las personas en el centro comercial </w:t>
      </w:r>
      <w:r w:rsidR="00010AEB" w:rsidRPr="00867E06">
        <w:rPr>
          <w:rFonts w:cs="Arial"/>
          <w:sz w:val="24"/>
          <w:szCs w:val="24"/>
          <w:lang w:val="es-MX"/>
        </w:rPr>
        <w:t xml:space="preserve">de que había </w:t>
      </w:r>
      <w:r w:rsidR="0051232D" w:rsidRPr="00867E06">
        <w:rPr>
          <w:rFonts w:cs="Arial"/>
          <w:sz w:val="24"/>
          <w:szCs w:val="24"/>
          <w:lang w:val="es-MX"/>
        </w:rPr>
        <w:t xml:space="preserve">“dos </w:t>
      </w:r>
      <w:r w:rsidR="00010AEB" w:rsidRPr="00867E06">
        <w:rPr>
          <w:rFonts w:cs="Arial"/>
          <w:sz w:val="24"/>
          <w:szCs w:val="24"/>
          <w:lang w:val="es-MX"/>
        </w:rPr>
        <w:t>hombres</w:t>
      </w:r>
      <w:r w:rsidR="0051232D" w:rsidRPr="00867E06">
        <w:rPr>
          <w:rFonts w:cs="Arial"/>
          <w:sz w:val="24"/>
          <w:szCs w:val="24"/>
          <w:lang w:val="es-MX"/>
        </w:rPr>
        <w:t>”</w:t>
      </w:r>
      <w:r w:rsidR="00010AEB" w:rsidRPr="00867E06">
        <w:rPr>
          <w:rFonts w:cs="Arial"/>
          <w:sz w:val="24"/>
          <w:szCs w:val="24"/>
          <w:lang w:val="es-MX"/>
        </w:rPr>
        <w:t xml:space="preserve"> en el</w:t>
      </w:r>
      <w:r w:rsidR="0051232D" w:rsidRPr="00867E06">
        <w:rPr>
          <w:rFonts w:cs="Arial"/>
          <w:sz w:val="24"/>
          <w:szCs w:val="24"/>
          <w:lang w:val="es-MX"/>
        </w:rPr>
        <w:t xml:space="preserve"> sanitario de mujeres. Asimismo, </w:t>
      </w:r>
      <w:r w:rsidRPr="00867E06">
        <w:rPr>
          <w:rFonts w:cs="Arial"/>
          <w:sz w:val="24"/>
          <w:szCs w:val="24"/>
          <w:lang w:val="es-MX"/>
        </w:rPr>
        <w:t>describieron</w:t>
      </w:r>
      <w:r w:rsidR="0051232D" w:rsidRPr="00867E06">
        <w:rPr>
          <w:rFonts w:cs="Arial"/>
          <w:sz w:val="24"/>
          <w:szCs w:val="24"/>
          <w:lang w:val="es-MX"/>
        </w:rPr>
        <w:t xml:space="preserve"> que, a</w:t>
      </w:r>
      <w:r w:rsidR="00010AEB" w:rsidRPr="00867E06">
        <w:rPr>
          <w:rFonts w:cs="Arial"/>
          <w:sz w:val="24"/>
          <w:szCs w:val="24"/>
          <w:lang w:val="es-MX"/>
        </w:rPr>
        <w:t>l intentar hablar con el jefe de seguridad</w:t>
      </w:r>
      <w:r w:rsidR="0051232D" w:rsidRPr="00867E06">
        <w:rPr>
          <w:rFonts w:cs="Arial"/>
          <w:sz w:val="24"/>
          <w:szCs w:val="24"/>
          <w:lang w:val="es-MX"/>
        </w:rPr>
        <w:t xml:space="preserve"> del centro comercial</w:t>
      </w:r>
      <w:r w:rsidR="00010AEB" w:rsidRPr="00867E06">
        <w:rPr>
          <w:rFonts w:cs="Arial"/>
          <w:sz w:val="24"/>
          <w:szCs w:val="24"/>
          <w:lang w:val="es-MX"/>
        </w:rPr>
        <w:t>, este rechazó el diálogo frente a cámaras y sugirió discutir en un</w:t>
      </w:r>
      <w:r w:rsidR="0051232D" w:rsidRPr="00867E06">
        <w:rPr>
          <w:rFonts w:cs="Arial"/>
          <w:sz w:val="24"/>
          <w:szCs w:val="24"/>
          <w:lang w:val="es-MX"/>
        </w:rPr>
        <w:t>a bodega</w:t>
      </w:r>
      <w:r w:rsidR="00010AEB" w:rsidRPr="00867E06">
        <w:rPr>
          <w:rFonts w:cs="Arial"/>
          <w:sz w:val="24"/>
          <w:szCs w:val="24"/>
          <w:lang w:val="es-MX"/>
        </w:rPr>
        <w:t>.</w:t>
      </w:r>
      <w:r w:rsidRPr="00867E06">
        <w:rPr>
          <w:rFonts w:cs="Arial"/>
          <w:sz w:val="24"/>
          <w:szCs w:val="24"/>
          <w:lang w:val="es-MX"/>
        </w:rPr>
        <w:t xml:space="preserve"> La mujer </w:t>
      </w:r>
      <w:r w:rsidR="00C2291C" w:rsidRPr="00867E06">
        <w:rPr>
          <w:rFonts w:cs="Arial"/>
          <w:sz w:val="24"/>
          <w:szCs w:val="24"/>
          <w:lang w:val="es-MX"/>
        </w:rPr>
        <w:t>2</w:t>
      </w:r>
      <w:r w:rsidRPr="00867E06">
        <w:rPr>
          <w:rFonts w:cs="Arial"/>
          <w:sz w:val="24"/>
          <w:szCs w:val="24"/>
          <w:lang w:val="es-MX"/>
        </w:rPr>
        <w:t xml:space="preserve"> señaló que </w:t>
      </w:r>
      <w:r w:rsidR="00010AEB" w:rsidRPr="00867E06">
        <w:rPr>
          <w:rFonts w:cs="Arial"/>
          <w:sz w:val="24"/>
          <w:szCs w:val="24"/>
          <w:lang w:val="es-MX"/>
        </w:rPr>
        <w:t xml:space="preserve">se negaron </w:t>
      </w:r>
      <w:r w:rsidRPr="00867E06">
        <w:rPr>
          <w:rFonts w:cs="Arial"/>
          <w:sz w:val="24"/>
          <w:szCs w:val="24"/>
          <w:lang w:val="es-MX"/>
        </w:rPr>
        <w:t xml:space="preserve">a entrar a la bodega </w:t>
      </w:r>
      <w:r w:rsidR="00010AEB" w:rsidRPr="00867E06">
        <w:rPr>
          <w:rFonts w:cs="Arial"/>
          <w:sz w:val="24"/>
          <w:szCs w:val="24"/>
          <w:lang w:val="es-MX"/>
        </w:rPr>
        <w:t xml:space="preserve">y </w:t>
      </w:r>
      <w:r w:rsidRPr="00867E06">
        <w:rPr>
          <w:rFonts w:cs="Arial"/>
          <w:sz w:val="24"/>
          <w:szCs w:val="24"/>
          <w:lang w:val="es-MX"/>
        </w:rPr>
        <w:t xml:space="preserve">que </w:t>
      </w:r>
      <w:r w:rsidR="00010AEB" w:rsidRPr="00867E06">
        <w:rPr>
          <w:rFonts w:cs="Arial"/>
          <w:sz w:val="24"/>
          <w:szCs w:val="24"/>
          <w:lang w:val="es-MX"/>
        </w:rPr>
        <w:t>notaron la falta de disposición</w:t>
      </w:r>
      <w:r w:rsidR="0051232D" w:rsidRPr="00867E06">
        <w:rPr>
          <w:rFonts w:cs="Arial"/>
          <w:sz w:val="24"/>
          <w:szCs w:val="24"/>
          <w:lang w:val="es-MX"/>
        </w:rPr>
        <w:t xml:space="preserve"> del señor</w:t>
      </w:r>
      <w:r w:rsidR="00010AEB" w:rsidRPr="00867E06">
        <w:rPr>
          <w:rFonts w:cs="Arial"/>
          <w:sz w:val="24"/>
          <w:szCs w:val="24"/>
          <w:lang w:val="es-MX"/>
        </w:rPr>
        <w:t xml:space="preserve"> para identificarse.</w:t>
      </w:r>
    </w:p>
    <w:p w14:paraId="3047F14E" w14:textId="1FB59EAF" w:rsidR="00B07591" w:rsidRPr="00867E06" w:rsidRDefault="00B51761" w:rsidP="004E7D9A">
      <w:pPr>
        <w:pStyle w:val="corte4fondo"/>
        <w:numPr>
          <w:ilvl w:val="4"/>
          <w:numId w:val="6"/>
        </w:numPr>
        <w:spacing w:after="80" w:line="276" w:lineRule="auto"/>
        <w:ind w:left="567" w:right="51" w:hanging="425"/>
        <w:rPr>
          <w:rFonts w:cs="Arial"/>
          <w:sz w:val="24"/>
          <w:szCs w:val="24"/>
          <w:lang w:val="es-MX"/>
        </w:rPr>
      </w:pPr>
      <w:r w:rsidRPr="00867E06">
        <w:rPr>
          <w:rFonts w:cs="Arial"/>
          <w:sz w:val="24"/>
          <w:szCs w:val="24"/>
          <w:lang w:val="es-MX"/>
        </w:rPr>
        <w:t xml:space="preserve">En el video 3, </w:t>
      </w:r>
      <w:r w:rsidR="00C2291C" w:rsidRPr="00867E06">
        <w:rPr>
          <w:rFonts w:cs="Arial"/>
          <w:sz w:val="24"/>
          <w:szCs w:val="24"/>
          <w:lang w:val="es-MX"/>
        </w:rPr>
        <w:t xml:space="preserve">la mujer 2 también recontó que la señora </w:t>
      </w:r>
      <w:r w:rsidR="00C2291C" w:rsidRPr="00867E06">
        <w:rPr>
          <w:rFonts w:cs="Arial"/>
          <w:color w:val="FF0000"/>
          <w:sz w:val="24"/>
          <w:szCs w:val="24"/>
          <w:lang w:val="es-MX"/>
        </w:rPr>
        <w:t xml:space="preserve">L </w:t>
      </w:r>
      <w:r w:rsidR="00262E3C" w:rsidRPr="00867E06">
        <w:rPr>
          <w:rFonts w:cs="Arial"/>
          <w:sz w:val="24"/>
          <w:szCs w:val="24"/>
          <w:lang w:val="es-MX"/>
        </w:rPr>
        <w:t xml:space="preserve">acudió con un guardia de seguridad para comentarle que acababa de ocurrir una situación, </w:t>
      </w:r>
      <w:r w:rsidR="00507898">
        <w:rPr>
          <w:rFonts w:cs="Arial"/>
          <w:sz w:val="24"/>
          <w:szCs w:val="24"/>
          <w:lang w:val="es-MX"/>
        </w:rPr>
        <w:t xml:space="preserve">pero </w:t>
      </w:r>
      <w:r w:rsidR="00262E3C" w:rsidRPr="00867E06">
        <w:rPr>
          <w:rFonts w:cs="Arial"/>
          <w:sz w:val="24"/>
          <w:szCs w:val="24"/>
          <w:lang w:val="es-MX"/>
        </w:rPr>
        <w:t xml:space="preserve">el personal le dijo que se esperara y se comunicó por radio. </w:t>
      </w:r>
      <w:r w:rsidR="004E6FA7">
        <w:rPr>
          <w:rFonts w:cs="Arial"/>
          <w:sz w:val="24"/>
          <w:szCs w:val="24"/>
          <w:lang w:val="es-MX"/>
        </w:rPr>
        <w:t>N</w:t>
      </w:r>
      <w:r w:rsidR="00262E3C" w:rsidRPr="00867E06">
        <w:rPr>
          <w:rFonts w:cs="Arial"/>
          <w:sz w:val="24"/>
          <w:szCs w:val="24"/>
          <w:lang w:val="es-MX"/>
        </w:rPr>
        <w:t>arró que, posteriormente, mientras las mujeres se encontraban en el módulo, los guardias “parecían tiburones, dando vueltas alrededor” de ellas</w:t>
      </w:r>
      <w:r w:rsidR="004136A9" w:rsidRPr="00867E06">
        <w:rPr>
          <w:rFonts w:cs="Arial"/>
          <w:sz w:val="24"/>
          <w:szCs w:val="24"/>
          <w:lang w:val="es-MX"/>
        </w:rPr>
        <w:t>. La mujer 2 describió tales hechos como</w:t>
      </w:r>
      <w:r w:rsidR="00262E3C" w:rsidRPr="00867E06">
        <w:rPr>
          <w:rFonts w:cs="Arial"/>
          <w:sz w:val="24"/>
          <w:szCs w:val="24"/>
          <w:lang w:val="es-MX"/>
        </w:rPr>
        <w:t xml:space="preserve"> actos de amedrentación</w:t>
      </w:r>
      <w:r w:rsidR="00F15BF0" w:rsidRPr="00867E06">
        <w:rPr>
          <w:rFonts w:cs="Arial"/>
          <w:sz w:val="24"/>
          <w:szCs w:val="24"/>
          <w:lang w:val="es-MX"/>
        </w:rPr>
        <w:t>,</w:t>
      </w:r>
      <w:r w:rsidR="00262E3C" w:rsidRPr="00867E06">
        <w:rPr>
          <w:rFonts w:cs="Arial"/>
          <w:sz w:val="24"/>
          <w:szCs w:val="24"/>
          <w:lang w:val="es-MX"/>
        </w:rPr>
        <w:t xml:space="preserve"> por </w:t>
      </w:r>
      <w:r w:rsidR="00075A14">
        <w:rPr>
          <w:rFonts w:cs="Arial"/>
          <w:sz w:val="24"/>
          <w:szCs w:val="24"/>
          <w:lang w:val="es-MX"/>
        </w:rPr>
        <w:t>haber exigido</w:t>
      </w:r>
      <w:r w:rsidR="00075A14" w:rsidRPr="00867E06">
        <w:rPr>
          <w:rFonts w:cs="Arial"/>
          <w:sz w:val="24"/>
          <w:szCs w:val="24"/>
          <w:lang w:val="es-MX"/>
        </w:rPr>
        <w:t xml:space="preserve"> </w:t>
      </w:r>
      <w:r w:rsidR="00262E3C" w:rsidRPr="00867E06">
        <w:rPr>
          <w:rFonts w:cs="Arial"/>
          <w:sz w:val="24"/>
          <w:szCs w:val="24"/>
          <w:lang w:val="es-MX"/>
        </w:rPr>
        <w:t>su derecho</w:t>
      </w:r>
      <w:r w:rsidR="004136A9" w:rsidRPr="00867E06">
        <w:rPr>
          <w:rFonts w:cs="Arial"/>
          <w:sz w:val="24"/>
          <w:szCs w:val="24"/>
          <w:lang w:val="es-MX"/>
        </w:rPr>
        <w:t xml:space="preserve"> </w:t>
      </w:r>
      <w:r w:rsidR="00CD2AE6">
        <w:rPr>
          <w:rFonts w:cs="Arial"/>
          <w:sz w:val="24"/>
          <w:szCs w:val="24"/>
          <w:lang w:val="es-MX"/>
        </w:rPr>
        <w:t>a</w:t>
      </w:r>
      <w:r w:rsidR="004136A9" w:rsidRPr="00867E06">
        <w:rPr>
          <w:rFonts w:cs="Arial"/>
          <w:sz w:val="24"/>
          <w:szCs w:val="24"/>
          <w:lang w:val="es-MX"/>
        </w:rPr>
        <w:t xml:space="preserve"> entrar al sanitario de mujeres.</w:t>
      </w:r>
    </w:p>
    <w:p w14:paraId="54C45EA9" w14:textId="03D90D0F" w:rsidR="00EE1934" w:rsidRPr="00A36289" w:rsidRDefault="00DF689A" w:rsidP="004E7D9A">
      <w:pPr>
        <w:pStyle w:val="corte4fondo"/>
        <w:numPr>
          <w:ilvl w:val="4"/>
          <w:numId w:val="6"/>
        </w:numPr>
        <w:spacing w:after="80" w:line="276" w:lineRule="auto"/>
        <w:ind w:left="567" w:right="51" w:hanging="425"/>
        <w:rPr>
          <w:rFonts w:cs="Arial"/>
          <w:sz w:val="24"/>
          <w:szCs w:val="24"/>
          <w:lang w:val="es-MX"/>
        </w:rPr>
      </w:pPr>
      <w:r w:rsidRPr="00867E06">
        <w:rPr>
          <w:rFonts w:cs="Arial"/>
          <w:sz w:val="24"/>
          <w:szCs w:val="24"/>
          <w:lang w:val="es-MX"/>
        </w:rPr>
        <w:t>E</w:t>
      </w:r>
      <w:r w:rsidR="00AC3CBF" w:rsidRPr="00867E06">
        <w:rPr>
          <w:rFonts w:cs="Arial"/>
          <w:sz w:val="24"/>
          <w:szCs w:val="24"/>
          <w:lang w:val="es-MX"/>
        </w:rPr>
        <w:t>n el video 3</w:t>
      </w:r>
      <w:r w:rsidR="00EE1934" w:rsidRPr="00867E06">
        <w:rPr>
          <w:rFonts w:cs="Arial"/>
          <w:sz w:val="24"/>
          <w:szCs w:val="24"/>
          <w:lang w:val="es-MX"/>
        </w:rPr>
        <w:t xml:space="preserve">, la mujer 1 relató que armarían la queja </w:t>
      </w:r>
      <w:r w:rsidR="00B51761" w:rsidRPr="00867E06">
        <w:rPr>
          <w:rFonts w:cs="Arial"/>
          <w:sz w:val="24"/>
          <w:szCs w:val="24"/>
          <w:lang w:val="es-MX"/>
        </w:rPr>
        <w:t xml:space="preserve">sobre los hechos sucedidos, para llevarla al COPRED. Asimismo, </w:t>
      </w:r>
      <w:r w:rsidR="00CD2AE6">
        <w:rPr>
          <w:rFonts w:cs="Arial"/>
          <w:sz w:val="24"/>
          <w:szCs w:val="24"/>
          <w:lang w:val="es-MX"/>
        </w:rPr>
        <w:t>narró</w:t>
      </w:r>
      <w:r w:rsidR="00CD2AE6" w:rsidRPr="00867E06">
        <w:rPr>
          <w:rFonts w:cs="Arial"/>
          <w:sz w:val="24"/>
          <w:szCs w:val="24"/>
          <w:lang w:val="es-MX"/>
        </w:rPr>
        <w:t xml:space="preserve"> </w:t>
      </w:r>
      <w:r w:rsidR="00B51761" w:rsidRPr="00867E06">
        <w:rPr>
          <w:rFonts w:cs="Arial"/>
          <w:sz w:val="24"/>
          <w:szCs w:val="24"/>
          <w:lang w:val="es-MX"/>
        </w:rPr>
        <w:t xml:space="preserve">que las mujeres habían acudido “aquí </w:t>
      </w:r>
      <w:r w:rsidR="00B51761" w:rsidRPr="00A36289">
        <w:rPr>
          <w:rFonts w:cs="Arial"/>
          <w:sz w:val="24"/>
          <w:szCs w:val="24"/>
          <w:lang w:val="es-MX"/>
        </w:rPr>
        <w:t xml:space="preserve">a </w:t>
      </w:r>
      <w:r w:rsidR="00EE1934" w:rsidRPr="00A36289">
        <w:rPr>
          <w:rFonts w:cs="Arial"/>
          <w:sz w:val="24"/>
          <w:szCs w:val="24"/>
        </w:rPr>
        <w:t>“AHF”</w:t>
      </w:r>
      <w:r w:rsidR="00B51761" w:rsidRPr="00A36289">
        <w:rPr>
          <w:rFonts w:cs="Arial"/>
          <w:sz w:val="24"/>
          <w:szCs w:val="24"/>
        </w:rPr>
        <w:t xml:space="preserve">”, </w:t>
      </w:r>
      <w:r w:rsidR="00EE1934" w:rsidRPr="00A36289">
        <w:rPr>
          <w:rFonts w:cs="Arial"/>
          <w:sz w:val="24"/>
          <w:szCs w:val="24"/>
        </w:rPr>
        <w:t xml:space="preserve">para que </w:t>
      </w:r>
      <w:r w:rsidR="00B51761" w:rsidRPr="00A36289">
        <w:rPr>
          <w:rFonts w:cs="Arial"/>
          <w:sz w:val="24"/>
          <w:szCs w:val="24"/>
        </w:rPr>
        <w:t>les</w:t>
      </w:r>
      <w:r w:rsidR="00EE1934" w:rsidRPr="00A36289">
        <w:rPr>
          <w:rFonts w:cs="Arial"/>
          <w:sz w:val="24"/>
          <w:szCs w:val="24"/>
        </w:rPr>
        <w:t xml:space="preserve"> dieran un poco de asilo.</w:t>
      </w:r>
    </w:p>
    <w:p w14:paraId="02609E94" w14:textId="5B38FCD9" w:rsidR="00BD3221" w:rsidRPr="00A36289" w:rsidRDefault="00BD3221" w:rsidP="004E7D9A">
      <w:pPr>
        <w:pStyle w:val="corte4fondo"/>
        <w:numPr>
          <w:ilvl w:val="4"/>
          <w:numId w:val="6"/>
        </w:numPr>
        <w:spacing w:after="80" w:line="276" w:lineRule="auto"/>
        <w:ind w:left="567" w:right="51" w:hanging="425"/>
        <w:rPr>
          <w:rFonts w:cs="Arial"/>
          <w:sz w:val="24"/>
          <w:szCs w:val="24"/>
        </w:rPr>
      </w:pPr>
      <w:r w:rsidRPr="00A36289">
        <w:rPr>
          <w:rFonts w:cs="Arial"/>
          <w:sz w:val="24"/>
          <w:szCs w:val="24"/>
        </w:rPr>
        <w:t>El video 3 también muestra a un señor ofreciendo ayuda a las tres mujeres, comentándole</w:t>
      </w:r>
      <w:r w:rsidR="00CD2AE6" w:rsidRPr="00A36289">
        <w:rPr>
          <w:rFonts w:cs="Arial"/>
          <w:sz w:val="24"/>
          <w:szCs w:val="24"/>
        </w:rPr>
        <w:t>s</w:t>
      </w:r>
      <w:r w:rsidRPr="00A36289">
        <w:rPr>
          <w:rFonts w:cs="Arial"/>
          <w:sz w:val="24"/>
          <w:szCs w:val="24"/>
        </w:rPr>
        <w:t xml:space="preserve"> que son libres de acudir a tal especio, y que están dispuestos a apoyarlas y sumarse de alguna manera. Asimismo, les brindó apoyo para que las señoras pudieran escribir la queja. La mujer 2 le contestó que con ese apoyo les había “salvado la vida”.</w:t>
      </w:r>
    </w:p>
    <w:p w14:paraId="11A61ABA" w14:textId="16773F5F" w:rsidR="00596C4B" w:rsidRPr="00867E06" w:rsidRDefault="00B07591" w:rsidP="004E7D9A">
      <w:pPr>
        <w:pStyle w:val="corte4fondo"/>
        <w:numPr>
          <w:ilvl w:val="4"/>
          <w:numId w:val="6"/>
        </w:numPr>
        <w:spacing w:after="80" w:line="276" w:lineRule="auto"/>
        <w:ind w:left="567" w:right="51" w:hanging="425"/>
        <w:rPr>
          <w:rFonts w:cs="Arial"/>
          <w:sz w:val="24"/>
          <w:szCs w:val="24"/>
          <w:lang w:val="es-MX"/>
        </w:rPr>
      </w:pPr>
      <w:r w:rsidRPr="00A36289">
        <w:rPr>
          <w:rFonts w:cs="Arial"/>
          <w:sz w:val="24"/>
          <w:szCs w:val="24"/>
        </w:rPr>
        <w:lastRenderedPageBreak/>
        <w:t>Finalmente, en el video 4</w:t>
      </w:r>
      <w:r w:rsidR="00B51A92" w:rsidRPr="00A36289">
        <w:rPr>
          <w:rFonts w:cs="Arial"/>
          <w:sz w:val="24"/>
          <w:szCs w:val="24"/>
        </w:rPr>
        <w:t xml:space="preserve">, la mujer 3 narró que cuando no vio a una de las mujeres en el centro Telcel, en </w:t>
      </w:r>
      <w:r w:rsidR="00B51A92" w:rsidRPr="00867E06">
        <w:rPr>
          <w:rFonts w:cs="Arial"/>
          <w:sz w:val="24"/>
          <w:szCs w:val="24"/>
        </w:rPr>
        <w:t xml:space="preserve">donde también las personas estaban como “tiburón” viéndola, </w:t>
      </w:r>
      <w:r w:rsidR="00596C4B" w:rsidRPr="00867E06">
        <w:rPr>
          <w:rFonts w:cs="Arial"/>
          <w:sz w:val="24"/>
          <w:szCs w:val="24"/>
        </w:rPr>
        <w:t xml:space="preserve">se imaginó que algo había pasado. Añadió que nunca se debe dejar pasar lo sucedido en el centro comercial. </w:t>
      </w:r>
    </w:p>
    <w:p w14:paraId="5AF22DFD" w14:textId="1901A1C7" w:rsidR="00010AEB" w:rsidRPr="00867E06" w:rsidRDefault="00B51A92" w:rsidP="004E7D9A">
      <w:pPr>
        <w:pStyle w:val="corte4fondo"/>
        <w:numPr>
          <w:ilvl w:val="4"/>
          <w:numId w:val="6"/>
        </w:numPr>
        <w:spacing w:after="80" w:line="276" w:lineRule="auto"/>
        <w:ind w:left="567" w:right="51" w:hanging="425"/>
        <w:rPr>
          <w:rFonts w:cs="Arial"/>
          <w:sz w:val="24"/>
          <w:szCs w:val="24"/>
          <w:lang w:val="es-MX"/>
        </w:rPr>
      </w:pPr>
      <w:r w:rsidRPr="00867E06">
        <w:rPr>
          <w:rFonts w:cs="Arial"/>
          <w:sz w:val="24"/>
          <w:szCs w:val="24"/>
          <w:lang w:val="es-MX"/>
        </w:rPr>
        <w:t xml:space="preserve">El video 4 </w:t>
      </w:r>
      <w:r w:rsidR="00596C4B" w:rsidRPr="00867E06">
        <w:rPr>
          <w:rFonts w:cs="Arial"/>
          <w:sz w:val="24"/>
          <w:szCs w:val="24"/>
          <w:lang w:val="es-MX"/>
        </w:rPr>
        <w:t>también</w:t>
      </w:r>
      <w:r w:rsidR="00B07591" w:rsidRPr="00867E06">
        <w:rPr>
          <w:rFonts w:cs="Arial"/>
          <w:sz w:val="24"/>
          <w:szCs w:val="24"/>
        </w:rPr>
        <w:t xml:space="preserve"> muestra </w:t>
      </w:r>
      <w:r w:rsidR="00596C4B" w:rsidRPr="00867E06">
        <w:rPr>
          <w:rFonts w:cs="Arial"/>
          <w:sz w:val="24"/>
          <w:szCs w:val="24"/>
        </w:rPr>
        <w:t>cómo</w:t>
      </w:r>
      <w:r w:rsidR="00B07591" w:rsidRPr="00867E06">
        <w:rPr>
          <w:rFonts w:cs="Arial"/>
          <w:sz w:val="24"/>
          <w:szCs w:val="24"/>
        </w:rPr>
        <w:t xml:space="preserve"> la mujer 2</w:t>
      </w:r>
      <w:r w:rsidR="00596C4B" w:rsidRPr="00867E06">
        <w:rPr>
          <w:rFonts w:cs="Arial"/>
          <w:sz w:val="24"/>
          <w:szCs w:val="24"/>
        </w:rPr>
        <w:t xml:space="preserve"> </w:t>
      </w:r>
      <w:r w:rsidR="00B07591" w:rsidRPr="00867E06">
        <w:rPr>
          <w:rFonts w:cs="Arial"/>
          <w:sz w:val="24"/>
          <w:szCs w:val="24"/>
          <w:lang w:val="es-MX"/>
        </w:rPr>
        <w:t>comienza a llorar</w:t>
      </w:r>
      <w:r w:rsidR="00596C4B" w:rsidRPr="00867E06">
        <w:rPr>
          <w:rFonts w:cs="Arial"/>
          <w:sz w:val="24"/>
          <w:szCs w:val="24"/>
          <w:lang w:val="es-MX"/>
        </w:rPr>
        <w:t xml:space="preserve">, </w:t>
      </w:r>
      <w:r w:rsidR="00010AEB" w:rsidRPr="00867E06">
        <w:rPr>
          <w:rFonts w:cs="Arial"/>
          <w:sz w:val="24"/>
          <w:szCs w:val="24"/>
          <w:lang w:val="es-MX"/>
        </w:rPr>
        <w:t xml:space="preserve">mientras </w:t>
      </w:r>
      <w:r w:rsidRPr="00867E06">
        <w:rPr>
          <w:rFonts w:cs="Arial"/>
          <w:sz w:val="24"/>
          <w:szCs w:val="24"/>
          <w:lang w:val="es-MX"/>
        </w:rPr>
        <w:t>la</w:t>
      </w:r>
      <w:r w:rsidR="00010AEB" w:rsidRPr="00867E06">
        <w:rPr>
          <w:rFonts w:cs="Arial"/>
          <w:sz w:val="24"/>
          <w:szCs w:val="24"/>
          <w:lang w:val="es-MX"/>
        </w:rPr>
        <w:t xml:space="preserve"> mujer </w:t>
      </w:r>
      <w:r w:rsidRPr="00867E06">
        <w:rPr>
          <w:rFonts w:cs="Arial"/>
          <w:sz w:val="24"/>
          <w:szCs w:val="24"/>
          <w:lang w:val="es-MX"/>
        </w:rPr>
        <w:t xml:space="preserve">3 </w:t>
      </w:r>
      <w:r w:rsidR="00010AEB" w:rsidRPr="00867E06">
        <w:rPr>
          <w:rFonts w:cs="Arial"/>
          <w:sz w:val="24"/>
          <w:szCs w:val="24"/>
          <w:lang w:val="es-MX"/>
        </w:rPr>
        <w:t>la consuela</w:t>
      </w:r>
      <w:r w:rsidR="00B07591" w:rsidRPr="00867E06">
        <w:rPr>
          <w:rFonts w:cs="Arial"/>
          <w:sz w:val="24"/>
          <w:szCs w:val="24"/>
          <w:lang w:val="es-MX"/>
        </w:rPr>
        <w:t xml:space="preserve">. Tanto </w:t>
      </w:r>
      <w:r w:rsidR="00867E06" w:rsidRPr="00867E06">
        <w:rPr>
          <w:rFonts w:cs="Arial"/>
          <w:sz w:val="24"/>
          <w:szCs w:val="24"/>
          <w:lang w:val="es-MX"/>
        </w:rPr>
        <w:t xml:space="preserve">la mujer 1 como la mujer 2 </w:t>
      </w:r>
      <w:r w:rsidR="00010AEB" w:rsidRPr="00867E06">
        <w:rPr>
          <w:rFonts w:cs="Arial"/>
          <w:sz w:val="24"/>
          <w:szCs w:val="24"/>
          <w:lang w:val="es-MX"/>
        </w:rPr>
        <w:t xml:space="preserve">insisten en su derecho de utilizar el </w:t>
      </w:r>
      <w:r w:rsidR="002E0FAA">
        <w:rPr>
          <w:rFonts w:cs="Arial"/>
          <w:sz w:val="24"/>
          <w:szCs w:val="24"/>
          <w:lang w:val="es-MX"/>
        </w:rPr>
        <w:t>sanitario</w:t>
      </w:r>
      <w:r w:rsidR="00010AEB" w:rsidRPr="00867E06">
        <w:rPr>
          <w:rFonts w:cs="Arial"/>
          <w:sz w:val="24"/>
          <w:szCs w:val="24"/>
          <w:lang w:val="es-MX"/>
        </w:rPr>
        <w:t xml:space="preserve"> de mujeres sin ser juzgadas o humilladas. Declaran que desean vivir dignamente y sin </w:t>
      </w:r>
      <w:r w:rsidR="00867E06" w:rsidRPr="00867E06">
        <w:rPr>
          <w:rFonts w:cs="Arial"/>
          <w:sz w:val="24"/>
          <w:szCs w:val="24"/>
          <w:lang w:val="es-MX"/>
        </w:rPr>
        <w:t>actos de transfobia</w:t>
      </w:r>
      <w:r w:rsidR="00010AEB" w:rsidRPr="00867E06">
        <w:rPr>
          <w:rFonts w:cs="Arial"/>
          <w:sz w:val="24"/>
          <w:szCs w:val="24"/>
          <w:lang w:val="es-MX"/>
        </w:rPr>
        <w:t>.</w:t>
      </w:r>
      <w:r w:rsidR="00867E06" w:rsidRPr="00867E06">
        <w:rPr>
          <w:rFonts w:cs="Arial"/>
          <w:sz w:val="24"/>
          <w:szCs w:val="24"/>
          <w:lang w:val="es-MX"/>
        </w:rPr>
        <w:t xml:space="preserve"> La mujer 1 señala que buscará</w:t>
      </w:r>
      <w:r w:rsidR="00010AEB" w:rsidRPr="00867E06">
        <w:rPr>
          <w:rFonts w:cs="Arial"/>
          <w:sz w:val="24"/>
          <w:szCs w:val="24"/>
          <w:lang w:val="es-MX"/>
        </w:rPr>
        <w:t xml:space="preserve"> justicia para ellas y otras personas en situaciones similares.</w:t>
      </w:r>
    </w:p>
    <w:p w14:paraId="0C21C9E9" w14:textId="77777777" w:rsidR="00B07591" w:rsidRDefault="00B07591" w:rsidP="00070BFC">
      <w:pPr>
        <w:pStyle w:val="corte4fondo"/>
        <w:ind w:right="51" w:firstLine="0"/>
        <w:rPr>
          <w:rFonts w:cs="Arial"/>
          <w:sz w:val="26"/>
          <w:szCs w:val="26"/>
          <w:lang w:val="es-ES"/>
        </w:rPr>
      </w:pPr>
    </w:p>
    <w:p w14:paraId="29466A9A" w14:textId="58801E07" w:rsidR="006D7276" w:rsidRPr="00D91AF8" w:rsidRDefault="005A4528" w:rsidP="001A476B">
      <w:pPr>
        <w:pStyle w:val="corte4fondo"/>
        <w:numPr>
          <w:ilvl w:val="0"/>
          <w:numId w:val="2"/>
        </w:numPr>
        <w:ind w:left="0" w:right="51" w:hanging="567"/>
        <w:rPr>
          <w:rFonts w:cs="Arial"/>
          <w:color w:val="000000" w:themeColor="text1"/>
          <w:sz w:val="26"/>
          <w:szCs w:val="26"/>
          <w:lang w:val="es-ES"/>
        </w:rPr>
      </w:pPr>
      <w:r>
        <w:rPr>
          <w:rFonts w:cs="Arial"/>
          <w:sz w:val="26"/>
          <w:szCs w:val="26"/>
          <w:lang w:val="es-ES"/>
        </w:rPr>
        <w:t>Asimismo, c</w:t>
      </w:r>
      <w:r w:rsidR="002B6FBD" w:rsidRPr="006E2FB0">
        <w:rPr>
          <w:rFonts w:cs="Arial"/>
          <w:sz w:val="26"/>
          <w:szCs w:val="26"/>
          <w:lang w:val="es-ES"/>
        </w:rPr>
        <w:t>omo parte del an</w:t>
      </w:r>
      <w:r w:rsidR="002B6FBD" w:rsidRPr="002F2D20">
        <w:rPr>
          <w:rFonts w:cs="Arial"/>
          <w:sz w:val="26"/>
          <w:szCs w:val="26"/>
          <w:lang w:val="es-ES"/>
        </w:rPr>
        <w:t xml:space="preserve">álisis contextual de los hechos, </w:t>
      </w:r>
      <w:r w:rsidR="006D7276" w:rsidRPr="002F2D20">
        <w:rPr>
          <w:rFonts w:cs="Arial"/>
          <w:sz w:val="26"/>
          <w:szCs w:val="26"/>
          <w:lang w:val="es-ES"/>
        </w:rPr>
        <w:t>resalta</w:t>
      </w:r>
      <w:r w:rsidR="001A20FA" w:rsidRPr="002F2D20">
        <w:rPr>
          <w:rFonts w:cs="Arial"/>
          <w:sz w:val="26"/>
          <w:szCs w:val="26"/>
          <w:lang w:val="es-ES"/>
        </w:rPr>
        <w:t>mos</w:t>
      </w:r>
      <w:r w:rsidR="006D7276" w:rsidRPr="002F2D20">
        <w:rPr>
          <w:rFonts w:cs="Arial"/>
          <w:sz w:val="26"/>
          <w:szCs w:val="26"/>
          <w:lang w:val="es-ES"/>
        </w:rPr>
        <w:t xml:space="preserve"> que, en </w:t>
      </w:r>
      <w:r w:rsidR="006D7276" w:rsidRPr="00D22A06">
        <w:rPr>
          <w:rFonts w:cs="Arial"/>
          <w:sz w:val="26"/>
          <w:szCs w:val="26"/>
          <w:lang w:val="es-ES"/>
        </w:rPr>
        <w:t xml:space="preserve">los videos 1 y </w:t>
      </w:r>
      <w:r w:rsidR="002F2D20" w:rsidRPr="00D22A06">
        <w:rPr>
          <w:rFonts w:cs="Arial"/>
          <w:sz w:val="26"/>
          <w:szCs w:val="26"/>
          <w:lang w:val="es-ES"/>
        </w:rPr>
        <w:t>3</w:t>
      </w:r>
      <w:r w:rsidR="006D7276" w:rsidRPr="00D22A06">
        <w:rPr>
          <w:rFonts w:cs="Arial"/>
          <w:sz w:val="26"/>
          <w:szCs w:val="26"/>
          <w:lang w:val="es-ES"/>
        </w:rPr>
        <w:t>,</w:t>
      </w:r>
      <w:r w:rsidR="006D7276" w:rsidRPr="002F2D20">
        <w:rPr>
          <w:rFonts w:cs="Arial"/>
          <w:sz w:val="26"/>
          <w:szCs w:val="26"/>
          <w:lang w:val="es-ES"/>
        </w:rPr>
        <w:t xml:space="preserve"> la mujer</w:t>
      </w:r>
      <w:r w:rsidR="002F2D20">
        <w:rPr>
          <w:rFonts w:cs="Arial"/>
          <w:sz w:val="26"/>
          <w:szCs w:val="26"/>
          <w:lang w:val="es-ES"/>
        </w:rPr>
        <w:t xml:space="preserve"> 1 y la mujer</w:t>
      </w:r>
      <w:r w:rsidR="006D7276">
        <w:rPr>
          <w:rFonts w:cs="Arial"/>
          <w:sz w:val="26"/>
          <w:szCs w:val="26"/>
          <w:lang w:val="es-ES"/>
        </w:rPr>
        <w:t xml:space="preserve"> 2 </w:t>
      </w:r>
      <w:r w:rsidR="002F2D20">
        <w:rPr>
          <w:rFonts w:cs="Arial"/>
          <w:sz w:val="26"/>
          <w:szCs w:val="26"/>
          <w:lang w:val="es-ES"/>
        </w:rPr>
        <w:t>(</w:t>
      </w:r>
      <w:r w:rsidR="006D7276">
        <w:rPr>
          <w:rFonts w:cs="Arial"/>
          <w:sz w:val="26"/>
          <w:szCs w:val="26"/>
          <w:lang w:val="es-ES"/>
        </w:rPr>
        <w:t>q</w:t>
      </w:r>
      <w:r w:rsidR="002F2D20">
        <w:rPr>
          <w:rFonts w:cs="Arial"/>
          <w:sz w:val="26"/>
          <w:szCs w:val="26"/>
          <w:lang w:val="es-ES"/>
        </w:rPr>
        <w:t>uien</w:t>
      </w:r>
      <w:r w:rsidR="006D7276">
        <w:rPr>
          <w:rFonts w:cs="Arial"/>
          <w:sz w:val="26"/>
          <w:szCs w:val="26"/>
          <w:lang w:val="es-ES"/>
        </w:rPr>
        <w:t xml:space="preserve"> se identifica como </w:t>
      </w:r>
      <w:r w:rsidR="001A20FA" w:rsidRPr="006E2FB0">
        <w:rPr>
          <w:rFonts w:cs="Arial"/>
          <w:color w:val="FF0000"/>
          <w:sz w:val="26"/>
          <w:szCs w:val="26"/>
          <w:lang w:val="es-ES"/>
        </w:rPr>
        <w:t>AF</w:t>
      </w:r>
      <w:r w:rsidR="002F2D20">
        <w:rPr>
          <w:rFonts w:cs="Arial"/>
          <w:sz w:val="26"/>
          <w:szCs w:val="26"/>
          <w:lang w:val="es-ES"/>
        </w:rPr>
        <w:t xml:space="preserve">) </w:t>
      </w:r>
      <w:r w:rsidR="001A20FA">
        <w:rPr>
          <w:rFonts w:cs="Arial"/>
          <w:sz w:val="26"/>
          <w:szCs w:val="26"/>
          <w:lang w:val="es-ES"/>
        </w:rPr>
        <w:t>reproch</w:t>
      </w:r>
      <w:r w:rsidR="002F2D20">
        <w:rPr>
          <w:rFonts w:cs="Arial"/>
          <w:sz w:val="26"/>
          <w:szCs w:val="26"/>
          <w:lang w:val="es-ES"/>
        </w:rPr>
        <w:t>aron</w:t>
      </w:r>
      <w:r w:rsidR="001A20FA">
        <w:rPr>
          <w:rFonts w:cs="Arial"/>
          <w:sz w:val="26"/>
          <w:szCs w:val="26"/>
          <w:lang w:val="es-ES"/>
        </w:rPr>
        <w:t xml:space="preserve"> que </w:t>
      </w:r>
      <w:r w:rsidR="00C41F56">
        <w:rPr>
          <w:rFonts w:cs="Arial"/>
          <w:sz w:val="26"/>
          <w:szCs w:val="26"/>
          <w:lang w:val="es-ES"/>
        </w:rPr>
        <w:t>la negativa de acceso a los sanitarios</w:t>
      </w:r>
      <w:r w:rsidR="001A20FA">
        <w:rPr>
          <w:rFonts w:cs="Arial"/>
          <w:sz w:val="26"/>
          <w:szCs w:val="26"/>
          <w:lang w:val="es-ES"/>
        </w:rPr>
        <w:t xml:space="preserve"> ocurriera en la “ciu</w:t>
      </w:r>
      <w:r w:rsidR="001A20FA" w:rsidRPr="007D3D88">
        <w:rPr>
          <w:rFonts w:cs="Arial"/>
          <w:sz w:val="26"/>
          <w:szCs w:val="26"/>
          <w:lang w:val="es-ES"/>
        </w:rPr>
        <w:t>dad amigab</w:t>
      </w:r>
      <w:r w:rsidR="001A20FA" w:rsidRPr="005332A4">
        <w:rPr>
          <w:rFonts w:cs="Arial"/>
          <w:sz w:val="26"/>
          <w:szCs w:val="26"/>
          <w:lang w:val="es-ES"/>
        </w:rPr>
        <w:t>le”.</w:t>
      </w:r>
      <w:r w:rsidR="00302A50" w:rsidRPr="005332A4">
        <w:rPr>
          <w:rFonts w:cs="Arial"/>
          <w:sz w:val="26"/>
          <w:szCs w:val="26"/>
          <w:lang w:val="es-ES"/>
        </w:rPr>
        <w:t xml:space="preserve"> </w:t>
      </w:r>
      <w:r w:rsidR="0040604F">
        <w:rPr>
          <w:rFonts w:cs="Arial"/>
          <w:sz w:val="26"/>
          <w:szCs w:val="26"/>
          <w:lang w:val="es-ES"/>
        </w:rPr>
        <w:t>E</w:t>
      </w:r>
      <w:r w:rsidR="00302A50" w:rsidRPr="00302A50">
        <w:rPr>
          <w:rFonts w:cs="Arial"/>
          <w:sz w:val="26"/>
          <w:szCs w:val="26"/>
          <w:lang w:val="es-ES"/>
        </w:rPr>
        <w:t xml:space="preserve">n el video 3, </w:t>
      </w:r>
      <w:r w:rsidR="00A740C8">
        <w:rPr>
          <w:rFonts w:cs="Arial"/>
          <w:sz w:val="26"/>
          <w:szCs w:val="26"/>
          <w:lang w:val="es-ES"/>
        </w:rPr>
        <w:t>la mujer 1 sostuvo</w:t>
      </w:r>
      <w:r w:rsidR="00302A50" w:rsidRPr="00302A50">
        <w:rPr>
          <w:rFonts w:cs="Arial"/>
          <w:sz w:val="26"/>
          <w:szCs w:val="26"/>
          <w:lang w:val="es-ES"/>
        </w:rPr>
        <w:t xml:space="preserve"> que, ante los hechos que vivieron, parecía que la </w:t>
      </w:r>
      <w:r w:rsidR="00302A50" w:rsidRPr="00D22A06">
        <w:rPr>
          <w:rFonts w:cs="Arial"/>
          <w:sz w:val="26"/>
          <w:szCs w:val="26"/>
        </w:rPr>
        <w:t xml:space="preserve">“ciudad amigable” no era nada amigable, que era </w:t>
      </w:r>
      <w:r w:rsidR="00A740C8">
        <w:rPr>
          <w:rFonts w:cs="Arial"/>
          <w:sz w:val="26"/>
          <w:szCs w:val="26"/>
        </w:rPr>
        <w:t>“</w:t>
      </w:r>
      <w:r w:rsidR="00302A50" w:rsidRPr="00D22A06">
        <w:rPr>
          <w:rFonts w:cs="Arial"/>
          <w:sz w:val="26"/>
          <w:szCs w:val="26"/>
        </w:rPr>
        <w:t>todo lo contrario a amigable”.</w:t>
      </w:r>
      <w:r w:rsidR="00396CF6">
        <w:rPr>
          <w:rFonts w:cs="Arial"/>
          <w:sz w:val="26"/>
          <w:szCs w:val="26"/>
        </w:rPr>
        <w:t xml:space="preserve"> </w:t>
      </w:r>
      <w:r w:rsidR="00396CF6">
        <w:rPr>
          <w:rFonts w:cs="Arial"/>
          <w:sz w:val="26"/>
          <w:szCs w:val="26"/>
          <w:lang w:val="es-ES"/>
        </w:rPr>
        <w:t>E</w:t>
      </w:r>
      <w:r w:rsidR="001A20FA" w:rsidRPr="00302A50">
        <w:rPr>
          <w:rFonts w:cs="Arial"/>
          <w:sz w:val="26"/>
          <w:szCs w:val="26"/>
          <w:lang w:val="es-ES"/>
        </w:rPr>
        <w:t>s un hecho notorio que</w:t>
      </w:r>
      <w:r w:rsidR="00D91AF8" w:rsidRPr="00302A50">
        <w:rPr>
          <w:rFonts w:cs="Arial"/>
          <w:sz w:val="26"/>
          <w:szCs w:val="26"/>
          <w:lang w:val="es-ES"/>
        </w:rPr>
        <w:t xml:space="preserve">, precisamente el 23 de noviembre </w:t>
      </w:r>
      <w:r w:rsidR="00D91AF8">
        <w:rPr>
          <w:rFonts w:cs="Arial"/>
          <w:sz w:val="26"/>
          <w:szCs w:val="26"/>
          <w:lang w:val="es-ES"/>
        </w:rPr>
        <w:t>de 2015</w:t>
      </w:r>
      <w:r>
        <w:rPr>
          <w:rFonts w:cs="Arial"/>
          <w:sz w:val="26"/>
          <w:szCs w:val="26"/>
          <w:lang w:val="es-ES"/>
        </w:rPr>
        <w:t xml:space="preserve"> (</w:t>
      </w:r>
      <w:r w:rsidR="00D91AF8">
        <w:rPr>
          <w:rFonts w:cs="Arial"/>
          <w:sz w:val="26"/>
          <w:szCs w:val="26"/>
          <w:lang w:val="es-ES"/>
        </w:rPr>
        <w:t>dos días antes de los hechos</w:t>
      </w:r>
      <w:r>
        <w:rPr>
          <w:rFonts w:cs="Arial"/>
          <w:sz w:val="26"/>
          <w:szCs w:val="26"/>
          <w:lang w:val="es-ES"/>
        </w:rPr>
        <w:t>)</w:t>
      </w:r>
      <w:r w:rsidR="00D91AF8">
        <w:rPr>
          <w:rFonts w:cs="Arial"/>
          <w:sz w:val="26"/>
          <w:szCs w:val="26"/>
          <w:lang w:val="es-ES"/>
        </w:rPr>
        <w:t>, el Jefe de Gobiern</w:t>
      </w:r>
      <w:r w:rsidR="00424401">
        <w:rPr>
          <w:rFonts w:cs="Arial"/>
          <w:sz w:val="26"/>
          <w:szCs w:val="26"/>
          <w:lang w:val="es-ES"/>
        </w:rPr>
        <w:t>o</w:t>
      </w:r>
      <w:r w:rsidR="00D91AF8">
        <w:rPr>
          <w:rFonts w:cs="Arial"/>
          <w:sz w:val="26"/>
          <w:szCs w:val="26"/>
          <w:lang w:val="es-ES"/>
        </w:rPr>
        <w:t xml:space="preserve"> </w:t>
      </w:r>
      <w:r w:rsidR="0073313C">
        <w:rPr>
          <w:rFonts w:cs="Arial"/>
          <w:sz w:val="26"/>
          <w:szCs w:val="26"/>
          <w:lang w:val="es-ES"/>
        </w:rPr>
        <w:t>declaró</w:t>
      </w:r>
      <w:r w:rsidR="00D91AF8">
        <w:rPr>
          <w:rFonts w:cs="Arial"/>
          <w:sz w:val="26"/>
          <w:szCs w:val="26"/>
          <w:lang w:val="es-ES"/>
        </w:rPr>
        <w:t xml:space="preserve"> a la</w:t>
      </w:r>
      <w:r w:rsidR="00424401">
        <w:rPr>
          <w:rFonts w:cs="Arial"/>
          <w:sz w:val="26"/>
          <w:szCs w:val="26"/>
          <w:lang w:val="es-ES"/>
        </w:rPr>
        <w:t xml:space="preserve"> Ciudad de México</w:t>
      </w:r>
      <w:r w:rsidR="00D91AF8">
        <w:rPr>
          <w:rFonts w:cs="Arial"/>
          <w:sz w:val="26"/>
          <w:szCs w:val="26"/>
          <w:lang w:val="es-ES"/>
        </w:rPr>
        <w:t xml:space="preserve"> como “Ciudad Amigable LGBTTTI”</w:t>
      </w:r>
      <w:r w:rsidR="006D7276" w:rsidRPr="00B266BE">
        <w:rPr>
          <w:rStyle w:val="Refdenotaalpie"/>
          <w:rFonts w:cs="Arial"/>
        </w:rPr>
        <w:footnoteReference w:id="71"/>
      </w:r>
      <w:r w:rsidR="00D91AF8">
        <w:rPr>
          <w:rFonts w:cs="Arial"/>
          <w:sz w:val="26"/>
          <w:szCs w:val="26"/>
          <w:lang w:val="es-ES"/>
        </w:rPr>
        <w:t>.</w:t>
      </w:r>
      <w:r w:rsidR="008A1AB7">
        <w:rPr>
          <w:rFonts w:cs="Arial"/>
          <w:sz w:val="26"/>
          <w:szCs w:val="26"/>
          <w:lang w:val="es-ES"/>
        </w:rPr>
        <w:t xml:space="preserve"> </w:t>
      </w:r>
    </w:p>
    <w:p w14:paraId="4FB9F8DA" w14:textId="77777777" w:rsidR="006D7276" w:rsidRPr="006E2FB0" w:rsidRDefault="006D7276" w:rsidP="001A476B">
      <w:pPr>
        <w:pStyle w:val="corte4fondo"/>
        <w:ind w:right="51" w:hanging="567"/>
        <w:rPr>
          <w:rFonts w:cs="Arial"/>
          <w:color w:val="000000" w:themeColor="text1"/>
          <w:sz w:val="26"/>
          <w:szCs w:val="26"/>
          <w:lang w:val="es-ES"/>
        </w:rPr>
      </w:pPr>
    </w:p>
    <w:p w14:paraId="4BB1D6EB" w14:textId="03ADFCE1" w:rsidR="00ED2F59" w:rsidRPr="006E2FB0" w:rsidRDefault="006D7276" w:rsidP="001A476B">
      <w:pPr>
        <w:pStyle w:val="corte4fondo"/>
        <w:numPr>
          <w:ilvl w:val="0"/>
          <w:numId w:val="2"/>
        </w:numPr>
        <w:ind w:left="0" w:right="51" w:hanging="567"/>
        <w:rPr>
          <w:rFonts w:cs="Arial"/>
          <w:color w:val="000000" w:themeColor="text1"/>
          <w:sz w:val="26"/>
          <w:szCs w:val="26"/>
          <w:lang w:val="es-ES"/>
        </w:rPr>
      </w:pPr>
      <w:r>
        <w:rPr>
          <w:rFonts w:cs="Arial"/>
          <w:sz w:val="26"/>
          <w:szCs w:val="26"/>
          <w:lang w:val="es-ES"/>
        </w:rPr>
        <w:t xml:space="preserve">Finalmente, </w:t>
      </w:r>
      <w:r w:rsidR="002B6FBD" w:rsidRPr="006E2FB0">
        <w:rPr>
          <w:rFonts w:cs="Arial"/>
          <w:sz w:val="26"/>
          <w:szCs w:val="26"/>
          <w:lang w:val="es-ES"/>
        </w:rPr>
        <w:t xml:space="preserve">esta Sala </w:t>
      </w:r>
      <w:r w:rsidR="00541AA3">
        <w:rPr>
          <w:rFonts w:cs="Arial"/>
          <w:sz w:val="26"/>
          <w:szCs w:val="26"/>
          <w:lang w:val="es-ES"/>
        </w:rPr>
        <w:t>considera</w:t>
      </w:r>
      <w:r w:rsidR="00541AA3" w:rsidRPr="006E2FB0">
        <w:rPr>
          <w:rFonts w:cs="Arial"/>
          <w:sz w:val="26"/>
          <w:szCs w:val="26"/>
          <w:lang w:val="es-ES"/>
        </w:rPr>
        <w:t xml:space="preserve"> </w:t>
      </w:r>
      <w:r w:rsidR="002B6FBD" w:rsidRPr="006E2FB0">
        <w:rPr>
          <w:rFonts w:cs="Arial"/>
          <w:sz w:val="26"/>
          <w:szCs w:val="26"/>
          <w:lang w:val="es-ES"/>
        </w:rPr>
        <w:t xml:space="preserve">que </w:t>
      </w:r>
      <w:r w:rsidR="00ED2F59" w:rsidRPr="006E2FB0">
        <w:rPr>
          <w:rFonts w:cs="Arial"/>
          <w:sz w:val="26"/>
          <w:szCs w:val="26"/>
          <w:lang w:val="es-ES"/>
        </w:rPr>
        <w:t>la declaración d</w:t>
      </w:r>
      <w:r w:rsidR="002B6FBD" w:rsidRPr="006E2FB0">
        <w:rPr>
          <w:rFonts w:cs="Arial"/>
          <w:sz w:val="26"/>
          <w:szCs w:val="26"/>
          <w:lang w:val="es-ES"/>
        </w:rPr>
        <w:t xml:space="preserve">el testigo </w:t>
      </w:r>
      <w:r w:rsidR="002B6FBD" w:rsidRPr="006E2FB0">
        <w:rPr>
          <w:rFonts w:cs="Arial"/>
          <w:color w:val="FF0000"/>
          <w:sz w:val="26"/>
          <w:szCs w:val="26"/>
          <w:lang w:val="es-ES"/>
        </w:rPr>
        <w:t>AMM</w:t>
      </w:r>
      <w:r w:rsidR="004C556E" w:rsidRPr="00E07EB1">
        <w:rPr>
          <w:rFonts w:cs="Arial"/>
          <w:color w:val="000000" w:themeColor="text1"/>
          <w:sz w:val="26"/>
          <w:szCs w:val="26"/>
          <w:lang w:val="es-ES"/>
        </w:rPr>
        <w:t xml:space="preserve"> y</w:t>
      </w:r>
      <w:r w:rsidR="000503FC" w:rsidRPr="006E2FB0">
        <w:rPr>
          <w:rFonts w:cs="Arial"/>
          <w:color w:val="000000" w:themeColor="text1"/>
          <w:sz w:val="26"/>
          <w:szCs w:val="26"/>
          <w:lang w:val="es-ES"/>
        </w:rPr>
        <w:t xml:space="preserve"> </w:t>
      </w:r>
      <w:r w:rsidR="00C60598">
        <w:rPr>
          <w:rFonts w:cs="Arial"/>
          <w:color w:val="000000" w:themeColor="text1"/>
          <w:sz w:val="26"/>
          <w:szCs w:val="26"/>
          <w:lang w:val="es-ES"/>
        </w:rPr>
        <w:t xml:space="preserve">el contenido de </w:t>
      </w:r>
      <w:r w:rsidR="000503FC" w:rsidRPr="006E2FB0">
        <w:rPr>
          <w:rFonts w:cs="Arial"/>
          <w:color w:val="000000" w:themeColor="text1"/>
          <w:sz w:val="26"/>
          <w:szCs w:val="26"/>
          <w:lang w:val="es-ES"/>
        </w:rPr>
        <w:t>los videos 3 y 4</w:t>
      </w:r>
      <w:r w:rsidR="004C556E" w:rsidRPr="00E07EB1">
        <w:rPr>
          <w:rFonts w:cs="Arial"/>
          <w:color w:val="000000" w:themeColor="text1"/>
          <w:sz w:val="26"/>
          <w:szCs w:val="26"/>
          <w:lang w:val="es-ES"/>
        </w:rPr>
        <w:t xml:space="preserve"> descritos</w:t>
      </w:r>
      <w:r w:rsidR="000503FC" w:rsidRPr="006E2FB0">
        <w:rPr>
          <w:rFonts w:cs="Arial"/>
          <w:color w:val="000000" w:themeColor="text1"/>
          <w:sz w:val="26"/>
          <w:szCs w:val="26"/>
          <w:lang w:val="es-ES"/>
        </w:rPr>
        <w:t xml:space="preserve">, </w:t>
      </w:r>
      <w:r w:rsidR="00C60598">
        <w:rPr>
          <w:rFonts w:cs="Arial"/>
          <w:color w:val="000000" w:themeColor="text1"/>
          <w:sz w:val="26"/>
          <w:szCs w:val="26"/>
          <w:lang w:val="es-ES"/>
        </w:rPr>
        <w:t>coinciden en</w:t>
      </w:r>
      <w:r w:rsidR="00B12BF0" w:rsidRPr="00E07EB1">
        <w:rPr>
          <w:rFonts w:cs="Arial"/>
          <w:color w:val="000000" w:themeColor="text1"/>
          <w:sz w:val="26"/>
          <w:szCs w:val="26"/>
          <w:lang w:val="es-ES"/>
        </w:rPr>
        <w:t xml:space="preserve"> </w:t>
      </w:r>
      <w:r w:rsidR="00ED2F59" w:rsidRPr="006E2FB0">
        <w:rPr>
          <w:rFonts w:cs="Arial"/>
          <w:color w:val="000000" w:themeColor="text1"/>
          <w:sz w:val="26"/>
          <w:szCs w:val="26"/>
          <w:lang w:val="es-ES"/>
        </w:rPr>
        <w:t>que</w:t>
      </w:r>
      <w:r w:rsidR="009D5207" w:rsidRPr="00E07EB1">
        <w:rPr>
          <w:rFonts w:cs="Arial"/>
          <w:color w:val="000000" w:themeColor="text1"/>
          <w:sz w:val="26"/>
          <w:szCs w:val="26"/>
          <w:lang w:val="es-ES"/>
        </w:rPr>
        <w:t xml:space="preserve">, el 25 de noviembre de 2015, </w:t>
      </w:r>
      <w:r w:rsidR="0079149D" w:rsidRPr="006E2FB0">
        <w:rPr>
          <w:rFonts w:cs="Arial"/>
          <w:color w:val="000000" w:themeColor="text1"/>
          <w:sz w:val="26"/>
          <w:szCs w:val="26"/>
          <w:lang w:val="es-ES"/>
        </w:rPr>
        <w:t xml:space="preserve">las señoras </w:t>
      </w:r>
      <w:r w:rsidR="00F91710" w:rsidRPr="003F6B95">
        <w:rPr>
          <w:rFonts w:cs="Arial"/>
          <w:color w:val="FF0000"/>
          <w:sz w:val="26"/>
          <w:szCs w:val="26"/>
          <w:lang w:val="es-ES"/>
        </w:rPr>
        <w:t>DF</w:t>
      </w:r>
      <w:r w:rsidR="00F91710">
        <w:rPr>
          <w:rFonts w:cs="Arial"/>
          <w:color w:val="000000" w:themeColor="text1"/>
          <w:sz w:val="26"/>
          <w:szCs w:val="26"/>
          <w:lang w:val="es-ES"/>
        </w:rPr>
        <w:t>,</w:t>
      </w:r>
      <w:r w:rsidR="00F91710" w:rsidRPr="003F6B95">
        <w:rPr>
          <w:rFonts w:cs="Arial"/>
          <w:color w:val="000000" w:themeColor="text1"/>
          <w:sz w:val="26"/>
          <w:szCs w:val="26"/>
          <w:lang w:val="es-ES"/>
        </w:rPr>
        <w:t xml:space="preserve"> </w:t>
      </w:r>
      <w:r w:rsidR="00F91710" w:rsidRPr="003F6B95">
        <w:rPr>
          <w:rFonts w:cs="Arial"/>
          <w:color w:val="FF0000"/>
          <w:sz w:val="26"/>
          <w:szCs w:val="26"/>
          <w:lang w:val="es-ES"/>
        </w:rPr>
        <w:t>MF</w:t>
      </w:r>
      <w:r w:rsidR="00F91710" w:rsidRPr="00E07EB1" w:rsidDel="00F91710">
        <w:rPr>
          <w:rFonts w:cs="Arial"/>
          <w:color w:val="FF0000"/>
          <w:sz w:val="26"/>
          <w:szCs w:val="26"/>
        </w:rPr>
        <w:t xml:space="preserve"> </w:t>
      </w:r>
      <w:r w:rsidR="0079149D" w:rsidRPr="006E2FB0">
        <w:rPr>
          <w:rFonts w:cs="Arial"/>
          <w:color w:val="000000" w:themeColor="text1"/>
          <w:sz w:val="26"/>
          <w:szCs w:val="26"/>
        </w:rPr>
        <w:t>y</w:t>
      </w:r>
      <w:r w:rsidR="0079149D" w:rsidRPr="00E07EB1">
        <w:rPr>
          <w:rFonts w:cs="Arial"/>
          <w:color w:val="FF0000"/>
          <w:sz w:val="26"/>
          <w:szCs w:val="26"/>
        </w:rPr>
        <w:t xml:space="preserve"> G</w:t>
      </w:r>
      <w:r w:rsidR="00F91710">
        <w:rPr>
          <w:rFonts w:cs="Arial"/>
          <w:color w:val="FF0000"/>
          <w:sz w:val="26"/>
          <w:szCs w:val="26"/>
        </w:rPr>
        <w:t>B</w:t>
      </w:r>
      <w:r w:rsidR="00B12BF0" w:rsidRPr="00E07EB1">
        <w:rPr>
          <w:rFonts w:cs="Arial"/>
          <w:color w:val="000000" w:themeColor="text1"/>
          <w:sz w:val="26"/>
          <w:szCs w:val="26"/>
        </w:rPr>
        <w:t xml:space="preserve"> </w:t>
      </w:r>
      <w:r w:rsidR="00F72D5A" w:rsidRPr="00E07EB1">
        <w:rPr>
          <w:rFonts w:cs="Arial"/>
          <w:color w:val="000000" w:themeColor="text1"/>
          <w:sz w:val="26"/>
          <w:szCs w:val="26"/>
        </w:rPr>
        <w:t xml:space="preserve">acudieron con el señor </w:t>
      </w:r>
      <w:r w:rsidR="00F72D5A" w:rsidRPr="006E2FB0">
        <w:rPr>
          <w:rFonts w:cs="Arial"/>
          <w:color w:val="FF0000"/>
          <w:sz w:val="26"/>
          <w:szCs w:val="26"/>
        </w:rPr>
        <w:t>M</w:t>
      </w:r>
      <w:r w:rsidR="00C60598">
        <w:rPr>
          <w:rFonts w:cs="Arial"/>
          <w:color w:val="FF0000"/>
          <w:sz w:val="26"/>
          <w:szCs w:val="26"/>
        </w:rPr>
        <w:t>M</w:t>
      </w:r>
      <w:r w:rsidR="00F72D5A" w:rsidRPr="00E07EB1">
        <w:rPr>
          <w:rFonts w:cs="Arial"/>
          <w:color w:val="000000" w:themeColor="text1"/>
          <w:sz w:val="26"/>
          <w:szCs w:val="26"/>
        </w:rPr>
        <w:t xml:space="preserve">, para contarle sobre los sucesos ocurridos en </w:t>
      </w:r>
      <w:r w:rsidR="00B12BF0" w:rsidRPr="00E07EB1">
        <w:rPr>
          <w:rFonts w:cs="Arial"/>
          <w:color w:val="000000" w:themeColor="text1"/>
          <w:sz w:val="26"/>
          <w:szCs w:val="26"/>
        </w:rPr>
        <w:t xml:space="preserve">el centro comercial y a solicitar auxilio psicológico de su parte. </w:t>
      </w:r>
      <w:r w:rsidR="004C556E" w:rsidRPr="00E07EB1">
        <w:rPr>
          <w:rFonts w:cs="Arial"/>
          <w:color w:val="000000" w:themeColor="text1"/>
          <w:sz w:val="26"/>
          <w:szCs w:val="26"/>
        </w:rPr>
        <w:t>Asimismo, tanto de la narración del testigo, como</w:t>
      </w:r>
      <w:r w:rsidR="001E20A5">
        <w:rPr>
          <w:rFonts w:cs="Arial"/>
          <w:color w:val="000000" w:themeColor="text1"/>
          <w:sz w:val="26"/>
          <w:szCs w:val="26"/>
        </w:rPr>
        <w:t xml:space="preserve"> claramente de</w:t>
      </w:r>
      <w:r w:rsidR="004C556E" w:rsidRPr="00E07EB1">
        <w:rPr>
          <w:rFonts w:cs="Arial"/>
          <w:color w:val="000000" w:themeColor="text1"/>
          <w:sz w:val="26"/>
          <w:szCs w:val="26"/>
        </w:rPr>
        <w:t xml:space="preserve"> los videos 3 y 4 </w:t>
      </w:r>
      <w:r w:rsidR="006B41B2">
        <w:rPr>
          <w:rFonts w:cs="Arial"/>
          <w:color w:val="000000" w:themeColor="text1"/>
          <w:sz w:val="26"/>
          <w:szCs w:val="26"/>
        </w:rPr>
        <w:t>se advierte</w:t>
      </w:r>
      <w:r w:rsidR="00C46606" w:rsidRPr="00E07EB1">
        <w:rPr>
          <w:rFonts w:cs="Arial"/>
          <w:color w:val="000000" w:themeColor="text1"/>
          <w:sz w:val="26"/>
          <w:szCs w:val="26"/>
        </w:rPr>
        <w:t xml:space="preserve"> que las señoras </w:t>
      </w:r>
      <w:r w:rsidR="00E07EB1" w:rsidRPr="00E07EB1">
        <w:rPr>
          <w:rFonts w:cs="Arial"/>
          <w:color w:val="000000" w:themeColor="text1"/>
          <w:sz w:val="26"/>
          <w:szCs w:val="26"/>
        </w:rPr>
        <w:t xml:space="preserve">se </w:t>
      </w:r>
      <w:r w:rsidR="00C46606" w:rsidRPr="00E07EB1">
        <w:rPr>
          <w:rFonts w:cs="Arial"/>
          <w:color w:val="000000" w:themeColor="text1"/>
          <w:sz w:val="26"/>
          <w:szCs w:val="26"/>
        </w:rPr>
        <w:t xml:space="preserve">mostraban </w:t>
      </w:r>
      <w:r w:rsidR="00E07EB1" w:rsidRPr="00E07EB1">
        <w:rPr>
          <w:rFonts w:cs="Arial"/>
          <w:color w:val="000000" w:themeColor="text1"/>
          <w:sz w:val="26"/>
          <w:szCs w:val="26"/>
        </w:rPr>
        <w:t>alteradas</w:t>
      </w:r>
      <w:r w:rsidR="006C3032">
        <w:rPr>
          <w:rFonts w:cs="Arial"/>
          <w:color w:val="000000" w:themeColor="text1"/>
          <w:sz w:val="26"/>
          <w:szCs w:val="26"/>
        </w:rPr>
        <w:t>, tristes</w:t>
      </w:r>
      <w:r w:rsidR="00E07EB1" w:rsidRPr="00E07EB1">
        <w:rPr>
          <w:rFonts w:cs="Arial"/>
          <w:color w:val="000000" w:themeColor="text1"/>
          <w:sz w:val="26"/>
          <w:szCs w:val="26"/>
        </w:rPr>
        <w:t xml:space="preserve"> y estresadas por los hechos ocurridos en los sanitarios y módulo de quejas. </w:t>
      </w:r>
    </w:p>
    <w:p w14:paraId="5B262CA8" w14:textId="77777777" w:rsidR="00B76801" w:rsidRPr="001905A0" w:rsidRDefault="00B76801" w:rsidP="001A476B">
      <w:pPr>
        <w:pStyle w:val="corte4fondo"/>
        <w:ind w:right="51" w:hanging="567"/>
        <w:rPr>
          <w:rFonts w:cs="Arial"/>
          <w:sz w:val="26"/>
          <w:szCs w:val="26"/>
          <w:lang w:val="es-ES"/>
        </w:rPr>
      </w:pPr>
    </w:p>
    <w:p w14:paraId="0B3455EC" w14:textId="63A7F821" w:rsidR="005A0220" w:rsidRPr="003F6B95" w:rsidRDefault="005D00BA" w:rsidP="001A476B">
      <w:pPr>
        <w:pStyle w:val="corte4fondo"/>
        <w:numPr>
          <w:ilvl w:val="0"/>
          <w:numId w:val="2"/>
        </w:numPr>
        <w:ind w:left="0" w:right="51" w:hanging="567"/>
        <w:rPr>
          <w:rFonts w:cs="Arial"/>
          <w:sz w:val="26"/>
          <w:szCs w:val="26"/>
          <w:lang w:val="es-ES"/>
        </w:rPr>
      </w:pPr>
      <w:r>
        <w:rPr>
          <w:rFonts w:cs="Arial"/>
          <w:sz w:val="26"/>
          <w:szCs w:val="26"/>
          <w:lang w:val="es-ES"/>
        </w:rPr>
        <w:lastRenderedPageBreak/>
        <w:t xml:space="preserve">Por todo lo anterior, </w:t>
      </w:r>
      <w:r w:rsidR="00EA143B" w:rsidRPr="001905A0">
        <w:rPr>
          <w:rFonts w:cs="Arial"/>
          <w:sz w:val="26"/>
          <w:szCs w:val="26"/>
          <w:lang w:val="es-ES"/>
        </w:rPr>
        <w:t xml:space="preserve">esta Primera Sala </w:t>
      </w:r>
      <w:r w:rsidR="00E56C27">
        <w:rPr>
          <w:rFonts w:cs="Arial"/>
          <w:sz w:val="26"/>
          <w:szCs w:val="26"/>
          <w:lang w:val="es-ES"/>
        </w:rPr>
        <w:t>concluye</w:t>
      </w:r>
      <w:r w:rsidR="00E56C27" w:rsidRPr="001905A0">
        <w:rPr>
          <w:rFonts w:cs="Arial"/>
          <w:sz w:val="26"/>
          <w:szCs w:val="26"/>
          <w:lang w:val="es-ES"/>
        </w:rPr>
        <w:t xml:space="preserve"> </w:t>
      </w:r>
      <w:r w:rsidR="004B6F72">
        <w:rPr>
          <w:rFonts w:cs="Arial"/>
          <w:sz w:val="26"/>
          <w:szCs w:val="26"/>
          <w:lang w:val="es-ES"/>
        </w:rPr>
        <w:t xml:space="preserve">que </w:t>
      </w:r>
      <w:r w:rsidR="002F7714">
        <w:rPr>
          <w:rFonts w:cs="Arial"/>
          <w:sz w:val="26"/>
          <w:szCs w:val="26"/>
          <w:lang w:val="es-ES"/>
        </w:rPr>
        <w:t>sucedió lo siguiente:</w:t>
      </w:r>
      <w:r w:rsidR="00252154" w:rsidRPr="003F6B95">
        <w:rPr>
          <w:rFonts w:cs="Arial"/>
          <w:sz w:val="26"/>
          <w:szCs w:val="26"/>
          <w:lang w:val="es-ES"/>
        </w:rPr>
        <w:t xml:space="preserve"> e</w:t>
      </w:r>
      <w:r w:rsidR="00657B03" w:rsidRPr="003F6B95">
        <w:rPr>
          <w:rFonts w:cs="Arial"/>
          <w:sz w:val="26"/>
          <w:szCs w:val="26"/>
          <w:lang w:val="es-ES"/>
        </w:rPr>
        <w:t xml:space="preserve">l </w:t>
      </w:r>
      <w:r w:rsidR="00202DE7" w:rsidRPr="003F6B95">
        <w:rPr>
          <w:rFonts w:cs="Arial"/>
          <w:sz w:val="26"/>
          <w:szCs w:val="26"/>
          <w:lang w:val="es-ES"/>
        </w:rPr>
        <w:t>25 de noviembre de 20</w:t>
      </w:r>
      <w:r w:rsidR="005879A4" w:rsidRPr="003F6B95">
        <w:rPr>
          <w:rFonts w:cs="Arial"/>
          <w:sz w:val="26"/>
          <w:szCs w:val="26"/>
          <w:lang w:val="es-ES"/>
        </w:rPr>
        <w:t>1</w:t>
      </w:r>
      <w:r w:rsidR="00202DE7" w:rsidRPr="003F6B95">
        <w:rPr>
          <w:rFonts w:cs="Arial"/>
          <w:sz w:val="26"/>
          <w:szCs w:val="26"/>
          <w:lang w:val="es-ES"/>
        </w:rPr>
        <w:t>5</w:t>
      </w:r>
      <w:r w:rsidR="00103915" w:rsidRPr="003F6B95">
        <w:rPr>
          <w:rFonts w:cs="Arial"/>
          <w:sz w:val="26"/>
          <w:szCs w:val="26"/>
          <w:lang w:val="es-ES"/>
        </w:rPr>
        <w:t xml:space="preserve">, </w:t>
      </w:r>
      <w:r w:rsidR="005B501B" w:rsidRPr="003F6B95">
        <w:rPr>
          <w:rFonts w:cs="Arial"/>
          <w:color w:val="FF0000"/>
          <w:sz w:val="26"/>
          <w:szCs w:val="26"/>
          <w:lang w:val="es-ES"/>
        </w:rPr>
        <w:t>JMDF</w:t>
      </w:r>
      <w:r w:rsidR="005B501B" w:rsidRPr="003F6B95">
        <w:rPr>
          <w:rFonts w:cs="Arial"/>
          <w:sz w:val="26"/>
          <w:szCs w:val="26"/>
          <w:lang w:val="es-ES"/>
        </w:rPr>
        <w:t xml:space="preserve"> y </w:t>
      </w:r>
      <w:r w:rsidR="005B501B" w:rsidRPr="003F6B95">
        <w:rPr>
          <w:rFonts w:cs="Arial"/>
          <w:color w:val="FF0000"/>
          <w:sz w:val="26"/>
          <w:szCs w:val="26"/>
          <w:lang w:val="es-ES"/>
        </w:rPr>
        <w:t>AMF</w:t>
      </w:r>
      <w:r w:rsidR="005127E0">
        <w:rPr>
          <w:rFonts w:cs="Arial"/>
          <w:color w:val="FF0000"/>
          <w:sz w:val="26"/>
          <w:szCs w:val="26"/>
          <w:lang w:val="es-ES"/>
        </w:rPr>
        <w:t xml:space="preserve"> </w:t>
      </w:r>
      <w:r w:rsidR="005B501B" w:rsidRPr="00626E9D">
        <w:rPr>
          <w:rFonts w:cs="Arial"/>
          <w:color w:val="000000" w:themeColor="text1"/>
          <w:sz w:val="26"/>
          <w:szCs w:val="26"/>
          <w:lang w:val="es-ES"/>
        </w:rPr>
        <w:t>s</w:t>
      </w:r>
      <w:r w:rsidR="005B501B" w:rsidRPr="003F6B95">
        <w:rPr>
          <w:rFonts w:cs="Arial"/>
          <w:color w:val="000000" w:themeColor="text1"/>
          <w:sz w:val="26"/>
          <w:szCs w:val="26"/>
          <w:lang w:val="es-ES"/>
        </w:rPr>
        <w:t xml:space="preserve">e dirigieron a los </w:t>
      </w:r>
      <w:r w:rsidR="002A55CC" w:rsidRPr="003F6B95">
        <w:rPr>
          <w:rFonts w:cs="Arial"/>
          <w:color w:val="000000" w:themeColor="text1"/>
          <w:sz w:val="26"/>
          <w:szCs w:val="26"/>
          <w:lang w:val="es-ES"/>
        </w:rPr>
        <w:t>sanitarios</w:t>
      </w:r>
      <w:r w:rsidR="005B501B" w:rsidRPr="003F6B95">
        <w:rPr>
          <w:rFonts w:cs="Arial"/>
          <w:color w:val="000000" w:themeColor="text1"/>
          <w:sz w:val="26"/>
          <w:szCs w:val="26"/>
          <w:lang w:val="es-ES"/>
        </w:rPr>
        <w:t xml:space="preserve"> de mujeres del centro comercia</w:t>
      </w:r>
      <w:r w:rsidR="005B501B" w:rsidRPr="000E3552">
        <w:rPr>
          <w:rFonts w:cs="Arial"/>
          <w:color w:val="000000" w:themeColor="text1"/>
          <w:sz w:val="26"/>
          <w:szCs w:val="26"/>
          <w:lang w:val="es-ES"/>
        </w:rPr>
        <w:t xml:space="preserve">l </w:t>
      </w:r>
      <w:r w:rsidR="003C396D" w:rsidRPr="006E2FB0">
        <w:rPr>
          <w:rFonts w:cs="Arial"/>
          <w:color w:val="000000" w:themeColor="text1"/>
          <w:sz w:val="26"/>
          <w:szCs w:val="26"/>
          <w:lang w:val="es-ES"/>
        </w:rPr>
        <w:t>“</w:t>
      </w:r>
      <w:r w:rsidR="003C396D" w:rsidRPr="00A36289">
        <w:rPr>
          <w:rFonts w:cs="Arial"/>
          <w:sz w:val="26"/>
          <w:szCs w:val="26"/>
          <w:lang w:val="es-ES"/>
        </w:rPr>
        <w:t>Reforma 222”</w:t>
      </w:r>
      <w:r w:rsidR="002A55CC" w:rsidRPr="00A36289">
        <w:rPr>
          <w:rFonts w:cs="Arial"/>
          <w:sz w:val="26"/>
          <w:szCs w:val="26"/>
          <w:lang w:val="es-ES"/>
        </w:rPr>
        <w:t xml:space="preserve">. Sin embargo, </w:t>
      </w:r>
      <w:r w:rsidR="004B6F72" w:rsidRPr="00A36289">
        <w:rPr>
          <w:rFonts w:cs="Arial"/>
          <w:sz w:val="26"/>
          <w:szCs w:val="26"/>
          <w:lang w:val="es-ES"/>
        </w:rPr>
        <w:t>el personal de seguridad de la empresa Protección Privada 2010</w:t>
      </w:r>
      <w:r w:rsidR="00726360" w:rsidRPr="00A36289">
        <w:rPr>
          <w:rFonts w:cs="Arial"/>
          <w:sz w:val="26"/>
          <w:szCs w:val="26"/>
          <w:lang w:val="es-ES"/>
        </w:rPr>
        <w:t xml:space="preserve"> les negó </w:t>
      </w:r>
      <w:r w:rsidR="00613789" w:rsidRPr="00A36289" w:rsidDel="00726360">
        <w:rPr>
          <w:rFonts w:cs="Arial"/>
          <w:sz w:val="26"/>
          <w:szCs w:val="26"/>
          <w:lang w:val="es-ES"/>
        </w:rPr>
        <w:t>el</w:t>
      </w:r>
      <w:r w:rsidR="002A55CC" w:rsidRPr="00A36289">
        <w:rPr>
          <w:rFonts w:cs="Arial"/>
          <w:sz w:val="26"/>
          <w:szCs w:val="26"/>
          <w:lang w:val="es-ES"/>
        </w:rPr>
        <w:t xml:space="preserve"> acceso </w:t>
      </w:r>
      <w:r w:rsidR="0005066E" w:rsidRPr="00A36289">
        <w:rPr>
          <w:rFonts w:cs="Arial"/>
          <w:sz w:val="26"/>
          <w:szCs w:val="26"/>
          <w:lang w:val="es-ES"/>
        </w:rPr>
        <w:t>y les</w:t>
      </w:r>
      <w:r w:rsidR="00EF799F" w:rsidRPr="00A36289">
        <w:rPr>
          <w:rFonts w:cs="Arial"/>
          <w:sz w:val="26"/>
          <w:szCs w:val="26"/>
          <w:lang w:val="es-ES"/>
        </w:rPr>
        <w:t xml:space="preserve"> </w:t>
      </w:r>
      <w:r w:rsidR="005D7D1A" w:rsidRPr="00A36289">
        <w:rPr>
          <w:rFonts w:cs="Arial"/>
          <w:sz w:val="26"/>
          <w:szCs w:val="26"/>
          <w:lang w:val="es-ES"/>
        </w:rPr>
        <w:t>exigió</w:t>
      </w:r>
      <w:r w:rsidR="00B27D36" w:rsidRPr="00A36289">
        <w:rPr>
          <w:rFonts w:cs="Arial"/>
          <w:sz w:val="26"/>
          <w:szCs w:val="26"/>
          <w:lang w:val="es-ES"/>
        </w:rPr>
        <w:t xml:space="preserve"> mostrar</w:t>
      </w:r>
      <w:r w:rsidR="008A04B0" w:rsidRPr="00A36289">
        <w:rPr>
          <w:rFonts w:cs="Arial"/>
          <w:sz w:val="26"/>
          <w:szCs w:val="26"/>
          <w:lang w:val="es-ES"/>
        </w:rPr>
        <w:t xml:space="preserve"> </w:t>
      </w:r>
      <w:r w:rsidR="00EF799F" w:rsidRPr="00A36289">
        <w:rPr>
          <w:rFonts w:cs="Arial"/>
          <w:sz w:val="26"/>
          <w:szCs w:val="26"/>
          <w:lang w:val="es-ES"/>
        </w:rPr>
        <w:t>identificacio</w:t>
      </w:r>
      <w:r w:rsidR="00EF799F" w:rsidRPr="003F6B95">
        <w:rPr>
          <w:rFonts w:cs="Arial"/>
          <w:color w:val="000000" w:themeColor="text1"/>
          <w:sz w:val="26"/>
          <w:szCs w:val="26"/>
          <w:lang w:val="es-ES"/>
        </w:rPr>
        <w:t xml:space="preserve">nes oficiales </w:t>
      </w:r>
      <w:r w:rsidR="00BC4C9F" w:rsidRPr="003F6B95">
        <w:rPr>
          <w:rFonts w:cs="Arial"/>
          <w:color w:val="000000" w:themeColor="text1"/>
          <w:sz w:val="26"/>
          <w:szCs w:val="26"/>
          <w:lang w:val="es-ES"/>
        </w:rPr>
        <w:t xml:space="preserve">para </w:t>
      </w:r>
      <w:r w:rsidR="00161007" w:rsidRPr="003F6B95">
        <w:rPr>
          <w:rFonts w:cs="Arial"/>
          <w:color w:val="000000" w:themeColor="text1"/>
          <w:sz w:val="26"/>
          <w:szCs w:val="26"/>
          <w:lang w:val="es-ES"/>
        </w:rPr>
        <w:t xml:space="preserve">corroborar que </w:t>
      </w:r>
      <w:r w:rsidR="008A04B0">
        <w:rPr>
          <w:rFonts w:cs="Arial"/>
          <w:color w:val="000000" w:themeColor="text1"/>
          <w:sz w:val="26"/>
          <w:szCs w:val="26"/>
          <w:lang w:val="es-ES"/>
        </w:rPr>
        <w:t>eran</w:t>
      </w:r>
      <w:r w:rsidR="00161007" w:rsidRPr="003F6B95">
        <w:rPr>
          <w:rFonts w:cs="Arial"/>
          <w:color w:val="000000" w:themeColor="text1"/>
          <w:sz w:val="26"/>
          <w:szCs w:val="26"/>
          <w:lang w:val="es-ES"/>
        </w:rPr>
        <w:t xml:space="preserve"> mujeres y, por lo tanto, </w:t>
      </w:r>
      <w:r w:rsidR="005C0082">
        <w:rPr>
          <w:rFonts w:cs="Arial"/>
          <w:color w:val="000000" w:themeColor="text1"/>
          <w:sz w:val="26"/>
          <w:szCs w:val="26"/>
          <w:lang w:val="es-ES"/>
        </w:rPr>
        <w:t>autorizar su ingreso</w:t>
      </w:r>
      <w:r w:rsidR="00161007" w:rsidRPr="003F6B95">
        <w:rPr>
          <w:rFonts w:cs="Arial"/>
          <w:color w:val="000000" w:themeColor="text1"/>
          <w:sz w:val="26"/>
          <w:szCs w:val="26"/>
          <w:lang w:val="es-ES"/>
        </w:rPr>
        <w:t>.</w:t>
      </w:r>
      <w:r w:rsidR="00B602B4" w:rsidRPr="003F6B95">
        <w:rPr>
          <w:rFonts w:cs="Arial"/>
          <w:color w:val="000000" w:themeColor="text1"/>
          <w:sz w:val="26"/>
          <w:szCs w:val="26"/>
          <w:lang w:val="es-ES"/>
        </w:rPr>
        <w:t xml:space="preserve"> </w:t>
      </w:r>
      <w:r w:rsidR="009A3CC9" w:rsidRPr="003F6B95">
        <w:rPr>
          <w:rFonts w:cs="Arial"/>
          <w:color w:val="000000" w:themeColor="text1"/>
          <w:sz w:val="26"/>
          <w:szCs w:val="26"/>
          <w:lang w:val="es-ES"/>
        </w:rPr>
        <w:t xml:space="preserve">Asimismo, </w:t>
      </w:r>
      <w:r w:rsidR="009A3CC9" w:rsidRPr="003F6B95">
        <w:rPr>
          <w:rFonts w:cs="Arial"/>
          <w:sz w:val="26"/>
          <w:szCs w:val="26"/>
        </w:rPr>
        <w:t xml:space="preserve">un agente de seguridad les </w:t>
      </w:r>
      <w:r w:rsidR="005305F5" w:rsidRPr="003F6B95">
        <w:rPr>
          <w:rFonts w:cs="Arial"/>
          <w:sz w:val="26"/>
          <w:szCs w:val="26"/>
        </w:rPr>
        <w:t xml:space="preserve">señaló </w:t>
      </w:r>
      <w:r w:rsidR="009A3CC9" w:rsidRPr="003F6B95">
        <w:rPr>
          <w:rFonts w:cs="Arial"/>
          <w:sz w:val="26"/>
          <w:szCs w:val="26"/>
        </w:rPr>
        <w:t xml:space="preserve">que al </w:t>
      </w:r>
      <w:r w:rsidR="002E0FAA">
        <w:rPr>
          <w:rFonts w:cs="Arial"/>
          <w:sz w:val="26"/>
          <w:szCs w:val="26"/>
        </w:rPr>
        <w:t>sanitario</w:t>
      </w:r>
      <w:r w:rsidR="009A3CC9" w:rsidRPr="003F6B95">
        <w:rPr>
          <w:rFonts w:cs="Arial"/>
          <w:sz w:val="26"/>
          <w:szCs w:val="26"/>
        </w:rPr>
        <w:t xml:space="preserve"> de mujeres no </w:t>
      </w:r>
      <w:r w:rsidR="005305F5" w:rsidRPr="003F6B95">
        <w:rPr>
          <w:rFonts w:cs="Arial"/>
          <w:sz w:val="26"/>
          <w:szCs w:val="26"/>
        </w:rPr>
        <w:t>podían</w:t>
      </w:r>
      <w:r w:rsidR="009A3CC9" w:rsidRPr="003F6B95">
        <w:rPr>
          <w:rFonts w:cs="Arial"/>
          <w:sz w:val="26"/>
          <w:szCs w:val="26"/>
        </w:rPr>
        <w:t xml:space="preserve"> entrar.</w:t>
      </w:r>
    </w:p>
    <w:p w14:paraId="20AF7E13" w14:textId="77777777" w:rsidR="004A3B50" w:rsidRPr="003F6B95" w:rsidRDefault="004A3B50" w:rsidP="001A476B">
      <w:pPr>
        <w:pStyle w:val="corte4fondo"/>
        <w:ind w:right="51" w:hanging="567"/>
        <w:rPr>
          <w:rFonts w:cs="Arial"/>
          <w:sz w:val="26"/>
          <w:szCs w:val="26"/>
          <w:lang w:val="es-ES"/>
        </w:rPr>
      </w:pPr>
    </w:p>
    <w:p w14:paraId="03860665" w14:textId="31D6ED67" w:rsidR="00ED1A4B" w:rsidRPr="003F6B95" w:rsidRDefault="00D2746D" w:rsidP="001A476B">
      <w:pPr>
        <w:pStyle w:val="corte4fondo"/>
        <w:numPr>
          <w:ilvl w:val="0"/>
          <w:numId w:val="2"/>
        </w:numPr>
        <w:ind w:left="0" w:right="51" w:hanging="567"/>
        <w:rPr>
          <w:rFonts w:cs="Arial"/>
          <w:color w:val="000000" w:themeColor="text1"/>
          <w:sz w:val="26"/>
          <w:szCs w:val="26"/>
          <w:lang w:val="es-ES"/>
        </w:rPr>
      </w:pPr>
      <w:r w:rsidRPr="003F6B95">
        <w:rPr>
          <w:rFonts w:cs="Arial"/>
          <w:sz w:val="26"/>
          <w:szCs w:val="26"/>
        </w:rPr>
        <w:t xml:space="preserve">Después de </w:t>
      </w:r>
      <w:r w:rsidR="00C922EC" w:rsidRPr="003F6B95">
        <w:rPr>
          <w:rFonts w:cs="Arial"/>
          <w:sz w:val="26"/>
          <w:szCs w:val="26"/>
        </w:rPr>
        <w:t>la</w:t>
      </w:r>
      <w:r w:rsidRPr="003F6B95">
        <w:rPr>
          <w:rFonts w:cs="Arial"/>
          <w:sz w:val="26"/>
          <w:szCs w:val="26"/>
        </w:rPr>
        <w:t xml:space="preserve"> discusión, </w:t>
      </w:r>
      <w:r w:rsidR="00D04C88" w:rsidRPr="003F6B95">
        <w:rPr>
          <w:rFonts w:cs="Arial"/>
          <w:color w:val="000000" w:themeColor="text1"/>
          <w:sz w:val="26"/>
          <w:szCs w:val="26"/>
        </w:rPr>
        <w:t xml:space="preserve">las señoras </w:t>
      </w:r>
      <w:r w:rsidR="005A0220" w:rsidRPr="003F6B95">
        <w:rPr>
          <w:rFonts w:cs="Arial"/>
          <w:color w:val="FF0000"/>
          <w:sz w:val="26"/>
          <w:szCs w:val="26"/>
        </w:rPr>
        <w:t>DF</w:t>
      </w:r>
      <w:r w:rsidR="005A0220" w:rsidRPr="003F6B95">
        <w:rPr>
          <w:rFonts w:cs="Arial"/>
          <w:sz w:val="26"/>
          <w:szCs w:val="26"/>
        </w:rPr>
        <w:t xml:space="preserve"> y </w:t>
      </w:r>
      <w:r w:rsidR="005A0220" w:rsidRPr="003F6B95">
        <w:rPr>
          <w:rFonts w:cs="Arial"/>
          <w:color w:val="FF0000"/>
          <w:sz w:val="26"/>
          <w:szCs w:val="26"/>
        </w:rPr>
        <w:t>MF</w:t>
      </w:r>
      <w:r w:rsidR="005A0220" w:rsidRPr="003F6B95">
        <w:rPr>
          <w:rFonts w:cs="Arial"/>
          <w:sz w:val="26"/>
          <w:szCs w:val="26"/>
        </w:rPr>
        <w:t xml:space="preserve"> lograron ingresar a los </w:t>
      </w:r>
      <w:r w:rsidR="00E25A63">
        <w:rPr>
          <w:rFonts w:cs="Arial"/>
          <w:sz w:val="26"/>
          <w:szCs w:val="26"/>
        </w:rPr>
        <w:t>baños</w:t>
      </w:r>
      <w:r w:rsidR="005A0220" w:rsidRPr="003F6B95">
        <w:rPr>
          <w:rFonts w:cs="Arial"/>
          <w:sz w:val="26"/>
          <w:szCs w:val="26"/>
        </w:rPr>
        <w:t>. No obstante, en el interior se percataron de que</w:t>
      </w:r>
      <w:r w:rsidR="00EC2B95" w:rsidRPr="003F6B95">
        <w:rPr>
          <w:rFonts w:cs="Arial"/>
          <w:sz w:val="26"/>
          <w:szCs w:val="26"/>
        </w:rPr>
        <w:t xml:space="preserve">, </w:t>
      </w:r>
      <w:r w:rsidR="00E4515D">
        <w:rPr>
          <w:rFonts w:cs="Arial"/>
          <w:sz w:val="26"/>
          <w:szCs w:val="26"/>
        </w:rPr>
        <w:t>a</w:t>
      </w:r>
      <w:r w:rsidR="000E5E70" w:rsidRPr="003F6B95">
        <w:rPr>
          <w:rFonts w:cs="Arial"/>
          <w:sz w:val="26"/>
          <w:szCs w:val="26"/>
        </w:rPr>
        <w:t>fuera de los sanitarios</w:t>
      </w:r>
      <w:r w:rsidR="00EC2B95" w:rsidRPr="003F6B95">
        <w:rPr>
          <w:rFonts w:cs="Arial"/>
          <w:sz w:val="26"/>
          <w:szCs w:val="26"/>
        </w:rPr>
        <w:t>,</w:t>
      </w:r>
      <w:r w:rsidR="005A0220" w:rsidRPr="003F6B95">
        <w:rPr>
          <w:rFonts w:cs="Arial"/>
          <w:sz w:val="26"/>
          <w:szCs w:val="26"/>
        </w:rPr>
        <w:t xml:space="preserve"> el personal de seguridad del centro comercial advertía a otras mujeres que no debían entrar,</w:t>
      </w:r>
      <w:r w:rsidR="005D4D0A" w:rsidRPr="003F6B95">
        <w:rPr>
          <w:rFonts w:cs="Arial"/>
          <w:sz w:val="26"/>
          <w:szCs w:val="26"/>
        </w:rPr>
        <w:t xml:space="preserve"> ante la presencia de </w:t>
      </w:r>
      <w:r w:rsidR="003A345E" w:rsidRPr="003F6B95">
        <w:rPr>
          <w:rFonts w:cs="Arial"/>
          <w:sz w:val="26"/>
          <w:szCs w:val="26"/>
        </w:rPr>
        <w:t xml:space="preserve">las señoras </w:t>
      </w:r>
      <w:r w:rsidR="00D04C88" w:rsidRPr="003F6B95">
        <w:rPr>
          <w:rFonts w:cs="Arial"/>
          <w:color w:val="FF0000"/>
          <w:sz w:val="26"/>
          <w:szCs w:val="26"/>
        </w:rPr>
        <w:t>DF</w:t>
      </w:r>
      <w:r w:rsidR="00D04C88" w:rsidRPr="003F6B95">
        <w:rPr>
          <w:rFonts w:cs="Arial"/>
          <w:sz w:val="26"/>
          <w:szCs w:val="26"/>
        </w:rPr>
        <w:t xml:space="preserve"> y </w:t>
      </w:r>
      <w:r w:rsidR="00D04C88" w:rsidRPr="003F6B95">
        <w:rPr>
          <w:rFonts w:cs="Arial"/>
          <w:color w:val="FF0000"/>
          <w:sz w:val="26"/>
          <w:szCs w:val="26"/>
        </w:rPr>
        <w:t>MF</w:t>
      </w:r>
      <w:r w:rsidR="00D04C88" w:rsidRPr="003F6B95">
        <w:rPr>
          <w:rFonts w:cs="Arial"/>
          <w:sz w:val="26"/>
          <w:szCs w:val="26"/>
        </w:rPr>
        <w:t xml:space="preserve"> </w:t>
      </w:r>
      <w:r w:rsidR="003A345E" w:rsidRPr="003F6B95">
        <w:rPr>
          <w:rFonts w:cs="Arial"/>
          <w:sz w:val="26"/>
          <w:szCs w:val="26"/>
        </w:rPr>
        <w:t xml:space="preserve">en los </w:t>
      </w:r>
      <w:r w:rsidR="00EC2B95" w:rsidRPr="003F6B95">
        <w:rPr>
          <w:rFonts w:cs="Arial"/>
          <w:sz w:val="26"/>
          <w:szCs w:val="26"/>
        </w:rPr>
        <w:t>sanitarios</w:t>
      </w:r>
      <w:r w:rsidR="006D76A3">
        <w:rPr>
          <w:rFonts w:cs="Arial"/>
          <w:sz w:val="26"/>
          <w:szCs w:val="26"/>
        </w:rPr>
        <w:t>, a quienes referían como “dos hombres”</w:t>
      </w:r>
      <w:r w:rsidR="005A0220" w:rsidRPr="003F6B95">
        <w:rPr>
          <w:rFonts w:cs="Arial"/>
          <w:sz w:val="26"/>
          <w:szCs w:val="26"/>
        </w:rPr>
        <w:t>.</w:t>
      </w:r>
    </w:p>
    <w:p w14:paraId="7159FE82" w14:textId="77777777" w:rsidR="00ED1A4B" w:rsidRPr="003F6B95" w:rsidRDefault="00ED1A4B" w:rsidP="001A476B">
      <w:pPr>
        <w:pStyle w:val="corte4fondo"/>
        <w:tabs>
          <w:tab w:val="left" w:pos="0"/>
        </w:tabs>
        <w:ind w:right="51" w:hanging="567"/>
        <w:rPr>
          <w:rFonts w:cs="Arial"/>
          <w:sz w:val="26"/>
          <w:szCs w:val="26"/>
        </w:rPr>
      </w:pPr>
    </w:p>
    <w:p w14:paraId="44BD0480" w14:textId="0E1FC70C" w:rsidR="005A0220" w:rsidRPr="000B06AF" w:rsidRDefault="00406D9D" w:rsidP="001A476B">
      <w:pPr>
        <w:pStyle w:val="corte4fondo"/>
        <w:numPr>
          <w:ilvl w:val="0"/>
          <w:numId w:val="2"/>
        </w:numPr>
        <w:tabs>
          <w:tab w:val="left" w:pos="0"/>
        </w:tabs>
        <w:ind w:left="0" w:right="51" w:hanging="567"/>
        <w:rPr>
          <w:rFonts w:cs="Arial"/>
          <w:sz w:val="26"/>
          <w:szCs w:val="26"/>
        </w:rPr>
      </w:pPr>
      <w:r>
        <w:rPr>
          <w:rFonts w:cs="Arial"/>
          <w:sz w:val="26"/>
          <w:szCs w:val="26"/>
        </w:rPr>
        <w:t>Ahora</w:t>
      </w:r>
      <w:r w:rsidR="004115C8" w:rsidRPr="003F6B95" w:rsidDel="00406D9D">
        <w:rPr>
          <w:rFonts w:cs="Arial"/>
          <w:sz w:val="26"/>
          <w:szCs w:val="26"/>
        </w:rPr>
        <w:t xml:space="preserve">, </w:t>
      </w:r>
      <w:r w:rsidR="00BD67C7" w:rsidRPr="003F6B95" w:rsidDel="00406D9D">
        <w:rPr>
          <w:rFonts w:cs="Arial"/>
          <w:sz w:val="26"/>
          <w:szCs w:val="26"/>
        </w:rPr>
        <w:t xml:space="preserve">en </w:t>
      </w:r>
      <w:r w:rsidR="00BD67C7" w:rsidRPr="003F6B95">
        <w:rPr>
          <w:rFonts w:cs="Arial"/>
          <w:sz w:val="26"/>
          <w:szCs w:val="26"/>
        </w:rPr>
        <w:t xml:space="preserve">atención a tales disturbios, </w:t>
      </w:r>
      <w:r w:rsidR="004A3B50" w:rsidRPr="003F6B95">
        <w:rPr>
          <w:rFonts w:cs="Arial"/>
          <w:color w:val="000000" w:themeColor="text1"/>
          <w:sz w:val="26"/>
          <w:szCs w:val="26"/>
        </w:rPr>
        <w:t>el señor</w:t>
      </w:r>
      <w:r w:rsidR="00BD67C7" w:rsidRPr="003F6B95">
        <w:rPr>
          <w:rFonts w:cs="Arial"/>
          <w:color w:val="FF0000"/>
          <w:sz w:val="26"/>
          <w:szCs w:val="26"/>
        </w:rPr>
        <w:t xml:space="preserve"> BB</w:t>
      </w:r>
      <w:r w:rsidR="00BD67C7" w:rsidRPr="003F6B95">
        <w:rPr>
          <w:rFonts w:cs="Arial"/>
          <w:sz w:val="26"/>
          <w:szCs w:val="26"/>
        </w:rPr>
        <w:t xml:space="preserve"> se </w:t>
      </w:r>
      <w:r w:rsidR="00733B77" w:rsidRPr="003F6B95">
        <w:rPr>
          <w:rFonts w:cs="Arial"/>
          <w:sz w:val="26"/>
          <w:szCs w:val="26"/>
        </w:rPr>
        <w:t>reunió</w:t>
      </w:r>
      <w:r w:rsidR="00BD67C7" w:rsidRPr="003F6B95">
        <w:rPr>
          <w:rFonts w:cs="Arial"/>
          <w:sz w:val="26"/>
          <w:szCs w:val="26"/>
        </w:rPr>
        <w:t xml:space="preserve"> con las señoras </w:t>
      </w:r>
      <w:r w:rsidR="00BD67C7" w:rsidRPr="003F6B95">
        <w:rPr>
          <w:rFonts w:cs="Arial"/>
          <w:color w:val="FF0000"/>
          <w:sz w:val="26"/>
          <w:szCs w:val="26"/>
        </w:rPr>
        <w:t>DF</w:t>
      </w:r>
      <w:r w:rsidR="00BD67C7" w:rsidRPr="003F6B95">
        <w:rPr>
          <w:rFonts w:cs="Arial"/>
          <w:sz w:val="26"/>
          <w:szCs w:val="26"/>
        </w:rPr>
        <w:t xml:space="preserve"> y </w:t>
      </w:r>
      <w:r w:rsidR="00BD67C7" w:rsidRPr="003F6B95">
        <w:rPr>
          <w:rFonts w:cs="Arial"/>
          <w:color w:val="FF0000"/>
          <w:sz w:val="26"/>
          <w:szCs w:val="26"/>
        </w:rPr>
        <w:t xml:space="preserve">MF </w:t>
      </w:r>
      <w:r w:rsidR="00BD67C7" w:rsidRPr="003F6B95">
        <w:rPr>
          <w:rFonts w:cs="Arial"/>
          <w:sz w:val="26"/>
          <w:szCs w:val="26"/>
        </w:rPr>
        <w:t>en el área de sanitarios</w:t>
      </w:r>
      <w:r w:rsidR="003A22A1" w:rsidRPr="003F6B95">
        <w:rPr>
          <w:rFonts w:cs="Arial"/>
          <w:sz w:val="26"/>
          <w:szCs w:val="26"/>
        </w:rPr>
        <w:t xml:space="preserve"> del centro comercial</w:t>
      </w:r>
      <w:r w:rsidR="00733B77" w:rsidRPr="003F6B95">
        <w:rPr>
          <w:rFonts w:cs="Arial"/>
          <w:sz w:val="26"/>
          <w:szCs w:val="26"/>
        </w:rPr>
        <w:t xml:space="preserve">. </w:t>
      </w:r>
      <w:r w:rsidR="00BD2C1E" w:rsidRPr="00BD2C1E">
        <w:rPr>
          <w:rFonts w:cs="Arial"/>
          <w:sz w:val="26"/>
          <w:szCs w:val="26"/>
          <w:lang w:val="es-MX"/>
        </w:rPr>
        <w:t xml:space="preserve">Durante la conversación, las señoras resintieron la actitud del personal de seguridad, quien se retiró abruptamente mientras la señora </w:t>
      </w:r>
      <w:r w:rsidR="00BD2C1E" w:rsidRPr="002830AE">
        <w:rPr>
          <w:rFonts w:cs="Arial"/>
          <w:color w:val="FF0000"/>
          <w:sz w:val="26"/>
          <w:szCs w:val="26"/>
          <w:lang w:val="es-MX"/>
        </w:rPr>
        <w:t xml:space="preserve">MF </w:t>
      </w:r>
      <w:r w:rsidR="00BD2C1E" w:rsidRPr="00BD2C1E">
        <w:rPr>
          <w:rFonts w:cs="Arial"/>
          <w:sz w:val="26"/>
          <w:szCs w:val="26"/>
          <w:lang w:val="es-MX"/>
        </w:rPr>
        <w:t>aún le estaba hablando</w:t>
      </w:r>
      <w:r w:rsidR="00E85BEE" w:rsidRPr="003F6B95">
        <w:rPr>
          <w:rFonts w:cs="Arial"/>
          <w:color w:val="000000" w:themeColor="text1"/>
          <w:sz w:val="26"/>
          <w:szCs w:val="26"/>
        </w:rPr>
        <w:t xml:space="preserve">. </w:t>
      </w:r>
      <w:r w:rsidR="00F25208">
        <w:rPr>
          <w:rFonts w:cs="Arial"/>
          <w:sz w:val="26"/>
          <w:szCs w:val="26"/>
        </w:rPr>
        <w:t>En respuesta</w:t>
      </w:r>
      <w:r w:rsidR="005A0220" w:rsidRPr="003F6B95">
        <w:rPr>
          <w:rFonts w:cs="Arial"/>
          <w:sz w:val="26"/>
          <w:szCs w:val="26"/>
          <w:lang w:val="es-ES"/>
        </w:rPr>
        <w:t>,</w:t>
      </w:r>
      <w:r w:rsidR="005A0220" w:rsidRPr="003F6B95">
        <w:rPr>
          <w:rFonts w:cs="Arial"/>
          <w:color w:val="000000" w:themeColor="text1"/>
          <w:sz w:val="26"/>
          <w:szCs w:val="26"/>
          <w:lang w:val="es-ES"/>
        </w:rPr>
        <w:t xml:space="preserve"> </w:t>
      </w:r>
      <w:r w:rsidR="00837603" w:rsidRPr="003F6B95">
        <w:rPr>
          <w:rFonts w:cs="Arial"/>
          <w:sz w:val="26"/>
          <w:szCs w:val="26"/>
        </w:rPr>
        <w:t xml:space="preserve">las señoras </w:t>
      </w:r>
      <w:r w:rsidR="00837603" w:rsidRPr="003F6B95">
        <w:rPr>
          <w:rFonts w:cs="Arial"/>
          <w:color w:val="FF0000"/>
          <w:sz w:val="26"/>
          <w:szCs w:val="26"/>
        </w:rPr>
        <w:t>DF</w:t>
      </w:r>
      <w:r w:rsidR="004E6F00" w:rsidRPr="003F6B95">
        <w:rPr>
          <w:rFonts w:cs="Arial"/>
          <w:sz w:val="26"/>
          <w:szCs w:val="26"/>
        </w:rPr>
        <w:t>,</w:t>
      </w:r>
      <w:r w:rsidR="00837603" w:rsidRPr="003F6B95">
        <w:rPr>
          <w:rFonts w:cs="Arial"/>
          <w:sz w:val="26"/>
          <w:szCs w:val="26"/>
        </w:rPr>
        <w:t xml:space="preserve"> </w:t>
      </w:r>
      <w:r w:rsidR="00837603" w:rsidRPr="003F6B95">
        <w:rPr>
          <w:rFonts w:cs="Arial"/>
          <w:color w:val="FF0000"/>
          <w:sz w:val="26"/>
          <w:szCs w:val="26"/>
        </w:rPr>
        <w:t>MF</w:t>
      </w:r>
      <w:r w:rsidR="004E6F00" w:rsidRPr="003F6B95">
        <w:rPr>
          <w:rFonts w:cs="Arial"/>
          <w:color w:val="000000" w:themeColor="text1"/>
          <w:sz w:val="26"/>
          <w:szCs w:val="26"/>
        </w:rPr>
        <w:t xml:space="preserve"> y </w:t>
      </w:r>
      <w:r w:rsidR="004E6F00" w:rsidRPr="003F6B95">
        <w:rPr>
          <w:rFonts w:cs="Arial"/>
          <w:color w:val="FF0000"/>
          <w:sz w:val="26"/>
          <w:szCs w:val="26"/>
        </w:rPr>
        <w:t>GB</w:t>
      </w:r>
      <w:r w:rsidR="004E6F00" w:rsidRPr="003F6B95">
        <w:rPr>
          <w:rFonts w:cs="Arial"/>
          <w:color w:val="000000" w:themeColor="text1"/>
          <w:sz w:val="26"/>
          <w:szCs w:val="26"/>
        </w:rPr>
        <w:t>, y el señor</w:t>
      </w:r>
      <w:r w:rsidR="004E6F00" w:rsidRPr="003F6B95">
        <w:rPr>
          <w:rFonts w:cs="Arial"/>
          <w:color w:val="FF0000"/>
          <w:sz w:val="26"/>
          <w:szCs w:val="26"/>
        </w:rPr>
        <w:t xml:space="preserve"> BB </w:t>
      </w:r>
      <w:r w:rsidR="005A0220" w:rsidRPr="003F6B95">
        <w:rPr>
          <w:rFonts w:cs="Arial"/>
          <w:color w:val="000000" w:themeColor="text1"/>
          <w:sz w:val="26"/>
          <w:szCs w:val="26"/>
          <w:lang w:val="es-ES"/>
        </w:rPr>
        <w:t xml:space="preserve">acudieron </w:t>
      </w:r>
      <w:r w:rsidR="00BD67C7" w:rsidRPr="003F6B95">
        <w:rPr>
          <w:rFonts w:cs="Arial"/>
          <w:sz w:val="26"/>
          <w:szCs w:val="26"/>
          <w:lang w:val="es-ES"/>
        </w:rPr>
        <w:t xml:space="preserve">al </w:t>
      </w:r>
      <w:r w:rsidR="00BD67C7" w:rsidRPr="003F6B95">
        <w:rPr>
          <w:rFonts w:cs="Arial"/>
          <w:sz w:val="26"/>
          <w:szCs w:val="26"/>
        </w:rPr>
        <w:t>área</w:t>
      </w:r>
      <w:r w:rsidR="00BD67C7" w:rsidRPr="003F6B95">
        <w:rPr>
          <w:rFonts w:cs="Arial"/>
          <w:sz w:val="26"/>
          <w:szCs w:val="26"/>
          <w:lang w:val="es-ES"/>
        </w:rPr>
        <w:t xml:space="preserve"> de </w:t>
      </w:r>
      <w:r w:rsidR="008C7DFC" w:rsidRPr="00CE4516">
        <w:rPr>
          <w:rFonts w:cs="Arial"/>
          <w:sz w:val="26"/>
          <w:szCs w:val="26"/>
        </w:rPr>
        <w:t>a</w:t>
      </w:r>
      <w:r w:rsidR="00BD67C7" w:rsidRPr="00CE4516">
        <w:rPr>
          <w:rFonts w:cs="Arial"/>
          <w:sz w:val="26"/>
          <w:szCs w:val="26"/>
        </w:rPr>
        <w:t xml:space="preserve">tención al </w:t>
      </w:r>
      <w:r w:rsidR="008C7DFC" w:rsidRPr="00CE4516">
        <w:rPr>
          <w:rFonts w:cs="Arial"/>
          <w:sz w:val="26"/>
          <w:szCs w:val="26"/>
        </w:rPr>
        <w:t>c</w:t>
      </w:r>
      <w:r w:rsidR="00BD67C7" w:rsidRPr="00CE4516">
        <w:rPr>
          <w:rFonts w:cs="Arial"/>
          <w:sz w:val="26"/>
          <w:szCs w:val="26"/>
        </w:rPr>
        <w:t>liente</w:t>
      </w:r>
      <w:r w:rsidR="00D90CDE" w:rsidRPr="00CE4516">
        <w:rPr>
          <w:rFonts w:cs="Arial"/>
          <w:sz w:val="26"/>
          <w:szCs w:val="26"/>
        </w:rPr>
        <w:t xml:space="preserve"> </w:t>
      </w:r>
      <w:r w:rsidR="00FB2A80" w:rsidRPr="00CE4516">
        <w:rPr>
          <w:rFonts w:cs="Arial"/>
          <w:sz w:val="26"/>
          <w:szCs w:val="26"/>
          <w:lang w:val="es-ES"/>
        </w:rPr>
        <w:t xml:space="preserve">del </w:t>
      </w:r>
      <w:r w:rsidR="005A0220" w:rsidRPr="00CE4516">
        <w:rPr>
          <w:rFonts w:cs="Arial"/>
          <w:sz w:val="26"/>
          <w:szCs w:val="26"/>
          <w:lang w:val="es-ES"/>
        </w:rPr>
        <w:t>centro comercial “</w:t>
      </w:r>
      <w:r w:rsidR="005A0220" w:rsidRPr="00A36289">
        <w:rPr>
          <w:rFonts w:cs="Arial"/>
          <w:sz w:val="26"/>
          <w:szCs w:val="26"/>
          <w:lang w:val="es-ES"/>
        </w:rPr>
        <w:t xml:space="preserve">Reforma 222”, </w:t>
      </w:r>
      <w:r w:rsidR="005A0220" w:rsidRPr="00CE4516">
        <w:rPr>
          <w:rFonts w:cs="Arial"/>
          <w:sz w:val="26"/>
          <w:szCs w:val="26"/>
          <w:lang w:val="es-ES"/>
        </w:rPr>
        <w:t xml:space="preserve">para </w:t>
      </w:r>
      <w:r w:rsidR="00AC3FD0">
        <w:rPr>
          <w:rFonts w:cs="Arial"/>
          <w:sz w:val="26"/>
          <w:szCs w:val="26"/>
          <w:lang w:val="es-ES"/>
        </w:rPr>
        <w:t>presentar</w:t>
      </w:r>
      <w:r w:rsidR="00AC3FD0" w:rsidRPr="00CE4516">
        <w:rPr>
          <w:rFonts w:cs="Arial"/>
          <w:sz w:val="26"/>
          <w:szCs w:val="26"/>
          <w:lang w:val="es-ES"/>
        </w:rPr>
        <w:t xml:space="preserve"> </w:t>
      </w:r>
      <w:r w:rsidR="005A0220" w:rsidRPr="00CE4516">
        <w:rPr>
          <w:rFonts w:cs="Arial"/>
          <w:sz w:val="26"/>
          <w:szCs w:val="26"/>
          <w:lang w:val="es-ES"/>
        </w:rPr>
        <w:t>una queja.</w:t>
      </w:r>
      <w:r w:rsidR="00392B65" w:rsidRPr="00CE4516">
        <w:rPr>
          <w:rFonts w:cs="Arial"/>
          <w:sz w:val="26"/>
          <w:szCs w:val="26"/>
          <w:lang w:val="es-ES"/>
        </w:rPr>
        <w:t xml:space="preserve"> En dicho módulo, </w:t>
      </w:r>
      <w:r w:rsidR="00247816" w:rsidRPr="00CE4516">
        <w:rPr>
          <w:rFonts w:cs="Arial"/>
          <w:sz w:val="26"/>
          <w:szCs w:val="26"/>
        </w:rPr>
        <w:t xml:space="preserve">el grupo </w:t>
      </w:r>
      <w:r w:rsidR="005A0220" w:rsidRPr="00CE4516">
        <w:rPr>
          <w:rFonts w:cs="Arial"/>
          <w:sz w:val="26"/>
          <w:szCs w:val="26"/>
        </w:rPr>
        <w:t>recib</w:t>
      </w:r>
      <w:r w:rsidR="00247816" w:rsidRPr="00CE4516">
        <w:rPr>
          <w:rFonts w:cs="Arial"/>
          <w:sz w:val="26"/>
          <w:szCs w:val="26"/>
        </w:rPr>
        <w:t>ió</w:t>
      </w:r>
      <w:r w:rsidR="005A0220" w:rsidRPr="00CE4516">
        <w:rPr>
          <w:rFonts w:cs="Arial"/>
          <w:sz w:val="26"/>
          <w:szCs w:val="26"/>
        </w:rPr>
        <w:t xml:space="preserve"> un</w:t>
      </w:r>
      <w:r w:rsidR="00424F04" w:rsidRPr="00CE4516">
        <w:rPr>
          <w:rFonts w:cs="Arial"/>
          <w:sz w:val="26"/>
          <w:szCs w:val="26"/>
        </w:rPr>
        <w:t xml:space="preserve"> trato</w:t>
      </w:r>
      <w:r w:rsidR="005A0220" w:rsidRPr="00CE4516">
        <w:rPr>
          <w:rFonts w:cs="Arial"/>
          <w:sz w:val="26"/>
          <w:szCs w:val="26"/>
        </w:rPr>
        <w:t xml:space="preserve"> </w:t>
      </w:r>
      <w:r w:rsidR="00DF2AD6" w:rsidRPr="00CE4516">
        <w:rPr>
          <w:rFonts w:cs="Arial"/>
          <w:sz w:val="26"/>
          <w:szCs w:val="26"/>
        </w:rPr>
        <w:t xml:space="preserve">indiferente y agresivo </w:t>
      </w:r>
      <w:r w:rsidR="00C25E46" w:rsidRPr="00CE4516">
        <w:rPr>
          <w:rFonts w:cs="Arial"/>
          <w:sz w:val="26"/>
          <w:szCs w:val="26"/>
        </w:rPr>
        <w:t>por parte del</w:t>
      </w:r>
      <w:r w:rsidR="00870063" w:rsidRPr="00CE4516">
        <w:rPr>
          <w:rFonts w:cs="Arial"/>
          <w:sz w:val="26"/>
          <w:szCs w:val="26"/>
        </w:rPr>
        <w:t xml:space="preserve"> personal del</w:t>
      </w:r>
      <w:r w:rsidR="00C25E46" w:rsidRPr="00CE4516">
        <w:rPr>
          <w:rFonts w:cs="Arial"/>
          <w:sz w:val="26"/>
          <w:szCs w:val="26"/>
        </w:rPr>
        <w:t xml:space="preserve"> centro comercial</w:t>
      </w:r>
      <w:r w:rsidR="00247816" w:rsidRPr="00CE4516">
        <w:rPr>
          <w:rFonts w:cs="Arial"/>
          <w:sz w:val="26"/>
          <w:szCs w:val="26"/>
        </w:rPr>
        <w:t xml:space="preserve">, </w:t>
      </w:r>
      <w:r w:rsidR="00DF2AD6" w:rsidRPr="00CE4516">
        <w:rPr>
          <w:rFonts w:cs="Arial"/>
          <w:sz w:val="26"/>
          <w:szCs w:val="26"/>
        </w:rPr>
        <w:t xml:space="preserve">quienes únicamente proporcionaron </w:t>
      </w:r>
      <w:r w:rsidR="003E798E" w:rsidRPr="00CE4516">
        <w:rPr>
          <w:rFonts w:cs="Arial"/>
          <w:sz w:val="26"/>
          <w:szCs w:val="26"/>
        </w:rPr>
        <w:t xml:space="preserve">a las señoras </w:t>
      </w:r>
      <w:r w:rsidR="00DF2AD6" w:rsidRPr="00CE4516">
        <w:rPr>
          <w:rFonts w:cs="Arial"/>
          <w:sz w:val="26"/>
          <w:szCs w:val="26"/>
        </w:rPr>
        <w:t>una hoja reciclada para que ahí escribieran la queja</w:t>
      </w:r>
      <w:r w:rsidR="00CD7316">
        <w:rPr>
          <w:rFonts w:cs="Arial"/>
          <w:sz w:val="26"/>
          <w:szCs w:val="26"/>
        </w:rPr>
        <w:t>.</w:t>
      </w:r>
      <w:r w:rsidR="003D0B9C" w:rsidRPr="00CE4516">
        <w:rPr>
          <w:rFonts w:cs="Arial"/>
          <w:sz w:val="26"/>
          <w:szCs w:val="26"/>
        </w:rPr>
        <w:t xml:space="preserve"> </w:t>
      </w:r>
      <w:r w:rsidR="0010396D">
        <w:rPr>
          <w:rFonts w:cs="Arial"/>
          <w:sz w:val="26"/>
          <w:szCs w:val="26"/>
        </w:rPr>
        <w:t>L</w:t>
      </w:r>
      <w:r w:rsidR="003D0B9C" w:rsidRPr="00CE4516">
        <w:rPr>
          <w:rFonts w:cs="Arial"/>
          <w:sz w:val="26"/>
          <w:szCs w:val="26"/>
        </w:rPr>
        <w:t>os guardias de seguridad</w:t>
      </w:r>
      <w:r w:rsidR="006C3032" w:rsidRPr="00CE4516">
        <w:rPr>
          <w:rFonts w:cs="Arial"/>
          <w:sz w:val="26"/>
          <w:szCs w:val="26"/>
        </w:rPr>
        <w:t xml:space="preserve"> comenz</w:t>
      </w:r>
      <w:r w:rsidR="003D0B9C" w:rsidRPr="00CE4516">
        <w:rPr>
          <w:rFonts w:cs="Arial"/>
          <w:sz w:val="26"/>
          <w:szCs w:val="26"/>
        </w:rPr>
        <w:t>aron</w:t>
      </w:r>
      <w:r w:rsidR="006C3032" w:rsidRPr="00CE4516">
        <w:rPr>
          <w:rFonts w:cs="Arial"/>
          <w:sz w:val="26"/>
          <w:szCs w:val="26"/>
        </w:rPr>
        <w:t xml:space="preserve"> a rodearlas</w:t>
      </w:r>
      <w:r w:rsidR="00330433" w:rsidRPr="00CE4516">
        <w:rPr>
          <w:rFonts w:cs="Arial"/>
          <w:sz w:val="26"/>
          <w:szCs w:val="26"/>
        </w:rPr>
        <w:t xml:space="preserve"> y presionarlas</w:t>
      </w:r>
      <w:r w:rsidR="006C3032" w:rsidRPr="00CE4516">
        <w:rPr>
          <w:rFonts w:cs="Arial"/>
          <w:sz w:val="26"/>
          <w:szCs w:val="26"/>
        </w:rPr>
        <w:t xml:space="preserve">, </w:t>
      </w:r>
      <w:r w:rsidR="007D05F8" w:rsidRPr="00CE4516">
        <w:rPr>
          <w:rFonts w:cs="Arial"/>
          <w:sz w:val="26"/>
          <w:szCs w:val="26"/>
        </w:rPr>
        <w:t>por lo q</w:t>
      </w:r>
      <w:r w:rsidR="007D05F8" w:rsidRPr="00E9185C">
        <w:rPr>
          <w:rFonts w:cs="Arial"/>
          <w:sz w:val="26"/>
          <w:szCs w:val="26"/>
        </w:rPr>
        <w:t>ue</w:t>
      </w:r>
      <w:r w:rsidR="005A0220" w:rsidRPr="00E9185C">
        <w:rPr>
          <w:rFonts w:cs="Arial"/>
          <w:sz w:val="26"/>
          <w:szCs w:val="26"/>
        </w:rPr>
        <w:t xml:space="preserve"> </w:t>
      </w:r>
      <w:r w:rsidR="00247816" w:rsidRPr="00E9185C">
        <w:rPr>
          <w:rFonts w:cs="Arial"/>
          <w:sz w:val="26"/>
          <w:szCs w:val="26"/>
        </w:rPr>
        <w:t xml:space="preserve">decidieron </w:t>
      </w:r>
      <w:r w:rsidR="005A0220" w:rsidRPr="00E9185C">
        <w:rPr>
          <w:rFonts w:cs="Arial"/>
          <w:sz w:val="26"/>
          <w:szCs w:val="26"/>
        </w:rPr>
        <w:t xml:space="preserve">retirarse del </w:t>
      </w:r>
      <w:r w:rsidR="005A0220" w:rsidRPr="000B06AF">
        <w:rPr>
          <w:rFonts w:cs="Arial"/>
          <w:sz w:val="26"/>
          <w:szCs w:val="26"/>
        </w:rPr>
        <w:t>lugar</w:t>
      </w:r>
      <w:r w:rsidR="006C3032" w:rsidRPr="000B06AF">
        <w:rPr>
          <w:rFonts w:cs="Arial"/>
          <w:sz w:val="26"/>
          <w:szCs w:val="26"/>
        </w:rPr>
        <w:t xml:space="preserve"> sin terminar </w:t>
      </w:r>
      <w:r w:rsidR="0036335B" w:rsidRPr="000B06AF">
        <w:rPr>
          <w:rFonts w:cs="Arial"/>
          <w:sz w:val="26"/>
          <w:szCs w:val="26"/>
        </w:rPr>
        <w:t xml:space="preserve">de presentar </w:t>
      </w:r>
      <w:r w:rsidR="006C3032" w:rsidRPr="000B06AF">
        <w:rPr>
          <w:rFonts w:cs="Arial"/>
          <w:sz w:val="26"/>
          <w:szCs w:val="26"/>
        </w:rPr>
        <w:t>la queja</w:t>
      </w:r>
      <w:r w:rsidR="005A0220" w:rsidRPr="000B06AF">
        <w:rPr>
          <w:rFonts w:cs="Arial"/>
          <w:sz w:val="26"/>
          <w:szCs w:val="26"/>
        </w:rPr>
        <w:t>.</w:t>
      </w:r>
    </w:p>
    <w:p w14:paraId="6C3F964C" w14:textId="77777777" w:rsidR="00B97EE7" w:rsidRPr="000B06AF" w:rsidRDefault="00B97EE7" w:rsidP="001A476B">
      <w:pPr>
        <w:pStyle w:val="corte4fondo"/>
        <w:ind w:right="51" w:hanging="567"/>
        <w:rPr>
          <w:rFonts w:cs="Arial"/>
          <w:sz w:val="26"/>
          <w:szCs w:val="26"/>
          <w:lang w:val="es-MX"/>
        </w:rPr>
      </w:pPr>
    </w:p>
    <w:p w14:paraId="645E9393" w14:textId="58CB959A" w:rsidR="00BC5AFE" w:rsidRDefault="00FF0AF7" w:rsidP="001A476B">
      <w:pPr>
        <w:pStyle w:val="corte4fondo"/>
        <w:numPr>
          <w:ilvl w:val="0"/>
          <w:numId w:val="2"/>
        </w:numPr>
        <w:ind w:left="0" w:right="51" w:hanging="567"/>
        <w:rPr>
          <w:rFonts w:asciiTheme="minorBidi" w:hAnsiTheme="minorBidi" w:cstheme="minorBidi"/>
          <w:sz w:val="26"/>
          <w:szCs w:val="26"/>
          <w:lang w:val="es-ES"/>
        </w:rPr>
      </w:pPr>
      <w:r w:rsidRPr="000B06AF">
        <w:rPr>
          <w:rFonts w:asciiTheme="minorBidi" w:hAnsiTheme="minorBidi" w:cstheme="minorBidi"/>
          <w:sz w:val="26"/>
          <w:szCs w:val="26"/>
          <w:lang w:val="es-ES"/>
        </w:rPr>
        <w:t xml:space="preserve">Una vez identificados </w:t>
      </w:r>
      <w:r w:rsidR="00A32519" w:rsidRPr="000B06AF">
        <w:rPr>
          <w:rFonts w:asciiTheme="minorBidi" w:hAnsiTheme="minorBidi" w:cstheme="minorBidi"/>
          <w:sz w:val="26"/>
          <w:szCs w:val="26"/>
          <w:lang w:val="es-ES"/>
        </w:rPr>
        <w:t>los hechos</w:t>
      </w:r>
      <w:r w:rsidR="00583A11" w:rsidRPr="000B06AF">
        <w:rPr>
          <w:rFonts w:asciiTheme="minorBidi" w:hAnsiTheme="minorBidi" w:cstheme="minorBidi"/>
          <w:sz w:val="26"/>
          <w:szCs w:val="26"/>
          <w:lang w:val="es-ES"/>
        </w:rPr>
        <w:t>,</w:t>
      </w:r>
      <w:r w:rsidR="00A32519" w:rsidRPr="000B06AF">
        <w:rPr>
          <w:rFonts w:asciiTheme="minorBidi" w:hAnsiTheme="minorBidi" w:cstheme="minorBidi"/>
          <w:sz w:val="26"/>
          <w:szCs w:val="26"/>
          <w:lang w:val="es-ES"/>
        </w:rPr>
        <w:t xml:space="preserve"> </w:t>
      </w:r>
      <w:r w:rsidR="00E73C45" w:rsidRPr="000B06AF">
        <w:rPr>
          <w:rFonts w:asciiTheme="minorBidi" w:hAnsiTheme="minorBidi" w:cstheme="minorBidi"/>
          <w:sz w:val="26"/>
          <w:szCs w:val="26"/>
          <w:lang w:val="es-ES"/>
        </w:rPr>
        <w:t xml:space="preserve">esta Sala </w:t>
      </w:r>
      <w:r w:rsidR="00AF17C3">
        <w:rPr>
          <w:rFonts w:asciiTheme="minorBidi" w:hAnsiTheme="minorBidi" w:cstheme="minorBidi"/>
          <w:sz w:val="26"/>
          <w:szCs w:val="26"/>
        </w:rPr>
        <w:t>analizará</w:t>
      </w:r>
      <w:r w:rsidR="009E32CE" w:rsidRPr="000B06AF">
        <w:rPr>
          <w:rFonts w:asciiTheme="minorBidi" w:hAnsiTheme="minorBidi" w:cstheme="minorBidi"/>
          <w:sz w:val="26"/>
          <w:szCs w:val="26"/>
        </w:rPr>
        <w:t xml:space="preserve"> s</w:t>
      </w:r>
      <w:r w:rsidR="001C3C8C">
        <w:rPr>
          <w:rFonts w:asciiTheme="minorBidi" w:hAnsiTheme="minorBidi" w:cstheme="minorBidi"/>
          <w:sz w:val="26"/>
          <w:szCs w:val="26"/>
        </w:rPr>
        <w:t>i</w:t>
      </w:r>
      <w:r w:rsidR="009E32CE" w:rsidRPr="000B06AF">
        <w:rPr>
          <w:rFonts w:asciiTheme="minorBidi" w:hAnsiTheme="minorBidi" w:cstheme="minorBidi"/>
          <w:sz w:val="26"/>
          <w:szCs w:val="26"/>
        </w:rPr>
        <w:t xml:space="preserve">, como reclamaron las quejosas en su primer concepto de violación, </w:t>
      </w:r>
      <w:r w:rsidR="00054277" w:rsidRPr="000B06AF">
        <w:rPr>
          <w:rFonts w:asciiTheme="minorBidi" w:hAnsiTheme="minorBidi" w:cstheme="minorBidi"/>
          <w:sz w:val="26"/>
          <w:szCs w:val="26"/>
        </w:rPr>
        <w:t xml:space="preserve">la sala responsable </w:t>
      </w:r>
      <w:r w:rsidR="00877EDB">
        <w:rPr>
          <w:rFonts w:asciiTheme="minorBidi" w:hAnsiTheme="minorBidi" w:cstheme="minorBidi"/>
          <w:sz w:val="26"/>
          <w:szCs w:val="26"/>
        </w:rPr>
        <w:t xml:space="preserve">incumplió con su </w:t>
      </w:r>
      <w:r w:rsidR="009E32CE" w:rsidRPr="000B06AF">
        <w:rPr>
          <w:rFonts w:asciiTheme="minorBidi" w:hAnsiTheme="minorBidi" w:cstheme="minorBidi"/>
          <w:sz w:val="26"/>
          <w:szCs w:val="26"/>
        </w:rPr>
        <w:t xml:space="preserve">deber de juzgar con perspectiva de género </w:t>
      </w:r>
      <w:r w:rsidR="00316767">
        <w:rPr>
          <w:rFonts w:asciiTheme="minorBidi" w:hAnsiTheme="minorBidi" w:cstheme="minorBidi"/>
          <w:sz w:val="26"/>
          <w:szCs w:val="26"/>
        </w:rPr>
        <w:t>al calificar</w:t>
      </w:r>
      <w:r w:rsidR="009E32CE" w:rsidRPr="000B06AF">
        <w:rPr>
          <w:rFonts w:asciiTheme="minorBidi" w:hAnsiTheme="minorBidi" w:cstheme="minorBidi"/>
          <w:sz w:val="26"/>
          <w:szCs w:val="26"/>
        </w:rPr>
        <w:t xml:space="preserve"> como hechos discriminatorios </w:t>
      </w:r>
      <w:r w:rsidR="006813B2">
        <w:rPr>
          <w:rFonts w:asciiTheme="minorBidi" w:hAnsiTheme="minorBidi" w:cstheme="minorBidi"/>
          <w:sz w:val="26"/>
          <w:szCs w:val="26"/>
        </w:rPr>
        <w:t xml:space="preserve">únicamente </w:t>
      </w:r>
      <w:r w:rsidR="009E32CE" w:rsidRPr="000B06AF">
        <w:rPr>
          <w:rFonts w:asciiTheme="minorBidi" w:hAnsiTheme="minorBidi" w:cstheme="minorBidi"/>
          <w:sz w:val="26"/>
          <w:szCs w:val="26"/>
        </w:rPr>
        <w:t xml:space="preserve">los sucesos ocurridos en los sanitarios del centro comercial </w:t>
      </w:r>
      <w:r w:rsidR="009E32CE" w:rsidRPr="00A36289">
        <w:rPr>
          <w:rFonts w:asciiTheme="minorBidi" w:hAnsiTheme="minorBidi" w:cstheme="minorBidi"/>
          <w:sz w:val="26"/>
          <w:szCs w:val="26"/>
        </w:rPr>
        <w:t xml:space="preserve">“Reforma 222”, </w:t>
      </w:r>
      <w:r w:rsidR="009E32CE" w:rsidRPr="000B06AF">
        <w:rPr>
          <w:rFonts w:asciiTheme="minorBidi" w:hAnsiTheme="minorBidi" w:cstheme="minorBidi"/>
          <w:sz w:val="26"/>
          <w:szCs w:val="26"/>
        </w:rPr>
        <w:t>y no los ocurridos en el módulo de queja</w:t>
      </w:r>
      <w:r w:rsidR="00ED7640" w:rsidRPr="000B06AF">
        <w:rPr>
          <w:rFonts w:asciiTheme="minorBidi" w:hAnsiTheme="minorBidi" w:cstheme="minorBidi"/>
          <w:sz w:val="26"/>
          <w:szCs w:val="26"/>
        </w:rPr>
        <w:t>s</w:t>
      </w:r>
      <w:r w:rsidR="001F45FE" w:rsidRPr="000B06AF">
        <w:rPr>
          <w:rFonts w:asciiTheme="minorBidi" w:hAnsiTheme="minorBidi" w:cstheme="minorBidi"/>
          <w:sz w:val="26"/>
          <w:szCs w:val="26"/>
          <w:lang w:val="es-ES"/>
        </w:rPr>
        <w:t xml:space="preserve">. </w:t>
      </w:r>
    </w:p>
    <w:p w14:paraId="0FE12996" w14:textId="77777777" w:rsidR="00AE2BE9" w:rsidRDefault="00AE2BE9" w:rsidP="001A476B">
      <w:pPr>
        <w:pStyle w:val="corte4fondo"/>
        <w:ind w:right="51" w:hanging="567"/>
        <w:rPr>
          <w:rFonts w:asciiTheme="minorBidi" w:hAnsiTheme="minorBidi" w:cstheme="minorBidi"/>
          <w:sz w:val="26"/>
          <w:szCs w:val="26"/>
          <w:lang w:val="es-ES"/>
        </w:rPr>
      </w:pPr>
    </w:p>
    <w:p w14:paraId="7F36E5CA" w14:textId="4FF21347" w:rsidR="00CF4C30" w:rsidRDefault="00856176" w:rsidP="001A476B">
      <w:pPr>
        <w:pStyle w:val="corte4fondo"/>
        <w:numPr>
          <w:ilvl w:val="0"/>
          <w:numId w:val="2"/>
        </w:numPr>
        <w:ind w:left="0" w:right="51" w:hanging="567"/>
        <w:rPr>
          <w:rFonts w:cs="Arial"/>
          <w:b/>
          <w:bCs/>
          <w:color w:val="1F3864" w:themeColor="accent1" w:themeShade="80"/>
          <w:sz w:val="26"/>
          <w:szCs w:val="26"/>
        </w:rPr>
      </w:pPr>
      <w:r>
        <w:rPr>
          <w:rFonts w:asciiTheme="minorBidi" w:hAnsiTheme="minorBidi" w:cstheme="minorBidi"/>
          <w:sz w:val="26"/>
          <w:szCs w:val="26"/>
          <w:lang w:val="es-ES"/>
        </w:rPr>
        <w:t>Preliminarmente</w:t>
      </w:r>
      <w:r w:rsidR="00AE2BE9">
        <w:rPr>
          <w:rFonts w:asciiTheme="minorBidi" w:hAnsiTheme="minorBidi" w:cstheme="minorBidi"/>
          <w:sz w:val="26"/>
          <w:szCs w:val="26"/>
          <w:lang w:val="es-ES"/>
        </w:rPr>
        <w:t xml:space="preserve">, </w:t>
      </w:r>
      <w:r w:rsidR="00CF4C30" w:rsidRPr="003F6B95">
        <w:rPr>
          <w:rFonts w:cs="Arial"/>
          <w:color w:val="000000" w:themeColor="text1"/>
          <w:sz w:val="26"/>
          <w:szCs w:val="26"/>
        </w:rPr>
        <w:t xml:space="preserve">esta Suprema Corte </w:t>
      </w:r>
      <w:r w:rsidR="00196985">
        <w:rPr>
          <w:rFonts w:cs="Arial"/>
          <w:color w:val="000000" w:themeColor="text1"/>
          <w:sz w:val="26"/>
          <w:szCs w:val="26"/>
        </w:rPr>
        <w:t>recuerda</w:t>
      </w:r>
      <w:r w:rsidR="00CF4C30" w:rsidRPr="003F6B95">
        <w:rPr>
          <w:rFonts w:cs="Arial"/>
          <w:color w:val="000000" w:themeColor="text1"/>
          <w:sz w:val="26"/>
          <w:szCs w:val="26"/>
        </w:rPr>
        <w:t xml:space="preserve"> que la obligación de juzgar con perspectiva de género abarca valorar cómo las normas sociales y </w:t>
      </w:r>
      <w:r w:rsidR="00CF4C30" w:rsidRPr="003F6B95">
        <w:rPr>
          <w:rFonts w:cs="Arial"/>
          <w:color w:val="000000" w:themeColor="text1"/>
          <w:sz w:val="26"/>
          <w:szCs w:val="26"/>
        </w:rPr>
        <w:lastRenderedPageBreak/>
        <w:t>jurídicas construidas en torno al género condicionan la forma en que las personas pueden desarrollar sus vidas</w:t>
      </w:r>
      <w:r w:rsidR="00CF4C30" w:rsidRPr="003F6B95">
        <w:rPr>
          <w:rStyle w:val="Refdenotaalpie"/>
          <w:rFonts w:cs="Arial"/>
          <w:color w:val="000000" w:themeColor="text1"/>
          <w:sz w:val="26"/>
          <w:szCs w:val="26"/>
        </w:rPr>
        <w:footnoteReference w:id="72"/>
      </w:r>
      <w:r w:rsidR="00CF4C30" w:rsidRPr="003F6B95">
        <w:rPr>
          <w:rFonts w:cs="Arial"/>
          <w:color w:val="000000" w:themeColor="text1"/>
          <w:sz w:val="26"/>
          <w:szCs w:val="26"/>
        </w:rPr>
        <w:t xml:space="preserve">. Por ello, esta metodología cobra relevancia para garantizar el derecho a la igualdad y no discriminación en casos que involucran a las personas de la diversidad sexual o de la </w:t>
      </w:r>
      <w:r w:rsidR="0050082D">
        <w:rPr>
          <w:rFonts w:cs="Arial"/>
          <w:color w:val="000000" w:themeColor="text1"/>
          <w:sz w:val="26"/>
          <w:szCs w:val="26"/>
        </w:rPr>
        <w:t>población</w:t>
      </w:r>
      <w:r w:rsidR="00CF4C30" w:rsidRPr="003F6B95">
        <w:rPr>
          <w:rFonts w:cs="Arial"/>
          <w:color w:val="000000" w:themeColor="text1"/>
          <w:sz w:val="26"/>
          <w:szCs w:val="26"/>
        </w:rPr>
        <w:t xml:space="preserve"> LGBTI</w:t>
      </w:r>
      <w:r w:rsidR="004A3B3F">
        <w:rPr>
          <w:rFonts w:cs="Arial"/>
          <w:color w:val="000000" w:themeColor="text1"/>
          <w:sz w:val="26"/>
          <w:szCs w:val="26"/>
        </w:rPr>
        <w:t>Q</w:t>
      </w:r>
      <w:r w:rsidR="00CF4C30" w:rsidRPr="003F6B95">
        <w:rPr>
          <w:rFonts w:cs="Arial"/>
          <w:color w:val="000000" w:themeColor="text1"/>
          <w:sz w:val="26"/>
          <w:szCs w:val="26"/>
        </w:rPr>
        <w:t>+, entre las que se encuentran las personas trans</w:t>
      </w:r>
      <w:r w:rsidR="001D1DF0">
        <w:rPr>
          <w:rStyle w:val="Refdenotaalpie"/>
          <w:rFonts w:cs="Arial"/>
          <w:color w:val="000000" w:themeColor="text1"/>
          <w:sz w:val="26"/>
          <w:szCs w:val="26"/>
        </w:rPr>
        <w:footnoteReference w:id="73"/>
      </w:r>
      <w:r w:rsidR="00CF4C30" w:rsidRPr="003F6B95">
        <w:rPr>
          <w:rFonts w:cs="Arial"/>
          <w:color w:val="000000" w:themeColor="text1"/>
          <w:sz w:val="26"/>
          <w:szCs w:val="26"/>
        </w:rPr>
        <w:t>.</w:t>
      </w:r>
    </w:p>
    <w:p w14:paraId="250BB743" w14:textId="77777777" w:rsidR="00CF4C30" w:rsidRPr="00CF4C30" w:rsidRDefault="00CF4C30" w:rsidP="001A476B">
      <w:pPr>
        <w:pStyle w:val="corte4fondo"/>
        <w:ind w:right="51" w:hanging="567"/>
        <w:rPr>
          <w:rFonts w:cs="Arial"/>
          <w:b/>
          <w:bCs/>
          <w:color w:val="1F3864" w:themeColor="accent1" w:themeShade="80"/>
          <w:sz w:val="26"/>
          <w:szCs w:val="26"/>
        </w:rPr>
      </w:pPr>
    </w:p>
    <w:p w14:paraId="0D5505BA" w14:textId="7FCAA09C" w:rsidR="005230D8" w:rsidRDefault="00937589" w:rsidP="001A476B">
      <w:pPr>
        <w:pStyle w:val="corte4fondo"/>
        <w:numPr>
          <w:ilvl w:val="0"/>
          <w:numId w:val="2"/>
        </w:numPr>
        <w:ind w:left="0" w:right="51" w:hanging="567"/>
        <w:rPr>
          <w:rFonts w:cs="Arial"/>
          <w:b/>
          <w:bCs/>
          <w:color w:val="1F3864" w:themeColor="accent1" w:themeShade="80"/>
          <w:sz w:val="26"/>
          <w:szCs w:val="26"/>
        </w:rPr>
      </w:pPr>
      <w:r w:rsidRPr="00937589">
        <w:rPr>
          <w:rFonts w:cs="Arial"/>
          <w:color w:val="000000" w:themeColor="text1"/>
          <w:sz w:val="26"/>
          <w:szCs w:val="26"/>
        </w:rPr>
        <w:t>Esto se explica porque, aunque las mujeres y las personas de la diversidad sexual viven experiencias únicas relacionadas con el género, estos grupos enfrentan un sistema sostenido por estereotipos que perpetúan las asimetrías de poder, colocándolos en situaciones de vulnerabilidad y aumentando su riesgo de sufrir violencia y discriminación. En este contexto, una perspectiva de género integral permite analizar y comprender las causas y consecuencias de la discriminación y violencia que enfrentan las personas debido a su orientación sexual, identidad o expresión de género. En otras palabras, la obligación de juzgar con perspectiva de género implica incorporar un enfoque que contemple de manera explícita</w:t>
      </w:r>
      <w:r w:rsidR="00DD622C">
        <w:rPr>
          <w:rFonts w:cs="Arial"/>
          <w:color w:val="000000" w:themeColor="text1"/>
          <w:sz w:val="26"/>
          <w:szCs w:val="26"/>
        </w:rPr>
        <w:t xml:space="preserve"> estos factores</w:t>
      </w:r>
      <w:r w:rsidR="00D63571">
        <w:rPr>
          <w:rStyle w:val="Refdenotaalpie"/>
          <w:rFonts w:cs="Arial"/>
          <w:color w:val="000000" w:themeColor="text1"/>
          <w:sz w:val="26"/>
          <w:szCs w:val="26"/>
        </w:rPr>
        <w:footnoteReference w:id="74"/>
      </w:r>
      <w:r w:rsidR="00CF4C30" w:rsidRPr="00CF4C30">
        <w:rPr>
          <w:rFonts w:cs="Arial"/>
          <w:color w:val="000000" w:themeColor="text1"/>
          <w:sz w:val="26"/>
          <w:szCs w:val="26"/>
        </w:rPr>
        <w:t>.</w:t>
      </w:r>
    </w:p>
    <w:p w14:paraId="06654D7C" w14:textId="77777777" w:rsidR="005230D8" w:rsidRPr="005230D8" w:rsidRDefault="005230D8" w:rsidP="001A476B">
      <w:pPr>
        <w:pStyle w:val="corte4fondo"/>
        <w:ind w:right="51" w:hanging="567"/>
        <w:rPr>
          <w:rFonts w:cs="Arial"/>
          <w:b/>
          <w:bCs/>
          <w:color w:val="1F3864" w:themeColor="accent1" w:themeShade="80"/>
          <w:sz w:val="26"/>
          <w:szCs w:val="26"/>
        </w:rPr>
      </w:pPr>
    </w:p>
    <w:p w14:paraId="75C1206B" w14:textId="677BC640" w:rsidR="005230D8" w:rsidRPr="005230D8" w:rsidRDefault="005230D8" w:rsidP="001A476B">
      <w:pPr>
        <w:pStyle w:val="corte4fondo"/>
        <w:numPr>
          <w:ilvl w:val="0"/>
          <w:numId w:val="2"/>
        </w:numPr>
        <w:ind w:left="0" w:right="51" w:hanging="567"/>
        <w:rPr>
          <w:rFonts w:cs="Arial"/>
          <w:b/>
          <w:bCs/>
          <w:color w:val="1F3864" w:themeColor="accent1" w:themeShade="80"/>
          <w:sz w:val="26"/>
          <w:szCs w:val="26"/>
        </w:rPr>
      </w:pPr>
      <w:r w:rsidRPr="005230D8">
        <w:rPr>
          <w:rFonts w:cs="Arial"/>
          <w:color w:val="000000" w:themeColor="text1"/>
          <w:sz w:val="26"/>
          <w:szCs w:val="26"/>
          <w:lang w:val="es-ES"/>
        </w:rPr>
        <w:t xml:space="preserve">Esta metodología supone, entro otros elementos, identificar si en el asunto están involucrados estereotipos de género o de sexualidad </w:t>
      </w:r>
      <w:r w:rsidR="003E37A4">
        <w:rPr>
          <w:rFonts w:cs="Arial"/>
          <w:color w:val="000000" w:themeColor="text1"/>
          <w:sz w:val="26"/>
          <w:szCs w:val="26"/>
          <w:lang w:val="es-ES"/>
        </w:rPr>
        <w:t>que afecta a</w:t>
      </w:r>
      <w:r w:rsidRPr="005230D8">
        <w:rPr>
          <w:rFonts w:cs="Arial"/>
          <w:color w:val="000000" w:themeColor="text1"/>
          <w:sz w:val="26"/>
          <w:szCs w:val="26"/>
          <w:lang w:val="es-ES"/>
        </w:rPr>
        <w:t xml:space="preserve"> las personas</w:t>
      </w:r>
      <w:r w:rsidR="00313F34">
        <w:rPr>
          <w:rFonts w:cs="Arial"/>
          <w:color w:val="000000" w:themeColor="text1"/>
          <w:sz w:val="26"/>
          <w:szCs w:val="26"/>
          <w:lang w:val="es-ES"/>
        </w:rPr>
        <w:t xml:space="preserve"> </w:t>
      </w:r>
      <w:r w:rsidRPr="005230D8">
        <w:rPr>
          <w:rFonts w:cs="Arial"/>
          <w:color w:val="000000" w:themeColor="text1"/>
          <w:sz w:val="26"/>
          <w:szCs w:val="26"/>
          <w:lang w:val="es-ES"/>
        </w:rPr>
        <w:t>en función de su orientación sexual o identidad y expresión de género</w:t>
      </w:r>
      <w:r w:rsidR="00313F34">
        <w:rPr>
          <w:rFonts w:cs="Arial"/>
          <w:color w:val="000000" w:themeColor="text1"/>
          <w:sz w:val="26"/>
          <w:szCs w:val="26"/>
          <w:lang w:val="es-ES"/>
        </w:rPr>
        <w:t>. Esto puede manifestarse</w:t>
      </w:r>
      <w:r w:rsidRPr="005230D8">
        <w:rPr>
          <w:rFonts w:cs="Arial"/>
          <w:color w:val="000000" w:themeColor="text1"/>
          <w:sz w:val="26"/>
          <w:szCs w:val="26"/>
          <w:lang w:val="es-ES"/>
        </w:rPr>
        <w:t xml:space="preserve"> en el derecho aplicable o </w:t>
      </w:r>
      <w:r w:rsidR="00202012">
        <w:rPr>
          <w:rFonts w:cs="Arial"/>
          <w:color w:val="000000" w:themeColor="text1"/>
          <w:sz w:val="26"/>
          <w:szCs w:val="26"/>
          <w:lang w:val="es-ES"/>
        </w:rPr>
        <w:t>en</w:t>
      </w:r>
      <w:r w:rsidRPr="005230D8">
        <w:rPr>
          <w:rFonts w:cs="Arial"/>
          <w:color w:val="000000" w:themeColor="text1"/>
          <w:sz w:val="26"/>
          <w:szCs w:val="26"/>
          <w:lang w:val="es-ES"/>
        </w:rPr>
        <w:t xml:space="preserve"> las conductas, actos o resoluciones que se examinan</w:t>
      </w:r>
      <w:r w:rsidR="00202012">
        <w:rPr>
          <w:rFonts w:cs="Arial"/>
          <w:color w:val="000000" w:themeColor="text1"/>
          <w:sz w:val="26"/>
          <w:szCs w:val="26"/>
          <w:lang w:val="es-ES"/>
        </w:rPr>
        <w:t>, ya sea porque se sustentan</w:t>
      </w:r>
      <w:r w:rsidR="00585304">
        <w:rPr>
          <w:rFonts w:cs="Arial"/>
          <w:color w:val="000000" w:themeColor="text1"/>
          <w:sz w:val="26"/>
          <w:szCs w:val="26"/>
          <w:lang w:val="es-ES"/>
        </w:rPr>
        <w:t xml:space="preserve"> </w:t>
      </w:r>
      <w:r w:rsidR="002F639A">
        <w:rPr>
          <w:rFonts w:cs="Arial"/>
          <w:color w:val="000000" w:themeColor="text1"/>
          <w:sz w:val="26"/>
          <w:szCs w:val="26"/>
          <w:lang w:val="es-ES"/>
        </w:rPr>
        <w:t xml:space="preserve">en </w:t>
      </w:r>
      <w:r w:rsidR="00585304">
        <w:rPr>
          <w:rFonts w:cs="Arial"/>
          <w:color w:val="000000" w:themeColor="text1"/>
          <w:sz w:val="26"/>
          <w:szCs w:val="26"/>
          <w:lang w:val="es-ES"/>
        </w:rPr>
        <w:t>dichos estereotipos o porque contribuyen a reproducirlos</w:t>
      </w:r>
      <w:r w:rsidRPr="005230D8">
        <w:rPr>
          <w:rFonts w:cs="Arial"/>
          <w:color w:val="000000" w:themeColor="text1"/>
          <w:sz w:val="26"/>
          <w:szCs w:val="26"/>
          <w:lang w:val="es-ES"/>
        </w:rPr>
        <w:t>. Asimismo, debe evaluar</w:t>
      </w:r>
      <w:r w:rsidR="00AD3C31">
        <w:rPr>
          <w:rFonts w:cs="Arial"/>
          <w:color w:val="000000" w:themeColor="text1"/>
          <w:sz w:val="26"/>
          <w:szCs w:val="26"/>
          <w:lang w:val="es-ES"/>
        </w:rPr>
        <w:t>se</w:t>
      </w:r>
      <w:r w:rsidRPr="005230D8">
        <w:rPr>
          <w:rFonts w:cs="Arial"/>
          <w:color w:val="000000" w:themeColor="text1"/>
          <w:sz w:val="26"/>
          <w:szCs w:val="26"/>
          <w:lang w:val="es-ES"/>
        </w:rPr>
        <w:t xml:space="preserve"> </w:t>
      </w:r>
      <w:r w:rsidRPr="005230D8">
        <w:rPr>
          <w:rFonts w:cs="Arial"/>
          <w:color w:val="000000" w:themeColor="text1"/>
          <w:sz w:val="26"/>
          <w:szCs w:val="26"/>
          <w:lang w:val="es-ES"/>
        </w:rPr>
        <w:lastRenderedPageBreak/>
        <w:t xml:space="preserve">si se </w:t>
      </w:r>
      <w:r w:rsidR="00400B4A">
        <w:rPr>
          <w:rFonts w:cs="Arial"/>
          <w:color w:val="000000" w:themeColor="text1"/>
          <w:sz w:val="26"/>
          <w:szCs w:val="26"/>
          <w:lang w:val="es-ES"/>
        </w:rPr>
        <w:t>está desconociendo</w:t>
      </w:r>
      <w:r w:rsidRPr="005230D8">
        <w:rPr>
          <w:rFonts w:cs="Arial"/>
          <w:color w:val="000000" w:themeColor="text1"/>
          <w:sz w:val="26"/>
          <w:szCs w:val="26"/>
          <w:lang w:val="es-ES"/>
        </w:rPr>
        <w:t xml:space="preserve"> un derecho o </w:t>
      </w:r>
      <w:r w:rsidR="00400B4A">
        <w:rPr>
          <w:rFonts w:cs="Arial"/>
          <w:color w:val="000000" w:themeColor="text1"/>
          <w:sz w:val="26"/>
          <w:szCs w:val="26"/>
          <w:lang w:val="es-ES"/>
        </w:rPr>
        <w:t>imponiendo</w:t>
      </w:r>
      <w:r w:rsidRPr="005230D8">
        <w:rPr>
          <w:rFonts w:cs="Arial"/>
          <w:color w:val="000000" w:themeColor="text1"/>
          <w:sz w:val="26"/>
          <w:szCs w:val="26"/>
          <w:lang w:val="es-ES"/>
        </w:rPr>
        <w:t xml:space="preserve"> una carga injustificada con base en una preconcepción de ese tipo</w:t>
      </w:r>
      <w:r w:rsidR="00764BF2">
        <w:rPr>
          <w:rStyle w:val="Refdenotaalpie"/>
          <w:rFonts w:cs="Arial"/>
          <w:color w:val="000000" w:themeColor="text1"/>
          <w:sz w:val="26"/>
          <w:szCs w:val="26"/>
          <w:lang w:val="es-ES"/>
        </w:rPr>
        <w:footnoteReference w:id="75"/>
      </w:r>
      <w:r w:rsidRPr="005230D8">
        <w:rPr>
          <w:rFonts w:cs="Arial"/>
          <w:color w:val="000000" w:themeColor="text1"/>
          <w:sz w:val="26"/>
          <w:szCs w:val="26"/>
          <w:lang w:val="es-ES"/>
        </w:rPr>
        <w:t>.</w:t>
      </w:r>
    </w:p>
    <w:p w14:paraId="66DAD431" w14:textId="77777777" w:rsidR="00B97EE7" w:rsidRPr="00CF4C30" w:rsidRDefault="00B97EE7" w:rsidP="001A476B">
      <w:pPr>
        <w:pStyle w:val="corte4fondo"/>
        <w:ind w:right="51" w:hanging="567"/>
        <w:rPr>
          <w:rFonts w:asciiTheme="minorBidi" w:hAnsiTheme="minorBidi" w:cstheme="minorBidi"/>
          <w:sz w:val="26"/>
          <w:szCs w:val="26"/>
        </w:rPr>
      </w:pPr>
    </w:p>
    <w:p w14:paraId="76F7FD30" w14:textId="1F980E8B" w:rsidR="003B6E79" w:rsidRPr="003F6B95" w:rsidRDefault="00E2518C" w:rsidP="001A476B">
      <w:pPr>
        <w:pStyle w:val="corte4fondo"/>
        <w:numPr>
          <w:ilvl w:val="0"/>
          <w:numId w:val="2"/>
        </w:numPr>
        <w:ind w:left="0" w:right="51" w:hanging="567"/>
        <w:rPr>
          <w:rFonts w:cs="Arial"/>
          <w:sz w:val="26"/>
          <w:szCs w:val="26"/>
        </w:rPr>
      </w:pPr>
      <w:r>
        <w:rPr>
          <w:rFonts w:asciiTheme="minorBidi" w:hAnsiTheme="minorBidi" w:cstheme="minorBidi"/>
          <w:sz w:val="26"/>
          <w:szCs w:val="26"/>
          <w:lang w:val="es-CO"/>
        </w:rPr>
        <w:t xml:space="preserve">A partir de estas </w:t>
      </w:r>
      <w:r w:rsidR="007D6501">
        <w:rPr>
          <w:rFonts w:asciiTheme="minorBidi" w:hAnsiTheme="minorBidi" w:cstheme="minorBidi"/>
          <w:sz w:val="26"/>
          <w:szCs w:val="26"/>
          <w:lang w:val="es-CO"/>
        </w:rPr>
        <w:t>consideraciones</w:t>
      </w:r>
      <w:r w:rsidR="00A66D72">
        <w:rPr>
          <w:rFonts w:asciiTheme="minorBidi" w:hAnsiTheme="minorBidi" w:cstheme="minorBidi"/>
          <w:sz w:val="26"/>
          <w:szCs w:val="26"/>
          <w:lang w:val="es-CO"/>
        </w:rPr>
        <w:t>,</w:t>
      </w:r>
      <w:r w:rsidR="00614E1A" w:rsidRPr="00BB0C23">
        <w:rPr>
          <w:rFonts w:asciiTheme="minorBidi" w:hAnsiTheme="minorBidi" w:cstheme="minorBidi"/>
          <w:sz w:val="26"/>
          <w:szCs w:val="26"/>
          <w:lang w:val="es-ES"/>
        </w:rPr>
        <w:t xml:space="preserve"> </w:t>
      </w:r>
      <w:r>
        <w:rPr>
          <w:rFonts w:asciiTheme="minorBidi" w:hAnsiTheme="minorBidi" w:cstheme="minorBidi"/>
          <w:sz w:val="26"/>
          <w:szCs w:val="26"/>
          <w:lang w:val="es-ES"/>
        </w:rPr>
        <w:t>recordamos</w:t>
      </w:r>
      <w:r w:rsidR="00614E1A" w:rsidRPr="003F6B95">
        <w:rPr>
          <w:rFonts w:cs="Arial"/>
          <w:sz w:val="26"/>
          <w:szCs w:val="26"/>
          <w:lang w:val="es-ES"/>
        </w:rPr>
        <w:t xml:space="preserve"> que,</w:t>
      </w:r>
      <w:r w:rsidR="001F45FE" w:rsidRPr="003F6B95">
        <w:rPr>
          <w:rFonts w:cs="Arial"/>
          <w:sz w:val="26"/>
          <w:szCs w:val="26"/>
          <w:lang w:val="es-ES"/>
        </w:rPr>
        <w:t xml:space="preserve"> </w:t>
      </w:r>
      <w:r w:rsidR="00B353D0" w:rsidRPr="003F6B95">
        <w:rPr>
          <w:rFonts w:cs="Arial"/>
          <w:color w:val="000000" w:themeColor="text1"/>
          <w:sz w:val="26"/>
          <w:szCs w:val="26"/>
          <w:lang w:val="es-ES"/>
        </w:rPr>
        <w:t>en la sentencia</w:t>
      </w:r>
      <w:r w:rsidR="00B94C5D" w:rsidRPr="003F6B95">
        <w:rPr>
          <w:rFonts w:cs="Arial"/>
          <w:color w:val="000000" w:themeColor="text1"/>
          <w:sz w:val="26"/>
          <w:szCs w:val="26"/>
          <w:lang w:val="es-ES"/>
        </w:rPr>
        <w:t xml:space="preserve"> </w:t>
      </w:r>
      <w:r w:rsidR="00FB7B21" w:rsidRPr="003F6B95">
        <w:rPr>
          <w:rFonts w:cs="Arial"/>
          <w:color w:val="000000" w:themeColor="text1"/>
          <w:sz w:val="26"/>
          <w:szCs w:val="26"/>
          <w:lang w:val="es-ES"/>
        </w:rPr>
        <w:t>d</w:t>
      </w:r>
      <w:r w:rsidR="00FB7B21" w:rsidRPr="007D6501">
        <w:rPr>
          <w:rFonts w:cs="Arial"/>
          <w:color w:val="000000" w:themeColor="text1"/>
          <w:sz w:val="26"/>
          <w:szCs w:val="26"/>
          <w:lang w:val="es-ES"/>
        </w:rPr>
        <w:t>e apelación</w:t>
      </w:r>
      <w:r w:rsidR="00B94C5D" w:rsidRPr="007D6501">
        <w:rPr>
          <w:rFonts w:cs="Arial"/>
          <w:color w:val="000000" w:themeColor="text1"/>
          <w:sz w:val="26"/>
          <w:szCs w:val="26"/>
          <w:lang w:val="es-ES"/>
        </w:rPr>
        <w:t>,</w:t>
      </w:r>
      <w:r w:rsidR="00B353D0" w:rsidRPr="007D6501">
        <w:rPr>
          <w:rFonts w:cs="Arial"/>
          <w:color w:val="000000" w:themeColor="text1"/>
          <w:sz w:val="26"/>
          <w:szCs w:val="26"/>
          <w:lang w:val="es-ES"/>
        </w:rPr>
        <w:t xml:space="preserve"> la sala </w:t>
      </w:r>
      <w:r w:rsidR="002240BF" w:rsidRPr="007D6501">
        <w:rPr>
          <w:rFonts w:cs="Arial"/>
          <w:sz w:val="26"/>
          <w:szCs w:val="26"/>
          <w:lang w:val="es-ES"/>
        </w:rPr>
        <w:t xml:space="preserve">responsable </w:t>
      </w:r>
      <w:r w:rsidR="00B353D0" w:rsidRPr="007D6501">
        <w:rPr>
          <w:rFonts w:cs="Arial"/>
          <w:sz w:val="26"/>
          <w:szCs w:val="26"/>
          <w:lang w:val="es-ES"/>
        </w:rPr>
        <w:t xml:space="preserve">sostuvo que </w:t>
      </w:r>
      <w:r w:rsidR="002240BF" w:rsidRPr="007D6501">
        <w:rPr>
          <w:rFonts w:cs="Arial"/>
          <w:sz w:val="26"/>
          <w:szCs w:val="26"/>
          <w:lang w:val="es-ES"/>
        </w:rPr>
        <w:t xml:space="preserve">el hecho de </w:t>
      </w:r>
      <w:r w:rsidR="004251EA" w:rsidRPr="007D6501">
        <w:rPr>
          <w:rFonts w:cs="Arial"/>
          <w:sz w:val="26"/>
          <w:szCs w:val="26"/>
          <w:lang w:val="es-ES"/>
        </w:rPr>
        <w:t>obstaculizar el acceso de</w:t>
      </w:r>
      <w:r w:rsidR="002240BF" w:rsidRPr="007D6501">
        <w:rPr>
          <w:rFonts w:cs="Arial"/>
          <w:sz w:val="26"/>
          <w:szCs w:val="26"/>
          <w:lang w:val="es-ES"/>
        </w:rPr>
        <w:t xml:space="preserve"> </w:t>
      </w:r>
      <w:r w:rsidR="00451955" w:rsidRPr="007D6501">
        <w:rPr>
          <w:rFonts w:cs="Arial"/>
          <w:color w:val="FF0000"/>
          <w:sz w:val="26"/>
          <w:szCs w:val="26"/>
          <w:lang w:val="es-ES"/>
        </w:rPr>
        <w:t>J</w:t>
      </w:r>
      <w:r w:rsidR="00451955" w:rsidRPr="003F6B95">
        <w:rPr>
          <w:rFonts w:cs="Arial"/>
          <w:color w:val="FF0000"/>
          <w:sz w:val="26"/>
          <w:szCs w:val="26"/>
          <w:lang w:val="es-ES"/>
        </w:rPr>
        <w:t>MDF</w:t>
      </w:r>
      <w:r w:rsidR="00451955" w:rsidRPr="003F6B95">
        <w:rPr>
          <w:rFonts w:cs="Arial"/>
          <w:color w:val="000000" w:themeColor="text1"/>
          <w:sz w:val="26"/>
          <w:szCs w:val="26"/>
          <w:lang w:val="es-ES"/>
        </w:rPr>
        <w:t xml:space="preserve"> </w:t>
      </w:r>
      <w:r w:rsidR="00451955" w:rsidRPr="003F6B95">
        <w:rPr>
          <w:rFonts w:cs="Arial"/>
          <w:sz w:val="26"/>
          <w:szCs w:val="26"/>
          <w:lang w:val="es-ES"/>
        </w:rPr>
        <w:t xml:space="preserve">y </w:t>
      </w:r>
      <w:r w:rsidR="00451955" w:rsidRPr="003F6B95">
        <w:rPr>
          <w:rFonts w:cs="Arial"/>
          <w:color w:val="FF0000"/>
          <w:sz w:val="26"/>
          <w:szCs w:val="26"/>
          <w:lang w:val="es-ES"/>
        </w:rPr>
        <w:t>AMF</w:t>
      </w:r>
      <w:r w:rsidR="00960C9E" w:rsidRPr="003F6B95">
        <w:rPr>
          <w:rFonts w:cs="Arial"/>
          <w:color w:val="000000" w:themeColor="text1"/>
          <w:sz w:val="26"/>
          <w:szCs w:val="26"/>
          <w:lang w:val="es-ES"/>
        </w:rPr>
        <w:t xml:space="preserve"> </w:t>
      </w:r>
      <w:r w:rsidR="002240BF" w:rsidRPr="003F6B95">
        <w:rPr>
          <w:rFonts w:cs="Arial"/>
          <w:color w:val="000000" w:themeColor="text1"/>
          <w:sz w:val="26"/>
          <w:szCs w:val="26"/>
          <w:lang w:val="es-ES"/>
        </w:rPr>
        <w:t xml:space="preserve">al </w:t>
      </w:r>
      <w:r w:rsidR="004251EA" w:rsidRPr="003F6B95">
        <w:rPr>
          <w:rFonts w:cs="Arial"/>
          <w:color w:val="000000" w:themeColor="text1"/>
          <w:sz w:val="26"/>
          <w:szCs w:val="26"/>
          <w:lang w:val="es-ES"/>
        </w:rPr>
        <w:t xml:space="preserve">sanitario </w:t>
      </w:r>
      <w:r w:rsidR="002240BF" w:rsidRPr="003F6B95">
        <w:rPr>
          <w:rFonts w:cs="Arial"/>
          <w:color w:val="000000" w:themeColor="text1"/>
          <w:sz w:val="26"/>
          <w:szCs w:val="26"/>
          <w:lang w:val="es-ES"/>
        </w:rPr>
        <w:t>de muje</w:t>
      </w:r>
      <w:r w:rsidR="002240BF" w:rsidRPr="00785CA2">
        <w:rPr>
          <w:rFonts w:cs="Arial"/>
          <w:color w:val="000000" w:themeColor="text1"/>
          <w:sz w:val="26"/>
          <w:szCs w:val="26"/>
          <w:lang w:val="es-ES"/>
        </w:rPr>
        <w:t xml:space="preserve">res en el centro </w:t>
      </w:r>
      <w:r w:rsidR="002240BF" w:rsidRPr="00A36289">
        <w:rPr>
          <w:rFonts w:cs="Arial"/>
          <w:sz w:val="26"/>
          <w:szCs w:val="26"/>
          <w:lang w:val="es-ES"/>
        </w:rPr>
        <w:t xml:space="preserve">comercial </w:t>
      </w:r>
      <w:r w:rsidR="004251EA" w:rsidRPr="00A36289">
        <w:rPr>
          <w:rFonts w:cs="Arial"/>
          <w:sz w:val="26"/>
          <w:szCs w:val="26"/>
          <w:lang w:val="es-ES"/>
        </w:rPr>
        <w:t>“</w:t>
      </w:r>
      <w:r w:rsidR="002240BF" w:rsidRPr="00A36289">
        <w:rPr>
          <w:rFonts w:cs="Arial"/>
          <w:sz w:val="26"/>
          <w:szCs w:val="26"/>
          <w:lang w:val="es-ES"/>
        </w:rPr>
        <w:t>Reforma 222</w:t>
      </w:r>
      <w:r w:rsidR="004251EA" w:rsidRPr="00A36289">
        <w:rPr>
          <w:rFonts w:cs="Arial"/>
          <w:sz w:val="26"/>
          <w:szCs w:val="26"/>
          <w:lang w:val="es-ES"/>
        </w:rPr>
        <w:t xml:space="preserve">” </w:t>
      </w:r>
      <w:r w:rsidR="002240BF" w:rsidRPr="00785CA2">
        <w:rPr>
          <w:rFonts w:cs="Arial"/>
          <w:sz w:val="26"/>
          <w:szCs w:val="26"/>
          <w:lang w:val="es-ES"/>
        </w:rPr>
        <w:t>constituyó un acto discriminatorio en su contra</w:t>
      </w:r>
      <w:r w:rsidR="004251EA" w:rsidRPr="00785CA2">
        <w:rPr>
          <w:rFonts w:cs="Arial"/>
          <w:sz w:val="26"/>
          <w:szCs w:val="26"/>
          <w:lang w:val="es-ES"/>
        </w:rPr>
        <w:t>,</w:t>
      </w:r>
      <w:r w:rsidR="002240BF" w:rsidRPr="00785CA2">
        <w:rPr>
          <w:rFonts w:cs="Arial"/>
          <w:sz w:val="26"/>
          <w:szCs w:val="26"/>
          <w:lang w:val="es-ES"/>
        </w:rPr>
        <w:t xml:space="preserve"> sustentado en su identidad y expresión de género</w:t>
      </w:r>
      <w:r w:rsidR="002240BF" w:rsidRPr="00785CA2">
        <w:rPr>
          <w:rStyle w:val="Refdenotaalpie"/>
          <w:rFonts w:cs="Arial"/>
          <w:sz w:val="26"/>
          <w:szCs w:val="26"/>
          <w:lang w:val="es-ES"/>
        </w:rPr>
        <w:footnoteReference w:id="76"/>
      </w:r>
      <w:r w:rsidR="002240BF" w:rsidRPr="00785CA2">
        <w:rPr>
          <w:rFonts w:cs="Arial"/>
          <w:sz w:val="26"/>
          <w:szCs w:val="26"/>
          <w:lang w:val="es-ES"/>
        </w:rPr>
        <w:t xml:space="preserve">. </w:t>
      </w:r>
      <w:r w:rsidR="00A12CA8" w:rsidRPr="00785CA2">
        <w:rPr>
          <w:rFonts w:cs="Arial"/>
          <w:sz w:val="26"/>
          <w:szCs w:val="26"/>
        </w:rPr>
        <w:t>A nuestro parecer,</w:t>
      </w:r>
      <w:r w:rsidR="005C7245" w:rsidRPr="00785CA2">
        <w:rPr>
          <w:rFonts w:cs="Arial"/>
          <w:sz w:val="26"/>
          <w:szCs w:val="26"/>
        </w:rPr>
        <w:t xml:space="preserve"> </w:t>
      </w:r>
      <w:r w:rsidR="00A12CA8" w:rsidRPr="00785CA2">
        <w:rPr>
          <w:rFonts w:cs="Arial"/>
          <w:sz w:val="26"/>
          <w:szCs w:val="26"/>
        </w:rPr>
        <w:t>la s</w:t>
      </w:r>
      <w:r w:rsidR="00881F3F" w:rsidRPr="00785CA2">
        <w:rPr>
          <w:rFonts w:cs="Arial"/>
          <w:sz w:val="26"/>
          <w:szCs w:val="26"/>
        </w:rPr>
        <w:t xml:space="preserve">ala responsable </w:t>
      </w:r>
      <w:r w:rsidR="004D3858" w:rsidRPr="00785CA2">
        <w:rPr>
          <w:rFonts w:cs="Arial"/>
          <w:sz w:val="26"/>
          <w:szCs w:val="26"/>
        </w:rPr>
        <w:t>llegó a la conclusión</w:t>
      </w:r>
      <w:r w:rsidR="00DF5C73" w:rsidRPr="00785CA2">
        <w:rPr>
          <w:rFonts w:cs="Arial"/>
          <w:sz w:val="26"/>
          <w:szCs w:val="26"/>
        </w:rPr>
        <w:t xml:space="preserve"> adecuad</w:t>
      </w:r>
      <w:r w:rsidR="004D3858" w:rsidRPr="00785CA2">
        <w:rPr>
          <w:rFonts w:cs="Arial"/>
          <w:sz w:val="26"/>
          <w:szCs w:val="26"/>
        </w:rPr>
        <w:t>a</w:t>
      </w:r>
      <w:r w:rsidR="00DF5C73" w:rsidRPr="00785CA2">
        <w:rPr>
          <w:rFonts w:cs="Arial"/>
          <w:sz w:val="26"/>
          <w:szCs w:val="26"/>
        </w:rPr>
        <w:t xml:space="preserve"> en este punto</w:t>
      </w:r>
      <w:r w:rsidR="005C7245" w:rsidRPr="00785CA2">
        <w:rPr>
          <w:rFonts w:cs="Arial"/>
          <w:sz w:val="26"/>
          <w:szCs w:val="26"/>
        </w:rPr>
        <w:t>. Ello</w:t>
      </w:r>
      <w:r w:rsidR="00881F3F" w:rsidRPr="00785CA2">
        <w:rPr>
          <w:rFonts w:cs="Arial"/>
          <w:sz w:val="26"/>
          <w:szCs w:val="26"/>
        </w:rPr>
        <w:t xml:space="preserve">, </w:t>
      </w:r>
      <w:r w:rsidR="005C7245" w:rsidRPr="00785CA2">
        <w:rPr>
          <w:rFonts w:cs="Arial"/>
          <w:sz w:val="26"/>
          <w:szCs w:val="26"/>
        </w:rPr>
        <w:t>pue</w:t>
      </w:r>
      <w:r w:rsidR="005C7245" w:rsidRPr="003F6B95">
        <w:rPr>
          <w:rFonts w:cs="Arial"/>
          <w:sz w:val="26"/>
          <w:szCs w:val="26"/>
        </w:rPr>
        <w:t xml:space="preserve">s </w:t>
      </w:r>
      <w:r w:rsidR="00EC1AC6" w:rsidRPr="003F6B95">
        <w:rPr>
          <w:rFonts w:cs="Arial"/>
          <w:sz w:val="26"/>
          <w:szCs w:val="26"/>
        </w:rPr>
        <w:t xml:space="preserve">la autoridad </w:t>
      </w:r>
      <w:r w:rsidR="007942A4" w:rsidRPr="003F6B95">
        <w:rPr>
          <w:rFonts w:cs="Arial"/>
          <w:sz w:val="26"/>
          <w:szCs w:val="26"/>
        </w:rPr>
        <w:t xml:space="preserve">valoró si la conducta bajo escrutinio se </w:t>
      </w:r>
      <w:r w:rsidR="003B6E79" w:rsidRPr="003F6B95">
        <w:rPr>
          <w:rFonts w:cs="Arial"/>
          <w:sz w:val="26"/>
          <w:szCs w:val="26"/>
        </w:rPr>
        <w:t>había basado</w:t>
      </w:r>
      <w:r w:rsidR="007942A4" w:rsidRPr="003F6B95">
        <w:rPr>
          <w:rFonts w:cs="Arial"/>
          <w:sz w:val="26"/>
          <w:szCs w:val="26"/>
        </w:rPr>
        <w:t xml:space="preserve"> en un estereotipo de género</w:t>
      </w:r>
      <w:r w:rsidR="00114FC1" w:rsidRPr="003F6B95">
        <w:rPr>
          <w:rFonts w:cs="Arial"/>
          <w:sz w:val="26"/>
          <w:szCs w:val="26"/>
        </w:rPr>
        <w:t>,</w:t>
      </w:r>
      <w:r w:rsidR="007942A4" w:rsidRPr="003F6B95">
        <w:rPr>
          <w:rFonts w:cs="Arial"/>
          <w:sz w:val="26"/>
          <w:szCs w:val="26"/>
        </w:rPr>
        <w:t xml:space="preserve"> a través del cual se </w:t>
      </w:r>
      <w:r w:rsidR="006A3BE5" w:rsidRPr="003F6B95">
        <w:rPr>
          <w:rFonts w:cs="Arial"/>
          <w:sz w:val="26"/>
          <w:szCs w:val="26"/>
        </w:rPr>
        <w:t>hubiese negado</w:t>
      </w:r>
      <w:r w:rsidR="007942A4" w:rsidRPr="003F6B95">
        <w:rPr>
          <w:rFonts w:cs="Arial"/>
          <w:sz w:val="26"/>
          <w:szCs w:val="26"/>
        </w:rPr>
        <w:t xml:space="preserve"> o </w:t>
      </w:r>
      <w:r w:rsidR="006A3BE5" w:rsidRPr="003F6B95">
        <w:rPr>
          <w:rFonts w:cs="Arial"/>
          <w:sz w:val="26"/>
          <w:szCs w:val="26"/>
        </w:rPr>
        <w:t>desconocido</w:t>
      </w:r>
      <w:r w:rsidR="007942A4" w:rsidRPr="003F6B95">
        <w:rPr>
          <w:rFonts w:cs="Arial"/>
          <w:sz w:val="26"/>
          <w:szCs w:val="26"/>
        </w:rPr>
        <w:t xml:space="preserve"> la </w:t>
      </w:r>
      <w:r w:rsidR="008223C2" w:rsidRPr="003F6B95">
        <w:rPr>
          <w:rFonts w:cs="Arial"/>
          <w:sz w:val="26"/>
          <w:szCs w:val="26"/>
        </w:rPr>
        <w:t xml:space="preserve">identidad de </w:t>
      </w:r>
      <w:r w:rsidR="003B6E79" w:rsidRPr="003F6B95">
        <w:rPr>
          <w:rFonts w:cs="Arial"/>
          <w:sz w:val="26"/>
          <w:szCs w:val="26"/>
        </w:rPr>
        <w:t>la</w:t>
      </w:r>
      <w:r w:rsidR="00960C9E" w:rsidRPr="003F6B95">
        <w:rPr>
          <w:rFonts w:cs="Arial"/>
          <w:sz w:val="26"/>
          <w:szCs w:val="26"/>
        </w:rPr>
        <w:t>s</w:t>
      </w:r>
      <w:r w:rsidR="003B6E79" w:rsidRPr="003F6B95">
        <w:rPr>
          <w:rFonts w:cs="Arial"/>
          <w:sz w:val="26"/>
          <w:szCs w:val="26"/>
        </w:rPr>
        <w:t xml:space="preserve"> señora</w:t>
      </w:r>
      <w:r w:rsidR="00960C9E" w:rsidRPr="003F6B95">
        <w:rPr>
          <w:rFonts w:cs="Arial"/>
          <w:sz w:val="26"/>
          <w:szCs w:val="26"/>
        </w:rPr>
        <w:t>s</w:t>
      </w:r>
      <w:r w:rsidR="003B6E79" w:rsidRPr="003F6B95">
        <w:rPr>
          <w:rFonts w:cs="Arial"/>
          <w:sz w:val="26"/>
          <w:szCs w:val="26"/>
        </w:rPr>
        <w:t xml:space="preserve"> </w:t>
      </w:r>
      <w:r w:rsidR="003B6E79" w:rsidRPr="003F6B95">
        <w:rPr>
          <w:rFonts w:cs="Arial"/>
          <w:color w:val="FF0000"/>
          <w:sz w:val="26"/>
          <w:szCs w:val="26"/>
        </w:rPr>
        <w:t>DF</w:t>
      </w:r>
      <w:r w:rsidR="003B6E79" w:rsidRPr="003F6B95">
        <w:rPr>
          <w:rFonts w:cs="Arial"/>
          <w:sz w:val="26"/>
          <w:szCs w:val="26"/>
        </w:rPr>
        <w:t xml:space="preserve"> </w:t>
      </w:r>
      <w:r w:rsidR="00960C9E" w:rsidRPr="003F6B95">
        <w:rPr>
          <w:rFonts w:cs="Arial"/>
          <w:sz w:val="26"/>
          <w:szCs w:val="26"/>
        </w:rPr>
        <w:t xml:space="preserve">y </w:t>
      </w:r>
      <w:r w:rsidR="00960C9E" w:rsidRPr="003F6B95">
        <w:rPr>
          <w:rFonts w:cs="Arial"/>
          <w:color w:val="FF0000"/>
          <w:sz w:val="26"/>
          <w:szCs w:val="26"/>
          <w:lang w:val="es-ES"/>
        </w:rPr>
        <w:t>MF</w:t>
      </w:r>
      <w:r w:rsidR="00451955">
        <w:rPr>
          <w:rFonts w:cs="Arial"/>
          <w:color w:val="FF0000"/>
          <w:sz w:val="26"/>
          <w:szCs w:val="26"/>
          <w:lang w:val="es-ES"/>
        </w:rPr>
        <w:t xml:space="preserve"> </w:t>
      </w:r>
      <w:r w:rsidR="003B6E79" w:rsidRPr="003F6B95">
        <w:rPr>
          <w:rFonts w:cs="Arial"/>
          <w:sz w:val="26"/>
          <w:szCs w:val="26"/>
        </w:rPr>
        <w:t>como mujer</w:t>
      </w:r>
      <w:r w:rsidR="00960C9E" w:rsidRPr="003F6B95">
        <w:rPr>
          <w:rFonts w:cs="Arial"/>
          <w:sz w:val="26"/>
          <w:szCs w:val="26"/>
        </w:rPr>
        <w:t xml:space="preserve">es </w:t>
      </w:r>
      <w:r w:rsidR="003B6E79" w:rsidRPr="003F6B95">
        <w:rPr>
          <w:rFonts w:cs="Arial"/>
          <w:sz w:val="26"/>
          <w:szCs w:val="26"/>
        </w:rPr>
        <w:t xml:space="preserve">trans, </w:t>
      </w:r>
      <w:r w:rsidR="00994A5A" w:rsidRPr="003F6B95">
        <w:rPr>
          <w:rFonts w:cs="Arial"/>
          <w:sz w:val="26"/>
          <w:szCs w:val="26"/>
        </w:rPr>
        <w:t>y lo</w:t>
      </w:r>
      <w:r w:rsidR="003B6E79" w:rsidRPr="003F6B95">
        <w:rPr>
          <w:rFonts w:cs="Arial"/>
          <w:sz w:val="26"/>
          <w:szCs w:val="26"/>
        </w:rPr>
        <w:t xml:space="preserve"> </w:t>
      </w:r>
      <w:r w:rsidR="00BA1E28" w:rsidRPr="003F6B95">
        <w:rPr>
          <w:rFonts w:cs="Arial"/>
          <w:sz w:val="26"/>
          <w:szCs w:val="26"/>
        </w:rPr>
        <w:t>consideró constitutivo de un hecho ilícito</w:t>
      </w:r>
      <w:r w:rsidR="00FE4DE7" w:rsidRPr="003F6B95">
        <w:rPr>
          <w:rFonts w:cs="Arial"/>
          <w:sz w:val="26"/>
          <w:szCs w:val="26"/>
        </w:rPr>
        <w:t>,</w:t>
      </w:r>
      <w:r w:rsidR="00BA1E28" w:rsidRPr="003F6B95">
        <w:rPr>
          <w:rFonts w:cs="Arial"/>
          <w:sz w:val="26"/>
          <w:szCs w:val="26"/>
        </w:rPr>
        <w:t xml:space="preserve"> por implicar</w:t>
      </w:r>
      <w:r w:rsidR="003B6E79" w:rsidRPr="003F6B95">
        <w:rPr>
          <w:rFonts w:cs="Arial"/>
          <w:sz w:val="26"/>
          <w:szCs w:val="26"/>
        </w:rPr>
        <w:t xml:space="preserve"> una violación del principio de igualdad y no discriminación.</w:t>
      </w:r>
    </w:p>
    <w:p w14:paraId="22B92189" w14:textId="77777777" w:rsidR="003B6E79" w:rsidRPr="003F6B95" w:rsidRDefault="003B6E79" w:rsidP="001A476B">
      <w:pPr>
        <w:spacing w:line="360" w:lineRule="auto"/>
        <w:ind w:hanging="567"/>
        <w:jc w:val="both"/>
        <w:rPr>
          <w:rFonts w:ascii="Arial" w:hAnsi="Arial" w:cs="Arial"/>
          <w:sz w:val="26"/>
          <w:szCs w:val="26"/>
          <w:lang w:val="es-ES_tradnl"/>
        </w:rPr>
      </w:pPr>
    </w:p>
    <w:p w14:paraId="606588DB" w14:textId="31E209D9" w:rsidR="00192EFA" w:rsidRPr="00334D62" w:rsidRDefault="003B6E79" w:rsidP="001A476B">
      <w:pPr>
        <w:pStyle w:val="corte4fondo"/>
        <w:numPr>
          <w:ilvl w:val="0"/>
          <w:numId w:val="2"/>
        </w:numPr>
        <w:ind w:left="0" w:right="51" w:hanging="567"/>
        <w:rPr>
          <w:rFonts w:cs="Arial"/>
          <w:sz w:val="26"/>
          <w:szCs w:val="26"/>
        </w:rPr>
      </w:pPr>
      <w:r w:rsidRPr="003F6B95">
        <w:rPr>
          <w:rFonts w:cs="Arial"/>
          <w:sz w:val="26"/>
          <w:szCs w:val="26"/>
        </w:rPr>
        <w:t>L</w:t>
      </w:r>
      <w:r w:rsidR="00502F66" w:rsidRPr="003F6B95">
        <w:rPr>
          <w:rFonts w:cs="Arial"/>
          <w:sz w:val="26"/>
          <w:szCs w:val="26"/>
        </w:rPr>
        <w:t xml:space="preserve">a </w:t>
      </w:r>
      <w:r w:rsidR="00FE42C9" w:rsidRPr="003F6B95">
        <w:rPr>
          <w:rFonts w:cs="Arial"/>
          <w:sz w:val="26"/>
          <w:szCs w:val="26"/>
        </w:rPr>
        <w:t>s</w:t>
      </w:r>
      <w:r w:rsidR="00502F66" w:rsidRPr="003F6B95">
        <w:rPr>
          <w:rFonts w:cs="Arial"/>
          <w:sz w:val="26"/>
          <w:szCs w:val="26"/>
        </w:rPr>
        <w:t>ala responsable</w:t>
      </w:r>
      <w:r w:rsidRPr="003F6B95">
        <w:rPr>
          <w:rFonts w:cs="Arial"/>
          <w:sz w:val="26"/>
          <w:szCs w:val="26"/>
        </w:rPr>
        <w:t xml:space="preserve"> </w:t>
      </w:r>
      <w:r w:rsidR="00FE42C9" w:rsidRPr="003F6B95">
        <w:rPr>
          <w:rFonts w:cs="Arial"/>
          <w:sz w:val="26"/>
          <w:szCs w:val="26"/>
        </w:rPr>
        <w:t xml:space="preserve">también </w:t>
      </w:r>
      <w:r w:rsidRPr="003F6B95">
        <w:rPr>
          <w:rFonts w:cs="Arial"/>
          <w:sz w:val="26"/>
          <w:szCs w:val="26"/>
        </w:rPr>
        <w:t>atendió a la doctrina judicial de esta Suprema Corte,</w:t>
      </w:r>
      <w:r w:rsidR="00502F66" w:rsidRPr="003F6B95">
        <w:rPr>
          <w:rFonts w:cs="Arial"/>
          <w:sz w:val="26"/>
          <w:szCs w:val="26"/>
        </w:rPr>
        <w:t xml:space="preserve"> </w:t>
      </w:r>
      <w:r w:rsidR="006A3BE5" w:rsidRPr="003F6B95">
        <w:rPr>
          <w:rFonts w:cs="Arial"/>
          <w:sz w:val="26"/>
          <w:szCs w:val="26"/>
        </w:rPr>
        <w:t>en el sentido de</w:t>
      </w:r>
      <w:r w:rsidR="00502F66" w:rsidRPr="003F6B95">
        <w:rPr>
          <w:rFonts w:cs="Arial"/>
          <w:sz w:val="26"/>
          <w:szCs w:val="26"/>
        </w:rPr>
        <w:t xml:space="preserve"> que la identidad y expresión de género forman parte del derecho a la identidad personal y del libre desarrollo de la personalidad, pues es a partir de </w:t>
      </w:r>
      <w:r w:rsidR="00C67EA7" w:rsidRPr="003F6B95">
        <w:rPr>
          <w:rFonts w:cs="Arial"/>
          <w:sz w:val="26"/>
          <w:szCs w:val="26"/>
        </w:rPr>
        <w:t>é</w:t>
      </w:r>
      <w:r w:rsidR="00502F66" w:rsidRPr="003F6B95">
        <w:rPr>
          <w:rFonts w:cs="Arial"/>
          <w:sz w:val="26"/>
          <w:szCs w:val="26"/>
        </w:rPr>
        <w:t>sta que las personas expresan y proyectan su existencia frente a sí mismas y frente a la sociedad</w:t>
      </w:r>
      <w:r w:rsidR="00502F66" w:rsidRPr="003F6B95">
        <w:rPr>
          <w:rStyle w:val="Refdenotaalpie"/>
          <w:rFonts w:cs="Arial"/>
          <w:sz w:val="26"/>
          <w:szCs w:val="26"/>
        </w:rPr>
        <w:footnoteReference w:id="77"/>
      </w:r>
      <w:r w:rsidR="00502F66" w:rsidRPr="003F6B95">
        <w:rPr>
          <w:rFonts w:cs="Arial"/>
          <w:sz w:val="26"/>
          <w:szCs w:val="26"/>
        </w:rPr>
        <w:t xml:space="preserve">. </w:t>
      </w:r>
      <w:r w:rsidR="00502F66" w:rsidRPr="00334D62">
        <w:rPr>
          <w:rFonts w:cs="Arial"/>
          <w:sz w:val="26"/>
          <w:szCs w:val="26"/>
          <w:lang w:val="es-ES"/>
        </w:rPr>
        <w:t xml:space="preserve">Específicamente, </w:t>
      </w:r>
      <w:r w:rsidR="00771B58">
        <w:rPr>
          <w:rFonts w:cs="Arial"/>
          <w:sz w:val="26"/>
          <w:szCs w:val="26"/>
          <w:lang w:val="es-ES"/>
        </w:rPr>
        <w:t xml:space="preserve">hemos </w:t>
      </w:r>
      <w:r w:rsidR="00502F66" w:rsidRPr="00334D62">
        <w:rPr>
          <w:rFonts w:cs="Arial"/>
          <w:sz w:val="26"/>
          <w:szCs w:val="26"/>
          <w:lang w:val="es-ES"/>
        </w:rPr>
        <w:t xml:space="preserve">entendido que el derecho a la identidad personal y, particularmente, el derecho a la identidad de </w:t>
      </w:r>
      <w:r w:rsidR="00394130" w:rsidRPr="00334D62">
        <w:rPr>
          <w:rFonts w:cs="Arial"/>
          <w:sz w:val="26"/>
          <w:szCs w:val="26"/>
          <w:lang w:val="es-ES"/>
        </w:rPr>
        <w:t>género</w:t>
      </w:r>
      <w:r w:rsidR="00502F66" w:rsidRPr="00334D62">
        <w:rPr>
          <w:rFonts w:cs="Arial"/>
          <w:sz w:val="26"/>
          <w:szCs w:val="26"/>
          <w:lang w:val="es-ES"/>
        </w:rPr>
        <w:t xml:space="preserve"> engloba la manera en la que una persona </w:t>
      </w:r>
      <w:r w:rsidR="00502F66" w:rsidRPr="00334D62">
        <w:rPr>
          <w:rFonts w:cs="Arial"/>
          <w:sz w:val="26"/>
          <w:szCs w:val="26"/>
          <w:lang w:val="es-ES"/>
        </w:rPr>
        <w:lastRenderedPageBreak/>
        <w:t>se asume a sí misma</w:t>
      </w:r>
      <w:r w:rsidR="00502F66" w:rsidRPr="003F6B95">
        <w:rPr>
          <w:rStyle w:val="Refdenotaalpie"/>
          <w:rFonts w:cs="Arial"/>
          <w:sz w:val="26"/>
          <w:szCs w:val="26"/>
          <w:lang w:val="es-ES"/>
        </w:rPr>
        <w:footnoteReference w:id="78"/>
      </w:r>
      <w:r w:rsidR="00502F66" w:rsidRPr="00334D62">
        <w:rPr>
          <w:rFonts w:cs="Arial"/>
          <w:sz w:val="26"/>
          <w:szCs w:val="26"/>
          <w:lang w:val="es-ES"/>
        </w:rPr>
        <w:t xml:space="preserve">. </w:t>
      </w:r>
      <w:r w:rsidR="00771B58">
        <w:rPr>
          <w:rFonts w:cs="Arial"/>
          <w:sz w:val="26"/>
          <w:szCs w:val="26"/>
          <w:lang w:val="es-ES"/>
        </w:rPr>
        <w:t>Así, l</w:t>
      </w:r>
      <w:r w:rsidR="00502F66" w:rsidRPr="00334D62">
        <w:rPr>
          <w:rFonts w:cs="Arial"/>
          <w:sz w:val="26"/>
          <w:szCs w:val="26"/>
          <w:lang w:val="es-ES"/>
        </w:rPr>
        <w:t xml:space="preserve">a identidad de género es la vivencia interna e individual del género tal como cada persona la percibe, la cual podría corresponder o no con el sexo asignado al momento del nacimiento, incluyendo la vivencia personal del cuerpo y otras expresiones de género, </w:t>
      </w:r>
      <w:r w:rsidR="00796FA1" w:rsidRPr="00334D62">
        <w:rPr>
          <w:rFonts w:cs="Arial"/>
          <w:sz w:val="26"/>
          <w:szCs w:val="26"/>
          <w:lang w:val="es-ES"/>
        </w:rPr>
        <w:t>como</w:t>
      </w:r>
      <w:r w:rsidR="00502F66" w:rsidRPr="00334D62">
        <w:rPr>
          <w:rFonts w:cs="Arial"/>
          <w:sz w:val="26"/>
          <w:szCs w:val="26"/>
          <w:lang w:val="es-ES"/>
        </w:rPr>
        <w:t xml:space="preserve"> la vestimenta, el modo de hablar y los modales</w:t>
      </w:r>
      <w:r w:rsidR="00502F66" w:rsidRPr="003F6B95">
        <w:rPr>
          <w:rStyle w:val="Refdenotaalpie"/>
          <w:rFonts w:cs="Arial"/>
          <w:sz w:val="26"/>
          <w:szCs w:val="26"/>
          <w:lang w:val="es-ES"/>
        </w:rPr>
        <w:footnoteReference w:id="79"/>
      </w:r>
      <w:r w:rsidR="00502F66" w:rsidRPr="00334D62">
        <w:rPr>
          <w:rFonts w:cs="Arial"/>
          <w:sz w:val="26"/>
          <w:szCs w:val="26"/>
          <w:lang w:val="es-ES"/>
        </w:rPr>
        <w:t>.</w:t>
      </w:r>
    </w:p>
    <w:p w14:paraId="0FCC912A" w14:textId="77777777" w:rsidR="00192EFA" w:rsidRPr="003F6B95" w:rsidRDefault="00192EFA" w:rsidP="001A476B">
      <w:pPr>
        <w:pStyle w:val="corte4fondo"/>
        <w:ind w:right="51" w:hanging="567"/>
        <w:rPr>
          <w:rFonts w:cs="Arial"/>
          <w:sz w:val="26"/>
          <w:szCs w:val="26"/>
        </w:rPr>
      </w:pPr>
    </w:p>
    <w:p w14:paraId="7220B08C" w14:textId="0B22B6A3" w:rsidR="00976167" w:rsidRDefault="00502F66" w:rsidP="001A476B">
      <w:pPr>
        <w:pStyle w:val="corte4fondo"/>
        <w:numPr>
          <w:ilvl w:val="0"/>
          <w:numId w:val="2"/>
        </w:numPr>
        <w:ind w:left="0" w:right="51" w:hanging="567"/>
        <w:rPr>
          <w:rFonts w:cs="Arial"/>
          <w:sz w:val="26"/>
          <w:szCs w:val="26"/>
        </w:rPr>
      </w:pPr>
      <w:r w:rsidRPr="003F6B95">
        <w:rPr>
          <w:rFonts w:cs="Arial"/>
          <w:sz w:val="26"/>
          <w:szCs w:val="26"/>
        </w:rPr>
        <w:t xml:space="preserve">En ese sentido, a juicio de esta Primera Sala, la </w:t>
      </w:r>
      <w:r w:rsidR="00CB630B" w:rsidRPr="003F6B95">
        <w:rPr>
          <w:rFonts w:cs="Arial"/>
          <w:sz w:val="26"/>
          <w:szCs w:val="26"/>
        </w:rPr>
        <w:t xml:space="preserve">obstaculización o </w:t>
      </w:r>
      <w:r w:rsidRPr="003F6B95">
        <w:rPr>
          <w:rFonts w:cs="Arial"/>
          <w:sz w:val="26"/>
          <w:szCs w:val="26"/>
        </w:rPr>
        <w:t xml:space="preserve">negativa </w:t>
      </w:r>
      <w:r w:rsidR="007B0491" w:rsidRPr="003F6B95">
        <w:rPr>
          <w:rFonts w:cs="Arial"/>
          <w:sz w:val="26"/>
          <w:szCs w:val="26"/>
        </w:rPr>
        <w:t>de</w:t>
      </w:r>
      <w:r w:rsidRPr="003F6B95">
        <w:rPr>
          <w:rFonts w:cs="Arial"/>
          <w:sz w:val="26"/>
          <w:szCs w:val="26"/>
        </w:rPr>
        <w:t xml:space="preserve"> acceso a personas trans a los sanitarios</w:t>
      </w:r>
      <w:r w:rsidR="00796FA1" w:rsidRPr="003F6B95">
        <w:rPr>
          <w:rFonts w:cs="Arial"/>
          <w:sz w:val="26"/>
          <w:szCs w:val="26"/>
        </w:rPr>
        <w:t xml:space="preserve"> del género con el que se identifican</w:t>
      </w:r>
      <w:r w:rsidRPr="003F6B95">
        <w:rPr>
          <w:rFonts w:cs="Arial"/>
          <w:sz w:val="26"/>
          <w:szCs w:val="26"/>
        </w:rPr>
        <w:t xml:space="preserve"> representa una afronta a su dignidad</w:t>
      </w:r>
      <w:r w:rsidR="00501204">
        <w:rPr>
          <w:rFonts w:cs="Arial"/>
          <w:sz w:val="26"/>
          <w:szCs w:val="26"/>
        </w:rPr>
        <w:t xml:space="preserve"> qu</w:t>
      </w:r>
      <w:r w:rsidR="000A4FC8">
        <w:rPr>
          <w:rFonts w:cs="Arial"/>
          <w:sz w:val="26"/>
          <w:szCs w:val="26"/>
        </w:rPr>
        <w:t>e</w:t>
      </w:r>
      <w:r w:rsidR="00415019">
        <w:rPr>
          <w:rFonts w:cs="Arial"/>
          <w:sz w:val="26"/>
          <w:szCs w:val="26"/>
        </w:rPr>
        <w:t>, en este entorno en particular,</w:t>
      </w:r>
      <w:r w:rsidR="000A4FC8">
        <w:rPr>
          <w:rFonts w:cs="Arial"/>
          <w:sz w:val="26"/>
          <w:szCs w:val="26"/>
        </w:rPr>
        <w:t xml:space="preserve"> las pone en riesgo</w:t>
      </w:r>
      <w:r w:rsidRPr="003F6B95">
        <w:rPr>
          <w:rFonts w:cs="Arial"/>
          <w:sz w:val="26"/>
          <w:szCs w:val="26"/>
        </w:rPr>
        <w:t>. E</w:t>
      </w:r>
      <w:r w:rsidR="00CB630B" w:rsidRPr="003F6B95">
        <w:rPr>
          <w:rFonts w:cs="Arial"/>
          <w:sz w:val="26"/>
          <w:szCs w:val="26"/>
        </w:rPr>
        <w:t>llo deriva de que</w:t>
      </w:r>
      <w:r w:rsidRPr="003F6B95">
        <w:rPr>
          <w:rFonts w:cs="Arial"/>
          <w:sz w:val="26"/>
          <w:szCs w:val="26"/>
        </w:rPr>
        <w:t xml:space="preserve">, </w:t>
      </w:r>
      <w:r w:rsidR="00535828" w:rsidRPr="003F6B95">
        <w:rPr>
          <w:rFonts w:cs="Arial"/>
          <w:sz w:val="26"/>
          <w:szCs w:val="26"/>
        </w:rPr>
        <w:t>cuando una persona ingresa a un sanitario para “hombres” o “mujeres” porque se percibe como tal, este acto cotidiano constituye una afirmación de su identidad de género.</w:t>
      </w:r>
      <w:r w:rsidR="00535828">
        <w:rPr>
          <w:rFonts w:cs="Arial"/>
          <w:sz w:val="26"/>
          <w:szCs w:val="26"/>
        </w:rPr>
        <w:t xml:space="preserve"> </w:t>
      </w:r>
    </w:p>
    <w:p w14:paraId="419BF888" w14:textId="77777777" w:rsidR="00976167" w:rsidRDefault="00976167" w:rsidP="001A476B">
      <w:pPr>
        <w:pStyle w:val="corte4fondo"/>
        <w:ind w:right="51" w:hanging="567"/>
        <w:rPr>
          <w:rFonts w:cs="Arial"/>
          <w:sz w:val="26"/>
          <w:szCs w:val="26"/>
        </w:rPr>
      </w:pPr>
    </w:p>
    <w:p w14:paraId="207034C1" w14:textId="7C964A3E" w:rsidR="00502F66" w:rsidRPr="003F6B95" w:rsidRDefault="00712041" w:rsidP="001A476B">
      <w:pPr>
        <w:pStyle w:val="corte4fondo"/>
        <w:numPr>
          <w:ilvl w:val="0"/>
          <w:numId w:val="2"/>
        </w:numPr>
        <w:ind w:left="0" w:right="51" w:hanging="567"/>
        <w:rPr>
          <w:rFonts w:cs="Arial"/>
          <w:sz w:val="26"/>
          <w:szCs w:val="26"/>
        </w:rPr>
      </w:pPr>
      <w:r w:rsidDel="0074789D">
        <w:rPr>
          <w:rFonts w:cs="Arial"/>
          <w:sz w:val="26"/>
          <w:szCs w:val="26"/>
        </w:rPr>
        <w:t>Entonces</w:t>
      </w:r>
      <w:r w:rsidR="00502F66" w:rsidRPr="003F6B95" w:rsidDel="0074789D">
        <w:rPr>
          <w:rFonts w:cs="Arial"/>
          <w:sz w:val="26"/>
          <w:szCs w:val="26"/>
        </w:rPr>
        <w:t xml:space="preserve">, </w:t>
      </w:r>
      <w:r w:rsidR="00CA04DE">
        <w:rPr>
          <w:rFonts w:cs="Arial"/>
          <w:sz w:val="26"/>
          <w:szCs w:val="26"/>
        </w:rPr>
        <w:t>c</w:t>
      </w:r>
      <w:r w:rsidR="00502F66" w:rsidRPr="003F6B95">
        <w:rPr>
          <w:rFonts w:cs="Arial"/>
          <w:sz w:val="26"/>
          <w:szCs w:val="26"/>
        </w:rPr>
        <w:t xml:space="preserve">uando se niega </w:t>
      </w:r>
      <w:r w:rsidR="00FB5B40">
        <w:rPr>
          <w:rFonts w:cs="Arial"/>
          <w:sz w:val="26"/>
          <w:szCs w:val="26"/>
        </w:rPr>
        <w:t xml:space="preserve">u obstaculiza </w:t>
      </w:r>
      <w:r w:rsidR="00502F66" w:rsidRPr="003F6B95">
        <w:rPr>
          <w:rFonts w:cs="Arial"/>
          <w:sz w:val="26"/>
          <w:szCs w:val="26"/>
        </w:rPr>
        <w:t xml:space="preserve">el acceso a las personas trans a los sanitarios, no sólo se les </w:t>
      </w:r>
      <w:r w:rsidR="00507205">
        <w:rPr>
          <w:rFonts w:cs="Arial"/>
          <w:sz w:val="26"/>
          <w:szCs w:val="26"/>
        </w:rPr>
        <w:t>priva de</w:t>
      </w:r>
      <w:r w:rsidR="00507205" w:rsidRPr="003F6B95">
        <w:rPr>
          <w:rFonts w:cs="Arial"/>
          <w:sz w:val="26"/>
          <w:szCs w:val="26"/>
        </w:rPr>
        <w:t xml:space="preserve"> </w:t>
      </w:r>
      <w:r w:rsidR="00502F66" w:rsidRPr="003F6B95">
        <w:rPr>
          <w:rFonts w:cs="Arial"/>
          <w:sz w:val="26"/>
          <w:szCs w:val="26"/>
        </w:rPr>
        <w:t xml:space="preserve">un servicio </w:t>
      </w:r>
      <w:r w:rsidR="00150D60" w:rsidRPr="003F6B95">
        <w:rPr>
          <w:rFonts w:cs="Arial"/>
          <w:sz w:val="26"/>
          <w:szCs w:val="26"/>
        </w:rPr>
        <w:t xml:space="preserve">básico </w:t>
      </w:r>
      <w:r w:rsidR="00502F66" w:rsidRPr="003F6B95">
        <w:rPr>
          <w:rFonts w:cs="Arial"/>
          <w:sz w:val="26"/>
          <w:szCs w:val="26"/>
        </w:rPr>
        <w:t>al que todas las personas tienen derecho</w:t>
      </w:r>
      <w:r w:rsidR="00D7502A">
        <w:rPr>
          <w:rFonts w:cs="Arial"/>
          <w:sz w:val="26"/>
          <w:szCs w:val="26"/>
        </w:rPr>
        <w:t xml:space="preserve"> </w:t>
      </w:r>
      <w:r w:rsidR="00AD59FB">
        <w:rPr>
          <w:rFonts w:cs="Arial"/>
          <w:sz w:val="26"/>
          <w:szCs w:val="26"/>
        </w:rPr>
        <w:t xml:space="preserve">a </w:t>
      </w:r>
      <w:r w:rsidR="00C14133">
        <w:rPr>
          <w:rFonts w:cs="Arial"/>
          <w:sz w:val="26"/>
          <w:szCs w:val="26"/>
        </w:rPr>
        <w:t>acceder</w:t>
      </w:r>
      <w:r w:rsidR="00D7502A">
        <w:rPr>
          <w:rFonts w:cs="Arial"/>
          <w:sz w:val="26"/>
          <w:szCs w:val="26"/>
        </w:rPr>
        <w:t xml:space="preserve"> de forma segura</w:t>
      </w:r>
      <w:r w:rsidR="00502F66" w:rsidRPr="003F6B95">
        <w:rPr>
          <w:rFonts w:cs="Arial"/>
          <w:sz w:val="26"/>
          <w:szCs w:val="26"/>
        </w:rPr>
        <w:t>, sino que también se niega su identidad</w:t>
      </w:r>
      <w:r w:rsidR="00203B32">
        <w:rPr>
          <w:rFonts w:cs="Arial"/>
          <w:sz w:val="26"/>
          <w:szCs w:val="26"/>
        </w:rPr>
        <w:t>. Este acto implica</w:t>
      </w:r>
      <w:r w:rsidR="00150D60" w:rsidRPr="003F6B95">
        <w:rPr>
          <w:rFonts w:cs="Arial"/>
          <w:sz w:val="26"/>
          <w:szCs w:val="26"/>
        </w:rPr>
        <w:t xml:space="preserve"> cuestiona</w:t>
      </w:r>
      <w:r w:rsidR="006031F2">
        <w:rPr>
          <w:rFonts w:cs="Arial"/>
          <w:sz w:val="26"/>
          <w:szCs w:val="26"/>
        </w:rPr>
        <w:t>r</w:t>
      </w:r>
      <w:r w:rsidR="00150D60" w:rsidRPr="003F6B95">
        <w:rPr>
          <w:rFonts w:cs="Arial"/>
          <w:sz w:val="26"/>
          <w:szCs w:val="26"/>
        </w:rPr>
        <w:t xml:space="preserve"> </w:t>
      </w:r>
      <w:r w:rsidR="00BE30B2" w:rsidRPr="003F6B95">
        <w:rPr>
          <w:rFonts w:cs="Arial"/>
          <w:sz w:val="26"/>
          <w:szCs w:val="26"/>
        </w:rPr>
        <w:t>y juzga</w:t>
      </w:r>
      <w:r w:rsidR="00203B32">
        <w:rPr>
          <w:rFonts w:cs="Arial"/>
          <w:sz w:val="26"/>
          <w:szCs w:val="26"/>
        </w:rPr>
        <w:t>r</w:t>
      </w:r>
      <w:r w:rsidR="00BE30B2" w:rsidRPr="003F6B95">
        <w:rPr>
          <w:rFonts w:cs="Arial"/>
          <w:sz w:val="26"/>
          <w:szCs w:val="26"/>
        </w:rPr>
        <w:t xml:space="preserve"> </w:t>
      </w:r>
      <w:r w:rsidR="00502F66" w:rsidRPr="003F6B95">
        <w:rPr>
          <w:rFonts w:cs="Arial"/>
          <w:sz w:val="26"/>
          <w:szCs w:val="26"/>
        </w:rPr>
        <w:t>sus cuerpos, su forma de vestir y</w:t>
      </w:r>
      <w:r w:rsidR="002465B0">
        <w:rPr>
          <w:rFonts w:cs="Arial"/>
          <w:sz w:val="26"/>
          <w:szCs w:val="26"/>
        </w:rPr>
        <w:t>/o</w:t>
      </w:r>
      <w:r w:rsidR="00502F66" w:rsidRPr="003F6B95">
        <w:rPr>
          <w:rFonts w:cs="Arial"/>
          <w:sz w:val="26"/>
          <w:szCs w:val="26"/>
        </w:rPr>
        <w:t xml:space="preserve"> su forma de expresarse en sociedad</w:t>
      </w:r>
      <w:r w:rsidR="009D6D87">
        <w:rPr>
          <w:rFonts w:cs="Arial"/>
          <w:sz w:val="26"/>
          <w:szCs w:val="26"/>
        </w:rPr>
        <w:t>, lo que resulta en un desconocimiento</w:t>
      </w:r>
      <w:r w:rsidR="00B1494B">
        <w:rPr>
          <w:rFonts w:cs="Arial"/>
          <w:sz w:val="26"/>
          <w:szCs w:val="26"/>
        </w:rPr>
        <w:t xml:space="preserve"> de su identidad basado </w:t>
      </w:r>
      <w:r w:rsidR="00FB5B40" w:rsidRPr="003F6B95">
        <w:rPr>
          <w:rFonts w:cs="Arial"/>
          <w:sz w:val="26"/>
          <w:szCs w:val="26"/>
        </w:rPr>
        <w:t xml:space="preserve">en estereotipos </w:t>
      </w:r>
      <w:r w:rsidR="0011598C">
        <w:rPr>
          <w:rFonts w:cs="Arial"/>
          <w:sz w:val="26"/>
          <w:szCs w:val="26"/>
        </w:rPr>
        <w:t>que perpetúan</w:t>
      </w:r>
      <w:r w:rsidR="00FB5B40" w:rsidRPr="003F6B95">
        <w:rPr>
          <w:rFonts w:cs="Arial"/>
          <w:sz w:val="26"/>
          <w:szCs w:val="26"/>
        </w:rPr>
        <w:t xml:space="preserve"> idea</w:t>
      </w:r>
      <w:r w:rsidR="0011598C">
        <w:rPr>
          <w:rFonts w:cs="Arial"/>
          <w:sz w:val="26"/>
          <w:szCs w:val="26"/>
        </w:rPr>
        <w:t>s</w:t>
      </w:r>
      <w:r w:rsidR="00FB5B40" w:rsidRPr="003F6B95">
        <w:rPr>
          <w:rFonts w:cs="Arial"/>
          <w:sz w:val="26"/>
          <w:szCs w:val="26"/>
        </w:rPr>
        <w:t xml:space="preserve"> generalizada</w:t>
      </w:r>
      <w:r w:rsidR="0011598C">
        <w:rPr>
          <w:rFonts w:cs="Arial"/>
          <w:sz w:val="26"/>
          <w:szCs w:val="26"/>
        </w:rPr>
        <w:t>s</w:t>
      </w:r>
      <w:r w:rsidR="00FB5B40" w:rsidRPr="003F6B95">
        <w:rPr>
          <w:rFonts w:cs="Arial"/>
          <w:sz w:val="26"/>
          <w:szCs w:val="26"/>
        </w:rPr>
        <w:t xml:space="preserve"> de cómo deben verse o comportarse “las mujeres” o “los hombres”</w:t>
      </w:r>
      <w:r w:rsidR="00502F66" w:rsidRPr="00E4706B">
        <w:rPr>
          <w:rFonts w:cs="Arial"/>
          <w:sz w:val="26"/>
          <w:szCs w:val="26"/>
        </w:rPr>
        <w:t>. En</w:t>
      </w:r>
      <w:r w:rsidR="00293A39">
        <w:rPr>
          <w:rFonts w:cs="Arial"/>
          <w:sz w:val="26"/>
          <w:szCs w:val="26"/>
        </w:rPr>
        <w:t xml:space="preserve"> definitiva</w:t>
      </w:r>
      <w:r w:rsidR="00502F66" w:rsidRPr="00E4706B">
        <w:rPr>
          <w:rFonts w:cs="Arial"/>
          <w:sz w:val="26"/>
          <w:szCs w:val="26"/>
        </w:rPr>
        <w:t>, se prejuzga sobre su personalidad social y jurídica, así como</w:t>
      </w:r>
      <w:r w:rsidR="00BE30B2" w:rsidRPr="00E4706B">
        <w:rPr>
          <w:rFonts w:cs="Arial"/>
          <w:sz w:val="26"/>
          <w:szCs w:val="26"/>
        </w:rPr>
        <w:t xml:space="preserve"> sobre el </w:t>
      </w:r>
      <w:r w:rsidR="00502F66" w:rsidRPr="00E4706B">
        <w:rPr>
          <w:rFonts w:cs="Arial"/>
          <w:sz w:val="26"/>
          <w:szCs w:val="26"/>
        </w:rPr>
        <w:t>sentido de su propia existencia.</w:t>
      </w:r>
    </w:p>
    <w:p w14:paraId="0BA49952" w14:textId="77777777" w:rsidR="00502F66" w:rsidRPr="003F6B95" w:rsidRDefault="00502F66" w:rsidP="001A476B">
      <w:pPr>
        <w:pStyle w:val="corte4fondo"/>
        <w:ind w:right="51" w:hanging="567"/>
        <w:rPr>
          <w:rFonts w:cs="Arial"/>
          <w:sz w:val="26"/>
          <w:szCs w:val="26"/>
        </w:rPr>
      </w:pPr>
    </w:p>
    <w:p w14:paraId="449AA406" w14:textId="4E5118FC" w:rsidR="00502F66" w:rsidRPr="003F6B95" w:rsidRDefault="000D2CF1" w:rsidP="001A476B">
      <w:pPr>
        <w:pStyle w:val="corte4fondo"/>
        <w:numPr>
          <w:ilvl w:val="0"/>
          <w:numId w:val="2"/>
        </w:numPr>
        <w:ind w:left="0" w:right="51" w:hanging="567"/>
        <w:rPr>
          <w:rFonts w:cs="Arial"/>
          <w:sz w:val="26"/>
          <w:szCs w:val="26"/>
          <w:lang w:val="es-ES"/>
        </w:rPr>
      </w:pPr>
      <w:r>
        <w:rPr>
          <w:rFonts w:cs="Arial"/>
          <w:sz w:val="26"/>
          <w:szCs w:val="26"/>
          <w:lang w:val="es-ES"/>
        </w:rPr>
        <w:t xml:space="preserve">La discriminación tiene historia. </w:t>
      </w:r>
      <w:r w:rsidR="00B1260B">
        <w:rPr>
          <w:rFonts w:cs="Arial"/>
          <w:sz w:val="26"/>
          <w:szCs w:val="26"/>
          <w:lang w:val="es-ES"/>
        </w:rPr>
        <w:t xml:space="preserve">Es decir, </w:t>
      </w:r>
      <w:r w:rsidR="00C87A40">
        <w:rPr>
          <w:rFonts w:cs="Arial"/>
          <w:sz w:val="26"/>
          <w:szCs w:val="26"/>
          <w:lang w:val="es-ES"/>
        </w:rPr>
        <w:t xml:space="preserve">lo más importante es entender </w:t>
      </w:r>
      <w:r w:rsidR="00A220E7">
        <w:rPr>
          <w:rFonts w:cs="Arial"/>
          <w:sz w:val="26"/>
          <w:szCs w:val="26"/>
          <w:lang w:val="es-ES"/>
        </w:rPr>
        <w:t xml:space="preserve">que </w:t>
      </w:r>
      <w:r w:rsidR="00B1260B">
        <w:rPr>
          <w:rFonts w:cs="Arial"/>
          <w:sz w:val="26"/>
          <w:szCs w:val="26"/>
          <w:lang w:val="es-ES"/>
        </w:rPr>
        <w:t>e</w:t>
      </w:r>
      <w:r w:rsidR="00502F66" w:rsidRPr="003F6B95">
        <w:rPr>
          <w:rFonts w:cs="Arial"/>
          <w:sz w:val="26"/>
          <w:szCs w:val="26"/>
          <w:lang w:val="es-ES"/>
        </w:rPr>
        <w:t xml:space="preserve">ste tipo de hechos no </w:t>
      </w:r>
      <w:r w:rsidR="007D74A5">
        <w:rPr>
          <w:rFonts w:cs="Arial"/>
          <w:sz w:val="26"/>
          <w:szCs w:val="26"/>
          <w:lang w:val="es-ES"/>
        </w:rPr>
        <w:t>ocurren</w:t>
      </w:r>
      <w:r w:rsidR="00AA3EC6" w:rsidRPr="003F6B95">
        <w:rPr>
          <w:rFonts w:cs="Arial"/>
          <w:sz w:val="26"/>
          <w:szCs w:val="26"/>
          <w:lang w:val="es-ES"/>
        </w:rPr>
        <w:t xml:space="preserve"> </w:t>
      </w:r>
      <w:r w:rsidR="00502F66" w:rsidRPr="003F6B95">
        <w:rPr>
          <w:rFonts w:cs="Arial"/>
          <w:sz w:val="26"/>
          <w:szCs w:val="26"/>
          <w:lang w:val="es-ES"/>
        </w:rPr>
        <w:t xml:space="preserve">en un vacío social </w:t>
      </w:r>
      <w:r w:rsidR="00AA3EC6" w:rsidRPr="003F6B95">
        <w:rPr>
          <w:rFonts w:cs="Arial"/>
          <w:sz w:val="26"/>
          <w:szCs w:val="26"/>
          <w:lang w:val="es-ES"/>
        </w:rPr>
        <w:t xml:space="preserve">o </w:t>
      </w:r>
      <w:r w:rsidR="00502F66" w:rsidRPr="003F6B95">
        <w:rPr>
          <w:rFonts w:cs="Arial"/>
          <w:sz w:val="26"/>
          <w:szCs w:val="26"/>
          <w:lang w:val="es-ES"/>
        </w:rPr>
        <w:t>cultural</w:t>
      </w:r>
      <w:r w:rsidR="00AA3EC6" w:rsidRPr="003F6B95">
        <w:rPr>
          <w:rFonts w:cs="Arial"/>
          <w:sz w:val="26"/>
          <w:szCs w:val="26"/>
          <w:lang w:val="es-ES"/>
        </w:rPr>
        <w:t xml:space="preserve">, ni </w:t>
      </w:r>
      <w:r w:rsidR="00490CEF">
        <w:rPr>
          <w:rFonts w:cs="Arial"/>
          <w:sz w:val="26"/>
          <w:szCs w:val="26"/>
          <w:lang w:val="es-ES"/>
        </w:rPr>
        <w:t>se reducen a opiniones</w:t>
      </w:r>
      <w:r w:rsidR="00502F66" w:rsidRPr="003F6B95">
        <w:rPr>
          <w:rFonts w:cs="Arial"/>
          <w:sz w:val="26"/>
          <w:szCs w:val="26"/>
          <w:lang w:val="es-ES"/>
        </w:rPr>
        <w:t xml:space="preserve"> individual</w:t>
      </w:r>
      <w:r w:rsidR="00490CEF">
        <w:rPr>
          <w:rFonts w:cs="Arial"/>
          <w:sz w:val="26"/>
          <w:szCs w:val="26"/>
          <w:lang w:val="es-ES"/>
        </w:rPr>
        <w:t>es</w:t>
      </w:r>
      <w:r w:rsidR="00502F66" w:rsidRPr="003F6B95">
        <w:rPr>
          <w:rFonts w:cs="Arial"/>
          <w:sz w:val="26"/>
          <w:szCs w:val="26"/>
          <w:lang w:val="es-ES"/>
        </w:rPr>
        <w:t xml:space="preserve"> </w:t>
      </w:r>
      <w:r w:rsidR="005E23CA" w:rsidRPr="003F6B95">
        <w:rPr>
          <w:rFonts w:cs="Arial"/>
          <w:sz w:val="26"/>
          <w:szCs w:val="26"/>
          <w:lang w:val="es-ES"/>
        </w:rPr>
        <w:t>o</w:t>
      </w:r>
      <w:r w:rsidR="00502F66" w:rsidRPr="003F6B95">
        <w:rPr>
          <w:rFonts w:cs="Arial"/>
          <w:sz w:val="26"/>
          <w:szCs w:val="26"/>
          <w:lang w:val="es-ES"/>
        </w:rPr>
        <w:t xml:space="preserve"> </w:t>
      </w:r>
      <w:r w:rsidR="00AA3EC6" w:rsidRPr="003F6B95">
        <w:rPr>
          <w:rFonts w:cs="Arial"/>
          <w:sz w:val="26"/>
          <w:szCs w:val="26"/>
          <w:lang w:val="es-ES"/>
        </w:rPr>
        <w:t>aislada</w:t>
      </w:r>
      <w:r w:rsidR="00490CEF">
        <w:rPr>
          <w:rFonts w:cs="Arial"/>
          <w:sz w:val="26"/>
          <w:szCs w:val="26"/>
          <w:lang w:val="es-ES"/>
        </w:rPr>
        <w:t>s</w:t>
      </w:r>
      <w:r w:rsidR="00502F66" w:rsidRPr="003F6B95">
        <w:rPr>
          <w:rFonts w:cs="Arial"/>
          <w:sz w:val="26"/>
          <w:szCs w:val="26"/>
          <w:lang w:val="es-ES"/>
        </w:rPr>
        <w:t xml:space="preserve">. </w:t>
      </w:r>
      <w:r w:rsidR="008A316A">
        <w:rPr>
          <w:rFonts w:cs="Arial"/>
          <w:sz w:val="26"/>
          <w:szCs w:val="26"/>
          <w:lang w:val="es-ES"/>
        </w:rPr>
        <w:t>Por el contrario,</w:t>
      </w:r>
      <w:r w:rsidR="00502F66" w:rsidRPr="003F6B95">
        <w:rPr>
          <w:rFonts w:cs="Arial"/>
          <w:sz w:val="26"/>
          <w:szCs w:val="26"/>
          <w:lang w:val="es-ES"/>
        </w:rPr>
        <w:t xml:space="preserve"> los actos de discriminación en contra de personas trans </w:t>
      </w:r>
      <w:r w:rsidR="00AA3EC6" w:rsidRPr="003F6B95">
        <w:rPr>
          <w:rFonts w:cs="Arial"/>
          <w:sz w:val="26"/>
          <w:szCs w:val="26"/>
          <w:lang w:val="es-ES"/>
        </w:rPr>
        <w:t xml:space="preserve">generalmente </w:t>
      </w:r>
      <w:r w:rsidR="00502F66" w:rsidRPr="003F6B95">
        <w:rPr>
          <w:rFonts w:cs="Arial"/>
          <w:sz w:val="26"/>
          <w:szCs w:val="26"/>
          <w:lang w:val="es-ES"/>
        </w:rPr>
        <w:t>se dan e</w:t>
      </w:r>
      <w:r w:rsidR="00F10BF3">
        <w:rPr>
          <w:rFonts w:cs="Arial"/>
          <w:sz w:val="26"/>
          <w:szCs w:val="26"/>
          <w:lang w:val="es-ES"/>
        </w:rPr>
        <w:t>n</w:t>
      </w:r>
      <w:r w:rsidR="006D61FF">
        <w:rPr>
          <w:rFonts w:cs="Arial"/>
          <w:sz w:val="26"/>
          <w:szCs w:val="26"/>
          <w:lang w:val="es-ES"/>
        </w:rPr>
        <w:t xml:space="preserve"> un contexto </w:t>
      </w:r>
      <w:r w:rsidR="00502F66" w:rsidRPr="003F6B95">
        <w:rPr>
          <w:rFonts w:cs="Arial"/>
          <w:sz w:val="26"/>
          <w:szCs w:val="26"/>
          <w:lang w:val="es-ES"/>
        </w:rPr>
        <w:t>social</w:t>
      </w:r>
      <w:r w:rsidR="006D61FF" w:rsidRPr="003F6B95">
        <w:rPr>
          <w:rStyle w:val="Refdenotaalpie"/>
          <w:rFonts w:cs="Arial"/>
          <w:sz w:val="26"/>
          <w:szCs w:val="26"/>
          <w:lang w:val="es-ES"/>
        </w:rPr>
        <w:footnoteReference w:id="80"/>
      </w:r>
      <w:r w:rsidR="00502F66" w:rsidRPr="003F6B95">
        <w:rPr>
          <w:rFonts w:cs="Arial"/>
          <w:sz w:val="26"/>
          <w:szCs w:val="26"/>
          <w:lang w:val="es-ES"/>
        </w:rPr>
        <w:t xml:space="preserve"> </w:t>
      </w:r>
      <w:r w:rsidR="00B769CA">
        <w:rPr>
          <w:rFonts w:cs="Arial"/>
          <w:sz w:val="26"/>
          <w:szCs w:val="26"/>
          <w:lang w:val="es-ES"/>
        </w:rPr>
        <w:lastRenderedPageBreak/>
        <w:t>estructurado por</w:t>
      </w:r>
      <w:r w:rsidR="003046F7" w:rsidRPr="003F6B95">
        <w:rPr>
          <w:rFonts w:cs="Arial"/>
          <w:sz w:val="26"/>
          <w:szCs w:val="26"/>
          <w:lang w:val="es-ES"/>
        </w:rPr>
        <w:t xml:space="preserve"> </w:t>
      </w:r>
      <w:r w:rsidR="00502F66" w:rsidRPr="003F6B95">
        <w:rPr>
          <w:rFonts w:cs="Arial"/>
          <w:sz w:val="26"/>
          <w:szCs w:val="26"/>
          <w:lang w:val="es-ES"/>
        </w:rPr>
        <w:t xml:space="preserve">estereotipos y roles </w:t>
      </w:r>
      <w:r w:rsidR="00763C37">
        <w:rPr>
          <w:rFonts w:cs="Arial"/>
          <w:sz w:val="26"/>
          <w:szCs w:val="26"/>
          <w:lang w:val="es-ES"/>
        </w:rPr>
        <w:t xml:space="preserve">de </w:t>
      </w:r>
      <w:r w:rsidR="00763C37" w:rsidRPr="003F6B95">
        <w:rPr>
          <w:rFonts w:cs="Arial"/>
          <w:sz w:val="26"/>
          <w:szCs w:val="26"/>
          <w:lang w:val="es-ES"/>
        </w:rPr>
        <w:t>género</w:t>
      </w:r>
      <w:r w:rsidR="00763C37" w:rsidRPr="003F6B95" w:rsidDel="001610D5">
        <w:rPr>
          <w:rFonts w:cs="Arial"/>
          <w:sz w:val="26"/>
          <w:szCs w:val="26"/>
          <w:lang w:val="es-ES"/>
        </w:rPr>
        <w:t xml:space="preserve"> </w:t>
      </w:r>
      <w:r w:rsidR="00992A4A">
        <w:rPr>
          <w:rFonts w:cs="Arial"/>
          <w:sz w:val="26"/>
          <w:szCs w:val="26"/>
          <w:lang w:val="es-ES"/>
        </w:rPr>
        <w:t>que reflejan un</w:t>
      </w:r>
      <w:r w:rsidR="00502F66" w:rsidRPr="003F6B95" w:rsidDel="00903A87">
        <w:rPr>
          <w:rFonts w:cs="Arial"/>
          <w:sz w:val="26"/>
          <w:szCs w:val="26"/>
          <w:lang w:val="es-ES"/>
        </w:rPr>
        <w:t xml:space="preserve"> </w:t>
      </w:r>
      <w:r w:rsidR="00E71214">
        <w:rPr>
          <w:rFonts w:cs="Arial"/>
          <w:sz w:val="26"/>
          <w:szCs w:val="26"/>
          <w:lang w:val="es-ES"/>
        </w:rPr>
        <w:t>modelo</w:t>
      </w:r>
      <w:r w:rsidR="00502F66" w:rsidRPr="003F6B95" w:rsidDel="00903A87">
        <w:rPr>
          <w:rFonts w:cs="Arial"/>
          <w:sz w:val="26"/>
          <w:szCs w:val="26"/>
          <w:lang w:val="es-ES"/>
        </w:rPr>
        <w:t xml:space="preserve"> </w:t>
      </w:r>
      <w:r w:rsidR="00903A87">
        <w:rPr>
          <w:rFonts w:cs="Arial"/>
          <w:sz w:val="26"/>
          <w:szCs w:val="26"/>
          <w:lang w:val="es-ES"/>
        </w:rPr>
        <w:t>binar</w:t>
      </w:r>
      <w:r w:rsidR="00CD1C0E">
        <w:rPr>
          <w:rFonts w:cs="Arial"/>
          <w:sz w:val="26"/>
          <w:szCs w:val="26"/>
          <w:lang w:val="es-ES"/>
        </w:rPr>
        <w:t>io</w:t>
      </w:r>
      <w:r w:rsidR="00F577FD">
        <w:rPr>
          <w:rFonts w:cs="Arial"/>
          <w:sz w:val="26"/>
          <w:szCs w:val="26"/>
          <w:lang w:val="es-ES"/>
        </w:rPr>
        <w:t xml:space="preserve">. </w:t>
      </w:r>
      <w:r w:rsidR="000765C3" w:rsidRPr="00F577FD">
        <w:rPr>
          <w:rFonts w:cs="Arial"/>
          <w:sz w:val="26"/>
          <w:szCs w:val="26"/>
          <w:lang w:val="es-MX"/>
        </w:rPr>
        <w:t>Esta manera</w:t>
      </w:r>
      <w:r w:rsidR="00F577FD">
        <w:rPr>
          <w:rFonts w:cs="Arial"/>
          <w:sz w:val="26"/>
          <w:szCs w:val="26"/>
          <w:lang w:val="es-MX"/>
        </w:rPr>
        <w:t xml:space="preserve"> </w:t>
      </w:r>
      <w:r w:rsidR="00793759">
        <w:rPr>
          <w:rFonts w:cs="Arial"/>
          <w:sz w:val="26"/>
          <w:szCs w:val="26"/>
          <w:lang w:val="es-MX"/>
        </w:rPr>
        <w:t>de concebir y clasificar</w:t>
      </w:r>
      <w:r w:rsidR="00F77F79">
        <w:rPr>
          <w:rFonts w:cs="Arial"/>
          <w:sz w:val="26"/>
          <w:szCs w:val="26"/>
          <w:lang w:val="es-MX"/>
        </w:rPr>
        <w:t xml:space="preserve"> </w:t>
      </w:r>
      <w:r w:rsidR="00D86B61">
        <w:rPr>
          <w:rFonts w:cs="Arial"/>
          <w:sz w:val="26"/>
          <w:szCs w:val="26"/>
          <w:lang w:val="es-MX"/>
        </w:rPr>
        <w:t xml:space="preserve">la realidad </w:t>
      </w:r>
      <w:r w:rsidR="004D508F" w:rsidRPr="004D508F">
        <w:rPr>
          <w:rFonts w:cs="Arial"/>
          <w:sz w:val="26"/>
          <w:szCs w:val="26"/>
          <w:lang w:val="es-MX"/>
        </w:rPr>
        <w:t>no solo limita cómo deben comportarse las personas según si se les considera hombres o mujeres</w:t>
      </w:r>
      <w:r w:rsidR="00F577FD" w:rsidRPr="00F577FD">
        <w:rPr>
          <w:rFonts w:cs="Arial"/>
          <w:sz w:val="26"/>
          <w:szCs w:val="26"/>
          <w:lang w:val="es-MX"/>
        </w:rPr>
        <w:t xml:space="preserve">, sino que genera exclusión </w:t>
      </w:r>
      <w:r w:rsidR="00E819CF">
        <w:rPr>
          <w:rFonts w:cs="Arial"/>
          <w:sz w:val="26"/>
          <w:szCs w:val="26"/>
          <w:lang w:val="es-MX"/>
        </w:rPr>
        <w:t xml:space="preserve">y </w:t>
      </w:r>
      <w:r w:rsidR="00F577FD" w:rsidRPr="00F577FD">
        <w:rPr>
          <w:rFonts w:cs="Arial"/>
          <w:sz w:val="26"/>
          <w:szCs w:val="26"/>
          <w:lang w:val="es-MX"/>
        </w:rPr>
        <w:t>subordinación</w:t>
      </w:r>
      <w:r w:rsidR="00E819CF" w:rsidRPr="00E819CF">
        <w:rPr>
          <w:rFonts w:cs="Arial"/>
          <w:sz w:val="26"/>
          <w:szCs w:val="26"/>
          <w:lang w:val="es-MX"/>
        </w:rPr>
        <w:t xml:space="preserve"> </w:t>
      </w:r>
      <w:r w:rsidR="007A25F4">
        <w:rPr>
          <w:rFonts w:cs="Arial"/>
          <w:sz w:val="26"/>
          <w:szCs w:val="26"/>
          <w:lang w:val="es-MX"/>
        </w:rPr>
        <w:t>para</w:t>
      </w:r>
      <w:r w:rsidR="00E819CF" w:rsidRPr="00F577FD">
        <w:rPr>
          <w:rFonts w:cs="Arial"/>
          <w:sz w:val="26"/>
          <w:szCs w:val="26"/>
          <w:lang w:val="es-MX"/>
        </w:rPr>
        <w:t xml:space="preserve"> quienes no se ajustan a estas normas</w:t>
      </w:r>
      <w:r w:rsidR="008A338B">
        <w:rPr>
          <w:rFonts w:cs="Arial"/>
          <w:sz w:val="26"/>
          <w:szCs w:val="26"/>
          <w:lang w:val="es-MX"/>
        </w:rPr>
        <w:t>.</w:t>
      </w:r>
      <w:r w:rsidR="00086A21">
        <w:rPr>
          <w:rFonts w:cs="Arial"/>
          <w:sz w:val="26"/>
          <w:szCs w:val="26"/>
          <w:lang w:val="es-MX"/>
        </w:rPr>
        <w:t xml:space="preserve"> Esta </w:t>
      </w:r>
      <w:r w:rsidR="00F7313C">
        <w:rPr>
          <w:rFonts w:cs="Arial"/>
          <w:sz w:val="26"/>
          <w:szCs w:val="26"/>
          <w:lang w:val="es-MX"/>
        </w:rPr>
        <w:t xml:space="preserve">forma </w:t>
      </w:r>
      <w:r w:rsidR="00086A21">
        <w:rPr>
          <w:rFonts w:cs="Arial"/>
          <w:sz w:val="26"/>
          <w:szCs w:val="26"/>
          <w:lang w:val="es-MX"/>
        </w:rPr>
        <w:t xml:space="preserve">de entender el mundo genera </w:t>
      </w:r>
      <w:r w:rsidR="00F577FD" w:rsidRPr="00F577FD">
        <w:rPr>
          <w:rFonts w:cs="Arial"/>
          <w:sz w:val="26"/>
          <w:szCs w:val="26"/>
          <w:lang w:val="es-MX"/>
        </w:rPr>
        <w:t xml:space="preserve">violencia </w:t>
      </w:r>
      <w:r w:rsidR="00770276">
        <w:rPr>
          <w:rFonts w:cs="Arial"/>
          <w:sz w:val="26"/>
          <w:szCs w:val="26"/>
          <w:lang w:val="es-MX"/>
        </w:rPr>
        <w:t xml:space="preserve">para las personas que no cumplen con las expectativas, violencia </w:t>
      </w:r>
      <w:r w:rsidR="00F577FD" w:rsidRPr="00F577FD">
        <w:rPr>
          <w:rFonts w:cs="Arial"/>
          <w:sz w:val="26"/>
          <w:szCs w:val="26"/>
          <w:lang w:val="es-MX"/>
        </w:rPr>
        <w:t xml:space="preserve">que </w:t>
      </w:r>
      <w:r w:rsidR="00F77F79">
        <w:rPr>
          <w:rFonts w:cs="Arial"/>
          <w:sz w:val="26"/>
          <w:szCs w:val="26"/>
          <w:lang w:val="es-MX"/>
        </w:rPr>
        <w:t>se manifiesta</w:t>
      </w:r>
      <w:r w:rsidR="00F577FD" w:rsidRPr="00F577FD">
        <w:rPr>
          <w:rFonts w:cs="Arial"/>
          <w:sz w:val="26"/>
          <w:szCs w:val="26"/>
          <w:lang w:val="es-MX"/>
        </w:rPr>
        <w:t xml:space="preserve"> no solo de </w:t>
      </w:r>
      <w:r w:rsidR="00FF3BEB">
        <w:rPr>
          <w:rFonts w:cs="Arial"/>
          <w:sz w:val="26"/>
          <w:szCs w:val="26"/>
          <w:lang w:val="es-MX"/>
        </w:rPr>
        <w:t xml:space="preserve">forma </w:t>
      </w:r>
      <w:r w:rsidR="00F577FD" w:rsidRPr="00F577FD">
        <w:rPr>
          <w:rFonts w:cs="Arial"/>
          <w:sz w:val="26"/>
          <w:szCs w:val="26"/>
          <w:lang w:val="es-MX"/>
        </w:rPr>
        <w:t xml:space="preserve">simbólica o verbal, sino también </w:t>
      </w:r>
      <w:r w:rsidR="003F7F19">
        <w:rPr>
          <w:rFonts w:cs="Arial"/>
          <w:sz w:val="26"/>
          <w:szCs w:val="26"/>
          <w:lang w:val="es-MX"/>
        </w:rPr>
        <w:t xml:space="preserve">de manera </w:t>
      </w:r>
      <w:r w:rsidR="00661C4E">
        <w:rPr>
          <w:rFonts w:cs="Arial"/>
          <w:sz w:val="26"/>
          <w:szCs w:val="26"/>
          <w:lang w:val="es-MX"/>
        </w:rPr>
        <w:t xml:space="preserve">física y letal. </w:t>
      </w:r>
    </w:p>
    <w:p w14:paraId="41FB1678" w14:textId="77777777" w:rsidR="00C37BFE" w:rsidRPr="003F6B95" w:rsidRDefault="00C37BFE" w:rsidP="001A476B">
      <w:pPr>
        <w:tabs>
          <w:tab w:val="left" w:pos="4111"/>
        </w:tabs>
        <w:spacing w:line="360" w:lineRule="auto"/>
        <w:ind w:hanging="567"/>
        <w:rPr>
          <w:rFonts w:ascii="Arial" w:hAnsi="Arial" w:cs="Arial"/>
          <w:sz w:val="26"/>
          <w:szCs w:val="26"/>
          <w:lang w:val="es-ES_tradnl"/>
        </w:rPr>
      </w:pPr>
    </w:p>
    <w:p w14:paraId="6EB0FD58" w14:textId="4826B9F6" w:rsidR="00032007" w:rsidRDefault="00F1389F" w:rsidP="001A476B">
      <w:pPr>
        <w:pStyle w:val="corte4fondo"/>
        <w:numPr>
          <w:ilvl w:val="0"/>
          <w:numId w:val="2"/>
        </w:numPr>
        <w:tabs>
          <w:tab w:val="left" w:pos="3969"/>
          <w:tab w:val="left" w:pos="4111"/>
        </w:tabs>
        <w:ind w:left="0" w:right="51" w:hanging="567"/>
        <w:rPr>
          <w:rFonts w:cs="Arial"/>
          <w:sz w:val="26"/>
          <w:szCs w:val="26"/>
          <w:lang w:val="es-ES"/>
        </w:rPr>
      </w:pPr>
      <w:r>
        <w:rPr>
          <w:rFonts w:cs="Arial"/>
          <w:sz w:val="26"/>
          <w:szCs w:val="26"/>
          <w:lang w:val="es-ES"/>
        </w:rPr>
        <w:t>T</w:t>
      </w:r>
      <w:r w:rsidR="009033B8" w:rsidRPr="003F6B95">
        <w:rPr>
          <w:rFonts w:cs="Arial"/>
          <w:sz w:val="26"/>
          <w:szCs w:val="26"/>
          <w:lang w:val="es-ES"/>
        </w:rPr>
        <w:t xml:space="preserve">ambién debe tenerse en cuenta que el personal de seguridad del centro comercial solicitó a las señoras </w:t>
      </w:r>
      <w:r w:rsidR="009033B8" w:rsidRPr="003F6B95">
        <w:rPr>
          <w:rFonts w:cs="Arial"/>
          <w:color w:val="FF0000"/>
          <w:sz w:val="26"/>
          <w:szCs w:val="26"/>
          <w:lang w:val="es-ES"/>
        </w:rPr>
        <w:t xml:space="preserve">DF </w:t>
      </w:r>
      <w:r w:rsidR="009033B8" w:rsidRPr="003F6B95">
        <w:rPr>
          <w:rFonts w:cs="Arial"/>
          <w:color w:val="000000" w:themeColor="text1"/>
          <w:sz w:val="26"/>
          <w:szCs w:val="26"/>
          <w:lang w:val="es-ES"/>
        </w:rPr>
        <w:t xml:space="preserve">y </w:t>
      </w:r>
      <w:r w:rsidR="009033B8" w:rsidRPr="003F6B95">
        <w:rPr>
          <w:rFonts w:cs="Arial"/>
          <w:color w:val="FF0000"/>
          <w:sz w:val="26"/>
          <w:szCs w:val="26"/>
          <w:lang w:val="es-ES"/>
        </w:rPr>
        <w:t>MF</w:t>
      </w:r>
      <w:r w:rsidR="009033B8" w:rsidRPr="003F6B95">
        <w:rPr>
          <w:rFonts w:cs="Arial"/>
          <w:sz w:val="26"/>
          <w:szCs w:val="26"/>
          <w:lang w:val="es-ES"/>
        </w:rPr>
        <w:t xml:space="preserve"> sus identificaciones </w:t>
      </w:r>
      <w:r w:rsidR="00AE7D6B" w:rsidRPr="003F6B95">
        <w:rPr>
          <w:rFonts w:cs="Arial"/>
          <w:sz w:val="26"/>
          <w:szCs w:val="26"/>
          <w:lang w:val="es-ES"/>
        </w:rPr>
        <w:t xml:space="preserve">oficiales </w:t>
      </w:r>
      <w:r w:rsidR="009033B8" w:rsidRPr="003F6B95">
        <w:rPr>
          <w:rFonts w:cs="Arial"/>
          <w:sz w:val="26"/>
          <w:szCs w:val="26"/>
          <w:lang w:val="es-ES"/>
        </w:rPr>
        <w:t>para poder acceder al servicio sanitario</w:t>
      </w:r>
      <w:r w:rsidR="00AE7D6B" w:rsidRPr="003F6B95">
        <w:rPr>
          <w:rFonts w:cs="Arial"/>
          <w:sz w:val="26"/>
          <w:szCs w:val="26"/>
          <w:lang w:val="es-ES"/>
        </w:rPr>
        <w:t>. Esto</w:t>
      </w:r>
      <w:r w:rsidR="009033B8" w:rsidRPr="003F6B95">
        <w:rPr>
          <w:rFonts w:cs="Arial"/>
          <w:sz w:val="26"/>
          <w:szCs w:val="26"/>
          <w:lang w:val="es-ES"/>
        </w:rPr>
        <w:t xml:space="preserve"> respalda que su conducta se basó en el estereotipo consistente en que las </w:t>
      </w:r>
      <w:r w:rsidR="00CA10DC" w:rsidRPr="003F6B95">
        <w:rPr>
          <w:rFonts w:cs="Arial"/>
          <w:sz w:val="26"/>
          <w:szCs w:val="26"/>
          <w:lang w:val="es-ES"/>
        </w:rPr>
        <w:t>mujeres</w:t>
      </w:r>
      <w:r w:rsidR="009033B8" w:rsidRPr="003F6B95">
        <w:rPr>
          <w:rFonts w:cs="Arial"/>
          <w:sz w:val="26"/>
          <w:szCs w:val="26"/>
          <w:lang w:val="es-ES"/>
        </w:rPr>
        <w:t xml:space="preserve"> trans debe</w:t>
      </w:r>
      <w:r w:rsidR="00CA10DC" w:rsidRPr="003F6B95">
        <w:rPr>
          <w:rFonts w:cs="Arial"/>
          <w:sz w:val="26"/>
          <w:szCs w:val="26"/>
          <w:lang w:val="es-ES"/>
        </w:rPr>
        <w:t xml:space="preserve">n adecuar sus documentos oficiales y </w:t>
      </w:r>
      <w:r w:rsidR="006310B8" w:rsidRPr="003F6B95">
        <w:rPr>
          <w:rFonts w:cs="Arial"/>
          <w:sz w:val="26"/>
          <w:szCs w:val="26"/>
          <w:lang w:val="es-ES"/>
        </w:rPr>
        <w:t xml:space="preserve">feminizar </w:t>
      </w:r>
      <w:r w:rsidR="00CA10DC" w:rsidRPr="003F6B95">
        <w:rPr>
          <w:rFonts w:cs="Arial"/>
          <w:sz w:val="26"/>
          <w:szCs w:val="26"/>
          <w:lang w:val="es-ES"/>
        </w:rPr>
        <w:t>su apariencia física</w:t>
      </w:r>
      <w:r w:rsidR="006310B8" w:rsidRPr="003F6B95">
        <w:rPr>
          <w:rFonts w:cs="Arial"/>
          <w:sz w:val="26"/>
          <w:szCs w:val="26"/>
          <w:lang w:val="es-ES"/>
        </w:rPr>
        <w:t>,</w:t>
      </w:r>
      <w:r w:rsidR="00CA10DC" w:rsidRPr="003F6B95">
        <w:rPr>
          <w:rFonts w:cs="Arial"/>
          <w:sz w:val="26"/>
          <w:szCs w:val="26"/>
          <w:lang w:val="es-ES"/>
        </w:rPr>
        <w:t xml:space="preserve"> para ser reconocidas como </w:t>
      </w:r>
      <w:r w:rsidR="008A1CCA" w:rsidRPr="003F6B95">
        <w:rPr>
          <w:rFonts w:cs="Arial"/>
          <w:sz w:val="26"/>
          <w:szCs w:val="26"/>
          <w:lang w:val="es-ES"/>
        </w:rPr>
        <w:t>mujeres</w:t>
      </w:r>
      <w:r w:rsidR="00445F4F" w:rsidRPr="003F6B95">
        <w:rPr>
          <w:rFonts w:cs="Arial"/>
          <w:sz w:val="26"/>
          <w:szCs w:val="26"/>
          <w:lang w:val="es-ES"/>
        </w:rPr>
        <w:t>.</w:t>
      </w:r>
      <w:r w:rsidR="00D110C7" w:rsidRPr="003F6B95">
        <w:rPr>
          <w:rFonts w:cs="Arial"/>
          <w:sz w:val="26"/>
          <w:szCs w:val="26"/>
          <w:lang w:val="es-ES"/>
        </w:rPr>
        <w:t xml:space="preserve"> </w:t>
      </w:r>
      <w:r w:rsidR="00EA4C79">
        <w:rPr>
          <w:rFonts w:cs="Arial"/>
          <w:sz w:val="26"/>
          <w:szCs w:val="26"/>
          <w:lang w:val="es-ES"/>
        </w:rPr>
        <w:t>E</w:t>
      </w:r>
      <w:r w:rsidR="00C93EFB" w:rsidRPr="003F6B95">
        <w:rPr>
          <w:rFonts w:cs="Arial"/>
          <w:sz w:val="26"/>
          <w:szCs w:val="26"/>
          <w:lang w:val="es-ES"/>
        </w:rPr>
        <w:t>se tipo de conductas trivializan las implicaciones de los procesos de transición</w:t>
      </w:r>
      <w:r w:rsidR="00C93EFB" w:rsidRPr="00062065">
        <w:rPr>
          <w:rFonts w:cs="Arial"/>
          <w:sz w:val="26"/>
          <w:szCs w:val="26"/>
          <w:lang w:val="es-ES"/>
        </w:rPr>
        <w:t xml:space="preserve"> </w:t>
      </w:r>
      <w:r w:rsidR="00143D6D" w:rsidRPr="00062065">
        <w:rPr>
          <w:rFonts w:cs="Arial"/>
          <w:sz w:val="26"/>
          <w:szCs w:val="26"/>
          <w:lang w:val="es-ES"/>
        </w:rPr>
        <w:t xml:space="preserve">física </w:t>
      </w:r>
      <w:r w:rsidR="00412AE5" w:rsidRPr="00062065">
        <w:rPr>
          <w:rFonts w:cs="Arial"/>
          <w:sz w:val="26"/>
          <w:szCs w:val="26"/>
          <w:lang w:val="es-ES"/>
        </w:rPr>
        <w:t xml:space="preserve">por los que </w:t>
      </w:r>
      <w:r w:rsidR="00143D6D" w:rsidRPr="00062065">
        <w:rPr>
          <w:rFonts w:cs="Arial"/>
          <w:sz w:val="26"/>
          <w:szCs w:val="26"/>
          <w:lang w:val="es-ES"/>
        </w:rPr>
        <w:t>pasan</w:t>
      </w:r>
      <w:r w:rsidR="00C93EFB" w:rsidRPr="00062065">
        <w:rPr>
          <w:rFonts w:cs="Arial"/>
          <w:sz w:val="26"/>
          <w:szCs w:val="26"/>
          <w:lang w:val="es-ES"/>
        </w:rPr>
        <w:t xml:space="preserve"> las personas trans</w:t>
      </w:r>
      <w:r w:rsidR="00412AE5" w:rsidRPr="00062065">
        <w:rPr>
          <w:rFonts w:cs="Arial"/>
          <w:sz w:val="26"/>
          <w:szCs w:val="26"/>
          <w:lang w:val="es-ES"/>
        </w:rPr>
        <w:t xml:space="preserve"> (</w:t>
      </w:r>
      <w:r w:rsidR="00143D6D" w:rsidRPr="00062065">
        <w:rPr>
          <w:rFonts w:cs="Arial"/>
          <w:sz w:val="26"/>
          <w:szCs w:val="26"/>
          <w:lang w:val="es-ES"/>
        </w:rPr>
        <w:t xml:space="preserve">cuando </w:t>
      </w:r>
      <w:r w:rsidR="00412AE5" w:rsidRPr="00062065">
        <w:rPr>
          <w:rFonts w:cs="Arial"/>
          <w:sz w:val="26"/>
          <w:szCs w:val="26"/>
          <w:lang w:val="es-ES"/>
        </w:rPr>
        <w:t>es su voluntad hacerlo)</w:t>
      </w:r>
      <w:r w:rsidR="00E97058">
        <w:rPr>
          <w:rFonts w:cs="Arial"/>
          <w:sz w:val="26"/>
          <w:szCs w:val="26"/>
          <w:lang w:val="es-ES"/>
        </w:rPr>
        <w:t xml:space="preserve">, así como </w:t>
      </w:r>
      <w:r w:rsidR="0005073B" w:rsidRPr="00CD4C4D">
        <w:rPr>
          <w:rFonts w:cs="Arial"/>
          <w:sz w:val="26"/>
          <w:szCs w:val="26"/>
          <w:lang w:val="es-ES"/>
        </w:rPr>
        <w:t>las implicaciones de los procesos de transición socio-jurídicas</w:t>
      </w:r>
      <w:r w:rsidR="00C17F66" w:rsidRPr="00CD4C4D">
        <w:rPr>
          <w:rFonts w:cs="Arial"/>
          <w:sz w:val="26"/>
          <w:szCs w:val="26"/>
          <w:lang w:val="es-ES"/>
        </w:rPr>
        <w:t>;</w:t>
      </w:r>
      <w:r w:rsidR="00C9593B" w:rsidRPr="00CD4C4D">
        <w:rPr>
          <w:rFonts w:cs="Arial"/>
          <w:sz w:val="26"/>
          <w:szCs w:val="26"/>
          <w:lang w:val="es-ES"/>
        </w:rPr>
        <w:t xml:space="preserve"> imponen</w:t>
      </w:r>
      <w:r w:rsidR="00C9593B" w:rsidRPr="00062065">
        <w:rPr>
          <w:rFonts w:cs="Arial"/>
          <w:sz w:val="26"/>
          <w:szCs w:val="26"/>
          <w:lang w:val="es-ES"/>
        </w:rPr>
        <w:t xml:space="preserve"> cargas que</w:t>
      </w:r>
      <w:r w:rsidR="00032007" w:rsidRPr="00062065">
        <w:rPr>
          <w:rFonts w:cs="Arial"/>
          <w:sz w:val="26"/>
          <w:szCs w:val="26"/>
          <w:lang w:val="es-ES"/>
        </w:rPr>
        <w:t xml:space="preserve"> solamente</w:t>
      </w:r>
      <w:r w:rsidR="00C9593B" w:rsidRPr="00062065">
        <w:rPr>
          <w:rFonts w:cs="Arial"/>
          <w:sz w:val="26"/>
          <w:szCs w:val="26"/>
          <w:lang w:val="es-ES"/>
        </w:rPr>
        <w:t xml:space="preserve"> a ellas </w:t>
      </w:r>
      <w:r w:rsidR="00D94583" w:rsidRPr="00062065">
        <w:rPr>
          <w:rFonts w:cs="Arial"/>
          <w:sz w:val="26"/>
          <w:szCs w:val="26"/>
          <w:lang w:val="es-ES"/>
        </w:rPr>
        <w:t xml:space="preserve">les corresponde </w:t>
      </w:r>
      <w:r w:rsidR="00C9593B" w:rsidRPr="00062065">
        <w:rPr>
          <w:rFonts w:cs="Arial"/>
          <w:sz w:val="26"/>
          <w:szCs w:val="26"/>
          <w:lang w:val="es-ES"/>
        </w:rPr>
        <w:t>decidir</w:t>
      </w:r>
      <w:r w:rsidR="00C17F66" w:rsidRPr="00062065">
        <w:rPr>
          <w:rFonts w:cs="Arial"/>
          <w:sz w:val="26"/>
          <w:szCs w:val="26"/>
          <w:lang w:val="es-ES"/>
        </w:rPr>
        <w:t>,</w:t>
      </w:r>
      <w:r w:rsidR="00C9593B" w:rsidRPr="00062065">
        <w:rPr>
          <w:rFonts w:cs="Arial"/>
          <w:sz w:val="26"/>
          <w:szCs w:val="26"/>
          <w:lang w:val="es-ES"/>
        </w:rPr>
        <w:t xml:space="preserve"> </w:t>
      </w:r>
      <w:r w:rsidR="00032007" w:rsidRPr="00062065">
        <w:rPr>
          <w:rFonts w:cs="Arial"/>
          <w:sz w:val="26"/>
          <w:szCs w:val="26"/>
          <w:lang w:val="es-ES"/>
        </w:rPr>
        <w:t>y afianza</w:t>
      </w:r>
      <w:r w:rsidR="00D94583" w:rsidRPr="00062065">
        <w:rPr>
          <w:rFonts w:cs="Arial"/>
          <w:sz w:val="26"/>
          <w:szCs w:val="26"/>
          <w:lang w:val="es-ES"/>
        </w:rPr>
        <w:t>n</w:t>
      </w:r>
      <w:r w:rsidR="00032007" w:rsidRPr="00062065">
        <w:rPr>
          <w:rFonts w:cs="Arial"/>
          <w:sz w:val="26"/>
          <w:szCs w:val="26"/>
          <w:lang w:val="es-ES"/>
        </w:rPr>
        <w:t xml:space="preserve"> la idea de que la identidad de género de las personas depende de que se ajuste a l</w:t>
      </w:r>
      <w:r w:rsidR="00640CA1" w:rsidRPr="00062065">
        <w:rPr>
          <w:rFonts w:cs="Arial"/>
          <w:sz w:val="26"/>
          <w:szCs w:val="26"/>
          <w:lang w:val="es-ES"/>
        </w:rPr>
        <w:t>os rasgos y</w:t>
      </w:r>
      <w:r w:rsidR="00032007" w:rsidRPr="00062065">
        <w:rPr>
          <w:rFonts w:cs="Arial"/>
          <w:sz w:val="26"/>
          <w:szCs w:val="26"/>
          <w:lang w:val="es-ES"/>
        </w:rPr>
        <w:t xml:space="preserve"> características físicas </w:t>
      </w:r>
      <w:r w:rsidR="00640CA1" w:rsidRPr="00062065">
        <w:rPr>
          <w:rFonts w:cs="Arial"/>
          <w:sz w:val="26"/>
          <w:szCs w:val="26"/>
          <w:lang w:val="es-ES"/>
        </w:rPr>
        <w:t xml:space="preserve">que socialmente se asocian con el </w:t>
      </w:r>
      <w:r w:rsidR="00C94348" w:rsidRPr="00062065">
        <w:rPr>
          <w:rFonts w:cs="Arial"/>
          <w:sz w:val="26"/>
          <w:szCs w:val="26"/>
          <w:lang w:val="es-ES"/>
        </w:rPr>
        <w:t>género</w:t>
      </w:r>
      <w:r w:rsidR="00640CA1" w:rsidRPr="00062065">
        <w:rPr>
          <w:rFonts w:cs="Arial"/>
          <w:sz w:val="26"/>
          <w:szCs w:val="26"/>
          <w:lang w:val="es-ES"/>
        </w:rPr>
        <w:t xml:space="preserve"> </w:t>
      </w:r>
      <w:r w:rsidR="00C94348" w:rsidRPr="00062065">
        <w:rPr>
          <w:rFonts w:cs="Arial"/>
          <w:sz w:val="26"/>
          <w:szCs w:val="26"/>
          <w:lang w:val="es-ES"/>
        </w:rPr>
        <w:t xml:space="preserve">al que se </w:t>
      </w:r>
      <w:r w:rsidR="00E37D06">
        <w:rPr>
          <w:rFonts w:cs="Arial"/>
          <w:sz w:val="26"/>
          <w:szCs w:val="26"/>
          <w:lang w:val="es-ES"/>
        </w:rPr>
        <w:t xml:space="preserve">les </w:t>
      </w:r>
      <w:r w:rsidR="00C94348" w:rsidRPr="00062065">
        <w:rPr>
          <w:rFonts w:cs="Arial"/>
          <w:sz w:val="26"/>
          <w:szCs w:val="26"/>
          <w:lang w:val="es-ES"/>
        </w:rPr>
        <w:t>adscribe</w:t>
      </w:r>
      <w:r w:rsidR="00640CA1" w:rsidRPr="00062065">
        <w:rPr>
          <w:rFonts w:cs="Arial"/>
          <w:sz w:val="26"/>
          <w:szCs w:val="26"/>
          <w:lang w:val="es-ES"/>
        </w:rPr>
        <w:t>.</w:t>
      </w:r>
    </w:p>
    <w:p w14:paraId="3782CE9D" w14:textId="77777777" w:rsidR="003D50EE" w:rsidRPr="003D50EE" w:rsidRDefault="003D50EE" w:rsidP="003D50EE">
      <w:pPr>
        <w:pStyle w:val="corte4fondo"/>
        <w:tabs>
          <w:tab w:val="left" w:pos="3969"/>
        </w:tabs>
        <w:ind w:right="51" w:firstLine="0"/>
        <w:rPr>
          <w:rFonts w:cs="Arial"/>
          <w:color w:val="000000" w:themeColor="text1"/>
          <w:sz w:val="26"/>
          <w:szCs w:val="26"/>
          <w:lang w:val="es-ES"/>
        </w:rPr>
      </w:pPr>
    </w:p>
    <w:p w14:paraId="25FEE80A" w14:textId="4836DB69" w:rsidR="006A3776" w:rsidRDefault="000F66AA" w:rsidP="001A476B">
      <w:pPr>
        <w:pStyle w:val="corte4fondo"/>
        <w:numPr>
          <w:ilvl w:val="0"/>
          <w:numId w:val="2"/>
        </w:numPr>
        <w:tabs>
          <w:tab w:val="left" w:pos="3969"/>
        </w:tabs>
        <w:ind w:left="0" w:right="51" w:hanging="567"/>
        <w:rPr>
          <w:rFonts w:cs="Arial"/>
          <w:color w:val="000000" w:themeColor="text1"/>
          <w:sz w:val="26"/>
          <w:szCs w:val="26"/>
          <w:lang w:val="es-ES"/>
        </w:rPr>
      </w:pPr>
      <w:r w:rsidRPr="009D414A">
        <w:rPr>
          <w:rFonts w:cs="Arial"/>
          <w:sz w:val="26"/>
          <w:szCs w:val="26"/>
          <w:lang w:val="es-ES"/>
        </w:rPr>
        <w:t xml:space="preserve">Por último, </w:t>
      </w:r>
      <w:r w:rsidR="00FD56BB" w:rsidRPr="00FD56BB">
        <w:rPr>
          <w:rFonts w:cs="Arial"/>
          <w:sz w:val="26"/>
          <w:szCs w:val="26"/>
          <w:lang w:val="es-MX"/>
        </w:rPr>
        <w:t>aunque se reconoce que la negativa de acceso, según lo argumentado por las demandadas, supuestamente buscaba garantizar la seguridad o privacidad de las demás mujeres que deseaban utilizar el sanitario, dicho argumento evidencia que se actuó bajo una idea estigmatizante</w:t>
      </w:r>
      <w:r w:rsidR="00F70DD8">
        <w:rPr>
          <w:rFonts w:cs="Arial"/>
          <w:sz w:val="26"/>
          <w:szCs w:val="26"/>
          <w:lang w:val="es-MX"/>
        </w:rPr>
        <w:t xml:space="preserve">: </w:t>
      </w:r>
      <w:r w:rsidR="006A7B0B" w:rsidRPr="009D414A">
        <w:rPr>
          <w:rFonts w:cs="Arial"/>
          <w:sz w:val="26"/>
          <w:szCs w:val="26"/>
          <w:lang w:val="es-ES"/>
        </w:rPr>
        <w:t xml:space="preserve">las señoras </w:t>
      </w:r>
      <w:r w:rsidR="006A7B0B" w:rsidRPr="009D414A">
        <w:rPr>
          <w:rFonts w:cs="Arial"/>
          <w:color w:val="FF0000"/>
          <w:sz w:val="26"/>
          <w:szCs w:val="26"/>
          <w:lang w:val="es-ES"/>
        </w:rPr>
        <w:t xml:space="preserve">DF </w:t>
      </w:r>
      <w:r w:rsidR="006A7B0B" w:rsidRPr="009D414A">
        <w:rPr>
          <w:rFonts w:cs="Arial"/>
          <w:color w:val="000000" w:themeColor="text1"/>
          <w:sz w:val="26"/>
          <w:szCs w:val="26"/>
          <w:lang w:val="es-ES"/>
        </w:rPr>
        <w:t xml:space="preserve">y </w:t>
      </w:r>
      <w:r w:rsidR="006A7B0B" w:rsidRPr="009D414A">
        <w:rPr>
          <w:rFonts w:cs="Arial"/>
          <w:color w:val="FF0000"/>
          <w:sz w:val="26"/>
          <w:szCs w:val="26"/>
          <w:lang w:val="es-ES"/>
        </w:rPr>
        <w:t xml:space="preserve">MF </w:t>
      </w:r>
      <w:r w:rsidR="006A7B0B" w:rsidRPr="009D414A">
        <w:rPr>
          <w:rFonts w:cs="Arial"/>
          <w:color w:val="000000" w:themeColor="text1"/>
          <w:sz w:val="26"/>
          <w:szCs w:val="26"/>
          <w:lang w:val="es-ES"/>
        </w:rPr>
        <w:t xml:space="preserve">no eran </w:t>
      </w:r>
      <w:r w:rsidR="00426694">
        <w:rPr>
          <w:rFonts w:cs="Arial"/>
          <w:color w:val="000000" w:themeColor="text1"/>
          <w:sz w:val="26"/>
          <w:szCs w:val="26"/>
          <w:lang w:val="es-ES"/>
        </w:rPr>
        <w:t>“</w:t>
      </w:r>
      <w:r w:rsidR="008E3D85">
        <w:rPr>
          <w:rFonts w:cs="Arial"/>
          <w:color w:val="000000" w:themeColor="text1"/>
          <w:sz w:val="26"/>
          <w:szCs w:val="26"/>
          <w:lang w:val="es-ES"/>
        </w:rPr>
        <w:t>en realidad</w:t>
      </w:r>
      <w:r w:rsidR="00426694">
        <w:rPr>
          <w:rFonts w:cs="Arial"/>
          <w:color w:val="000000" w:themeColor="text1"/>
          <w:sz w:val="26"/>
          <w:szCs w:val="26"/>
          <w:lang w:val="es-ES"/>
        </w:rPr>
        <w:t>”</w:t>
      </w:r>
      <w:r w:rsidR="008E3D85">
        <w:rPr>
          <w:rFonts w:cs="Arial"/>
          <w:color w:val="000000" w:themeColor="text1"/>
          <w:sz w:val="26"/>
          <w:szCs w:val="26"/>
          <w:lang w:val="es-ES"/>
        </w:rPr>
        <w:t xml:space="preserve"> </w:t>
      </w:r>
      <w:r w:rsidR="006A7B0B" w:rsidRPr="009D414A">
        <w:rPr>
          <w:rFonts w:cs="Arial"/>
          <w:color w:val="000000" w:themeColor="text1"/>
          <w:sz w:val="26"/>
          <w:szCs w:val="26"/>
          <w:lang w:val="es-ES"/>
        </w:rPr>
        <w:t>mujeres</w:t>
      </w:r>
      <w:r w:rsidR="004C04BF">
        <w:rPr>
          <w:rFonts w:cs="Arial"/>
          <w:color w:val="000000" w:themeColor="text1"/>
          <w:sz w:val="26"/>
          <w:szCs w:val="26"/>
          <w:lang w:val="es-ES"/>
        </w:rPr>
        <w:t xml:space="preserve"> </w:t>
      </w:r>
      <w:r w:rsidR="004F1899" w:rsidRPr="009D414A">
        <w:rPr>
          <w:rFonts w:cs="Arial"/>
          <w:color w:val="000000" w:themeColor="text1"/>
          <w:sz w:val="26"/>
          <w:szCs w:val="26"/>
          <w:lang w:val="es-ES"/>
        </w:rPr>
        <w:t>y</w:t>
      </w:r>
      <w:r w:rsidR="004F1899" w:rsidRPr="009D414A" w:rsidDel="004C04BF">
        <w:rPr>
          <w:rFonts w:cs="Arial"/>
          <w:color w:val="000000" w:themeColor="text1"/>
          <w:sz w:val="26"/>
          <w:szCs w:val="26"/>
          <w:lang w:val="es-ES"/>
        </w:rPr>
        <w:t xml:space="preserve"> </w:t>
      </w:r>
      <w:r w:rsidR="004F1899" w:rsidRPr="009D414A">
        <w:rPr>
          <w:rFonts w:cs="Arial"/>
          <w:color w:val="000000" w:themeColor="text1"/>
          <w:sz w:val="26"/>
          <w:szCs w:val="26"/>
          <w:lang w:val="es-ES"/>
        </w:rPr>
        <w:t xml:space="preserve">por esa sola razón suponían un riesgo para el resto de </w:t>
      </w:r>
      <w:r w:rsidR="00C94348" w:rsidRPr="009D414A">
        <w:rPr>
          <w:rFonts w:cs="Arial"/>
          <w:color w:val="000000" w:themeColor="text1"/>
          <w:sz w:val="26"/>
          <w:szCs w:val="26"/>
          <w:lang w:val="es-ES"/>
        </w:rPr>
        <w:t>las usuarias</w:t>
      </w:r>
      <w:r w:rsidR="00484D07" w:rsidRPr="009D414A">
        <w:rPr>
          <w:rFonts w:cs="Arial"/>
          <w:color w:val="000000" w:themeColor="text1"/>
          <w:sz w:val="26"/>
          <w:szCs w:val="26"/>
          <w:lang w:val="es-ES"/>
        </w:rPr>
        <w:t>.</w:t>
      </w:r>
      <w:r w:rsidR="007C2A67" w:rsidRPr="009D414A">
        <w:rPr>
          <w:rFonts w:cs="Arial"/>
          <w:color w:val="000000" w:themeColor="text1"/>
          <w:sz w:val="26"/>
          <w:szCs w:val="26"/>
          <w:lang w:val="es-ES"/>
        </w:rPr>
        <w:t xml:space="preserve"> Como se desprende del expediente, </w:t>
      </w:r>
      <w:r w:rsidR="00322F20" w:rsidRPr="00322F20">
        <w:rPr>
          <w:rFonts w:cs="Arial"/>
          <w:color w:val="000000" w:themeColor="text1"/>
          <w:sz w:val="26"/>
          <w:szCs w:val="26"/>
          <w:lang w:val="es-MX"/>
        </w:rPr>
        <w:t>la empresa de seguridad no presentó pruebas que justificaran el supuesto estado de riesgo o inseguridad, más allá de lo que parece ser un caso de</w:t>
      </w:r>
      <w:r w:rsidR="00E62567">
        <w:rPr>
          <w:rFonts w:cs="Arial"/>
          <w:color w:val="000000" w:themeColor="text1"/>
          <w:sz w:val="26"/>
          <w:szCs w:val="26"/>
          <w:lang w:val="es-MX"/>
        </w:rPr>
        <w:t xml:space="preserve"> </w:t>
      </w:r>
      <w:r w:rsidR="00C94348" w:rsidRPr="009D414A">
        <w:rPr>
          <w:rFonts w:cs="Arial"/>
          <w:color w:val="000000" w:themeColor="text1"/>
          <w:sz w:val="26"/>
          <w:szCs w:val="26"/>
          <w:lang w:val="es-ES"/>
        </w:rPr>
        <w:t xml:space="preserve">perfilamiento de las personas trans. </w:t>
      </w:r>
    </w:p>
    <w:p w14:paraId="523C42A1" w14:textId="77777777" w:rsidR="006A3776" w:rsidRPr="006A3776" w:rsidRDefault="006A3776" w:rsidP="006A3776">
      <w:pPr>
        <w:pStyle w:val="corte4fondo"/>
        <w:tabs>
          <w:tab w:val="left" w:pos="3969"/>
        </w:tabs>
        <w:ind w:right="51" w:firstLine="0"/>
        <w:rPr>
          <w:rFonts w:cs="Arial"/>
          <w:color w:val="000000" w:themeColor="text1"/>
          <w:sz w:val="26"/>
          <w:szCs w:val="26"/>
          <w:lang w:val="es-ES"/>
        </w:rPr>
      </w:pPr>
    </w:p>
    <w:p w14:paraId="3DF363E3" w14:textId="1AF85358" w:rsidR="00C94348" w:rsidRPr="009D414A" w:rsidRDefault="006D1B4B" w:rsidP="001A476B">
      <w:pPr>
        <w:pStyle w:val="corte4fondo"/>
        <w:numPr>
          <w:ilvl w:val="0"/>
          <w:numId w:val="2"/>
        </w:numPr>
        <w:tabs>
          <w:tab w:val="left" w:pos="3969"/>
        </w:tabs>
        <w:ind w:left="0" w:right="51" w:hanging="567"/>
        <w:rPr>
          <w:rFonts w:cs="Arial"/>
          <w:color w:val="000000" w:themeColor="text1"/>
          <w:sz w:val="26"/>
          <w:szCs w:val="26"/>
          <w:lang w:val="es-ES"/>
        </w:rPr>
      </w:pPr>
      <w:r w:rsidRPr="006D1B4B">
        <w:rPr>
          <w:rFonts w:cs="Arial"/>
          <w:sz w:val="26"/>
          <w:szCs w:val="26"/>
          <w:lang w:val="es-MX"/>
        </w:rPr>
        <w:lastRenderedPageBreak/>
        <w:t>El argumento presentado para justificar el trato hacia las señoras</w:t>
      </w:r>
      <w:r>
        <w:rPr>
          <w:rFonts w:cs="Arial"/>
          <w:sz w:val="26"/>
          <w:szCs w:val="26"/>
          <w:lang w:val="es-MX"/>
        </w:rPr>
        <w:t xml:space="preserve"> </w:t>
      </w:r>
      <w:r w:rsidR="00D90F7A" w:rsidRPr="009D414A">
        <w:rPr>
          <w:rFonts w:cs="Arial"/>
          <w:color w:val="FF0000"/>
          <w:sz w:val="26"/>
          <w:szCs w:val="26"/>
          <w:lang w:val="es-ES"/>
        </w:rPr>
        <w:t xml:space="preserve">DF </w:t>
      </w:r>
      <w:r w:rsidR="00D90F7A" w:rsidRPr="009D414A">
        <w:rPr>
          <w:rFonts w:cs="Arial"/>
          <w:color w:val="000000" w:themeColor="text1"/>
          <w:sz w:val="26"/>
          <w:szCs w:val="26"/>
          <w:lang w:val="es-ES"/>
        </w:rPr>
        <w:t xml:space="preserve">y </w:t>
      </w:r>
      <w:r w:rsidR="00D90F7A" w:rsidRPr="009D414A">
        <w:rPr>
          <w:rFonts w:cs="Arial"/>
          <w:color w:val="FF0000"/>
          <w:sz w:val="26"/>
          <w:szCs w:val="26"/>
          <w:lang w:val="es-ES"/>
        </w:rPr>
        <w:t>MF</w:t>
      </w:r>
      <w:r w:rsidR="00C94348" w:rsidRPr="009D414A">
        <w:rPr>
          <w:rFonts w:cs="Arial"/>
          <w:sz w:val="26"/>
          <w:szCs w:val="26"/>
          <w:lang w:val="es-ES"/>
        </w:rPr>
        <w:t xml:space="preserve"> </w:t>
      </w:r>
      <w:r w:rsidR="001D7EDE">
        <w:rPr>
          <w:rFonts w:cs="Arial"/>
          <w:sz w:val="26"/>
          <w:szCs w:val="26"/>
          <w:lang w:val="es-ES"/>
        </w:rPr>
        <w:t xml:space="preserve">también </w:t>
      </w:r>
      <w:r w:rsidR="008041EE" w:rsidRPr="009D414A">
        <w:rPr>
          <w:rFonts w:cs="Arial"/>
          <w:sz w:val="26"/>
          <w:szCs w:val="26"/>
          <w:lang w:val="es-ES"/>
        </w:rPr>
        <w:t xml:space="preserve">es particularmente relevante en el caso, </w:t>
      </w:r>
      <w:r w:rsidR="00715B4E">
        <w:rPr>
          <w:rFonts w:cs="Arial"/>
          <w:sz w:val="26"/>
          <w:szCs w:val="26"/>
          <w:lang w:val="es-ES"/>
        </w:rPr>
        <w:t>y</w:t>
      </w:r>
      <w:r w:rsidR="00715B4E" w:rsidRPr="00715B4E">
        <w:rPr>
          <w:rFonts w:cs="Arial"/>
          <w:sz w:val="26"/>
          <w:szCs w:val="26"/>
          <w:lang w:val="es-MX"/>
        </w:rPr>
        <w:t>a que pone de manifiesto cómo el personal del centro comercial perpetuó el estigma que suele asociarse con las personas trans, y en particular</w:t>
      </w:r>
      <w:r w:rsidR="001D7EDE">
        <w:rPr>
          <w:rFonts w:cs="Arial"/>
          <w:sz w:val="26"/>
          <w:szCs w:val="26"/>
          <w:lang w:val="es-MX"/>
        </w:rPr>
        <w:t>,</w:t>
      </w:r>
      <w:r w:rsidR="00715B4E" w:rsidRPr="00715B4E">
        <w:rPr>
          <w:rFonts w:cs="Arial"/>
          <w:sz w:val="26"/>
          <w:szCs w:val="26"/>
          <w:lang w:val="es-MX"/>
        </w:rPr>
        <w:t xml:space="preserve"> con las mujeres trans, al considerarlas</w:t>
      </w:r>
      <w:r w:rsidR="00C94348" w:rsidRPr="009D414A">
        <w:rPr>
          <w:rFonts w:cs="Arial"/>
          <w:sz w:val="26"/>
          <w:szCs w:val="26"/>
          <w:lang w:val="es-ES"/>
        </w:rPr>
        <w:t xml:space="preserve"> </w:t>
      </w:r>
      <w:r w:rsidR="006A560E" w:rsidRPr="00357E09">
        <w:rPr>
          <w:rFonts w:cs="Arial"/>
          <w:sz w:val="26"/>
          <w:szCs w:val="26"/>
          <w:lang w:val="es-ES"/>
        </w:rPr>
        <w:t>“</w:t>
      </w:r>
      <w:r w:rsidR="00C94348" w:rsidRPr="00357E09">
        <w:rPr>
          <w:rFonts w:cs="Arial"/>
          <w:sz w:val="26"/>
          <w:szCs w:val="26"/>
          <w:lang w:val="es-ES"/>
        </w:rPr>
        <w:t>peligrosas</w:t>
      </w:r>
      <w:r w:rsidR="006A560E" w:rsidRPr="00357E09">
        <w:rPr>
          <w:rFonts w:cs="Arial"/>
          <w:sz w:val="26"/>
          <w:szCs w:val="26"/>
          <w:lang w:val="es-ES"/>
        </w:rPr>
        <w:t>”</w:t>
      </w:r>
      <w:r w:rsidR="00C94348" w:rsidRPr="00357E09">
        <w:rPr>
          <w:rStyle w:val="Refdenotaalpie"/>
          <w:rFonts w:cs="Arial"/>
          <w:sz w:val="26"/>
          <w:szCs w:val="26"/>
          <w:lang w:val="es-ES"/>
        </w:rPr>
        <w:footnoteReference w:id="81"/>
      </w:r>
      <w:r w:rsidR="00C94348" w:rsidRPr="00357E09">
        <w:rPr>
          <w:rFonts w:cs="Arial"/>
          <w:sz w:val="26"/>
          <w:szCs w:val="26"/>
          <w:lang w:val="es-ES"/>
        </w:rPr>
        <w:t>.</w:t>
      </w:r>
      <w:r w:rsidR="00BC0562">
        <w:rPr>
          <w:rFonts w:cs="Arial"/>
          <w:sz w:val="26"/>
          <w:szCs w:val="26"/>
          <w:lang w:val="es-ES"/>
        </w:rPr>
        <w:t xml:space="preserve"> </w:t>
      </w:r>
      <w:r w:rsidR="008E0BEF">
        <w:rPr>
          <w:rFonts w:cs="Arial"/>
          <w:sz w:val="26"/>
          <w:szCs w:val="26"/>
          <w:lang w:val="es-ES"/>
        </w:rPr>
        <w:t>E</w:t>
      </w:r>
      <w:r w:rsidR="00BC0562">
        <w:rPr>
          <w:rFonts w:cs="Arial"/>
          <w:sz w:val="26"/>
          <w:szCs w:val="26"/>
          <w:lang w:val="es-ES"/>
        </w:rPr>
        <w:t xml:space="preserve">ste estigma se </w:t>
      </w:r>
      <w:r w:rsidR="00DF5ED8">
        <w:rPr>
          <w:rFonts w:cs="Arial"/>
          <w:sz w:val="26"/>
          <w:szCs w:val="26"/>
          <w:lang w:val="es-ES"/>
        </w:rPr>
        <w:t xml:space="preserve">sustenta en </w:t>
      </w:r>
      <w:r w:rsidR="00E93863">
        <w:rPr>
          <w:rFonts w:cs="Arial"/>
          <w:sz w:val="26"/>
          <w:szCs w:val="26"/>
          <w:lang w:val="es-ES"/>
        </w:rPr>
        <w:t>una idea</w:t>
      </w:r>
      <w:r w:rsidR="00BC0562">
        <w:rPr>
          <w:rFonts w:cs="Arial"/>
          <w:sz w:val="26"/>
          <w:szCs w:val="26"/>
          <w:lang w:val="es-ES"/>
        </w:rPr>
        <w:t xml:space="preserve"> </w:t>
      </w:r>
      <w:r w:rsidR="009E17DB">
        <w:rPr>
          <w:rFonts w:cs="Arial"/>
          <w:sz w:val="26"/>
          <w:szCs w:val="26"/>
          <w:lang w:val="es-ES"/>
        </w:rPr>
        <w:t xml:space="preserve">especialmente </w:t>
      </w:r>
      <w:r w:rsidR="005921AE">
        <w:rPr>
          <w:rFonts w:cs="Arial"/>
          <w:sz w:val="26"/>
          <w:szCs w:val="26"/>
          <w:lang w:val="es-ES"/>
        </w:rPr>
        <w:t>pernicios</w:t>
      </w:r>
      <w:r w:rsidR="00E93863">
        <w:rPr>
          <w:rFonts w:cs="Arial"/>
          <w:sz w:val="26"/>
          <w:szCs w:val="26"/>
          <w:lang w:val="es-ES"/>
        </w:rPr>
        <w:t>a</w:t>
      </w:r>
      <w:r w:rsidR="00625809">
        <w:rPr>
          <w:rFonts w:cs="Arial"/>
          <w:sz w:val="26"/>
          <w:szCs w:val="26"/>
          <w:lang w:val="es-ES"/>
        </w:rPr>
        <w:t xml:space="preserve"> </w:t>
      </w:r>
      <w:r w:rsidR="009E17DB">
        <w:rPr>
          <w:rFonts w:cs="Arial"/>
          <w:sz w:val="26"/>
          <w:szCs w:val="26"/>
          <w:lang w:val="es-ES"/>
        </w:rPr>
        <w:t>que supone</w:t>
      </w:r>
      <w:r w:rsidR="00BC0562">
        <w:rPr>
          <w:rFonts w:cs="Arial"/>
          <w:sz w:val="26"/>
          <w:szCs w:val="26"/>
          <w:lang w:val="es-ES"/>
        </w:rPr>
        <w:t xml:space="preserve"> </w:t>
      </w:r>
      <w:r w:rsidR="00F07AC6">
        <w:rPr>
          <w:rFonts w:cs="Arial"/>
          <w:sz w:val="26"/>
          <w:szCs w:val="26"/>
          <w:lang w:val="es-ES"/>
        </w:rPr>
        <w:t xml:space="preserve">que </w:t>
      </w:r>
      <w:r w:rsidR="00B21E6E" w:rsidRPr="00B21E6E">
        <w:rPr>
          <w:rFonts w:cs="Arial"/>
          <w:sz w:val="26"/>
          <w:szCs w:val="26"/>
          <w:lang w:val="es-ES"/>
        </w:rPr>
        <w:t xml:space="preserve">las </w:t>
      </w:r>
      <w:r w:rsidR="00FF1295">
        <w:rPr>
          <w:rFonts w:cs="Arial"/>
          <w:sz w:val="26"/>
          <w:szCs w:val="26"/>
          <w:lang w:val="es-ES"/>
        </w:rPr>
        <w:t>personas</w:t>
      </w:r>
      <w:r w:rsidR="00BB0C38">
        <w:rPr>
          <w:rFonts w:cs="Arial"/>
          <w:sz w:val="26"/>
          <w:szCs w:val="26"/>
          <w:lang w:val="es-ES"/>
        </w:rPr>
        <w:t xml:space="preserve"> trans</w:t>
      </w:r>
      <w:r w:rsidR="00B21E6E" w:rsidRPr="00B21E6E">
        <w:rPr>
          <w:rFonts w:cs="Arial"/>
          <w:sz w:val="26"/>
          <w:szCs w:val="26"/>
          <w:lang w:val="es-ES"/>
        </w:rPr>
        <w:t xml:space="preserve"> </w:t>
      </w:r>
      <w:r w:rsidR="00294A27">
        <w:rPr>
          <w:rFonts w:cs="Arial"/>
          <w:sz w:val="26"/>
          <w:szCs w:val="26"/>
          <w:lang w:val="es-ES"/>
        </w:rPr>
        <w:t>solo buscan</w:t>
      </w:r>
      <w:r w:rsidR="00B21E6E" w:rsidRPr="00B21E6E">
        <w:rPr>
          <w:rFonts w:cs="Arial"/>
          <w:sz w:val="26"/>
          <w:szCs w:val="26"/>
          <w:lang w:val="es-ES"/>
        </w:rPr>
        <w:t xml:space="preserve"> acceso a espacios exclusivos para mujeres, como </w:t>
      </w:r>
      <w:r w:rsidR="00F5107E">
        <w:rPr>
          <w:rFonts w:cs="Arial"/>
          <w:sz w:val="26"/>
          <w:szCs w:val="26"/>
          <w:lang w:val="es-ES"/>
        </w:rPr>
        <w:t>sanitarios</w:t>
      </w:r>
      <w:r w:rsidR="00B21E6E" w:rsidRPr="00B21E6E">
        <w:rPr>
          <w:rFonts w:cs="Arial"/>
          <w:sz w:val="26"/>
          <w:szCs w:val="26"/>
          <w:lang w:val="es-ES"/>
        </w:rPr>
        <w:t xml:space="preserve"> y vestidores</w:t>
      </w:r>
      <w:r w:rsidR="00F5107E">
        <w:rPr>
          <w:rFonts w:cs="Arial"/>
          <w:sz w:val="26"/>
          <w:szCs w:val="26"/>
          <w:lang w:val="es-ES"/>
        </w:rPr>
        <w:t xml:space="preserve">, con el </w:t>
      </w:r>
      <w:r w:rsidR="00BC4A61">
        <w:rPr>
          <w:rFonts w:cs="Arial"/>
          <w:sz w:val="26"/>
          <w:szCs w:val="26"/>
          <w:lang w:val="es-ES"/>
        </w:rPr>
        <w:t>fin</w:t>
      </w:r>
      <w:r w:rsidR="00F5107E">
        <w:rPr>
          <w:rFonts w:cs="Arial"/>
          <w:sz w:val="26"/>
          <w:szCs w:val="26"/>
          <w:lang w:val="es-ES"/>
        </w:rPr>
        <w:t xml:space="preserve"> de agredir sexualmente</w:t>
      </w:r>
      <w:r w:rsidR="00B21E6E" w:rsidRPr="00B21E6E">
        <w:rPr>
          <w:rFonts w:cs="Arial"/>
          <w:sz w:val="26"/>
          <w:szCs w:val="26"/>
          <w:lang w:val="es-ES"/>
        </w:rPr>
        <w:t xml:space="preserve"> a mujeres cis</w:t>
      </w:r>
      <w:r w:rsidR="007E76EF">
        <w:rPr>
          <w:rFonts w:cs="Arial"/>
          <w:sz w:val="26"/>
          <w:szCs w:val="26"/>
          <w:lang w:val="es-ES"/>
        </w:rPr>
        <w:t>género</w:t>
      </w:r>
      <w:r w:rsidR="00B21E6E" w:rsidRPr="00B21E6E">
        <w:rPr>
          <w:rFonts w:cs="Arial"/>
          <w:sz w:val="26"/>
          <w:szCs w:val="26"/>
          <w:lang w:val="es-ES"/>
        </w:rPr>
        <w:t xml:space="preserve"> </w:t>
      </w:r>
      <w:r w:rsidR="00B21E6E" w:rsidRPr="00B21E6E" w:rsidDel="005B7B05">
        <w:rPr>
          <w:rFonts w:cs="Arial"/>
          <w:sz w:val="26"/>
          <w:szCs w:val="26"/>
          <w:lang w:val="es-ES"/>
        </w:rPr>
        <w:t xml:space="preserve">o </w:t>
      </w:r>
      <w:r w:rsidR="00C93761">
        <w:rPr>
          <w:rFonts w:cs="Arial"/>
          <w:sz w:val="26"/>
          <w:szCs w:val="26"/>
          <w:lang w:val="es-ES"/>
        </w:rPr>
        <w:t>que</w:t>
      </w:r>
      <w:r w:rsidR="00D56588">
        <w:rPr>
          <w:rFonts w:cs="Arial"/>
          <w:sz w:val="26"/>
          <w:szCs w:val="26"/>
          <w:lang w:val="es-ES"/>
        </w:rPr>
        <w:t>,</w:t>
      </w:r>
      <w:r w:rsidR="00C93761">
        <w:rPr>
          <w:rFonts w:cs="Arial"/>
          <w:sz w:val="26"/>
          <w:szCs w:val="26"/>
          <w:lang w:val="es-ES"/>
        </w:rPr>
        <w:t xml:space="preserve"> en su caso, </w:t>
      </w:r>
      <w:r w:rsidR="00D56588">
        <w:rPr>
          <w:rFonts w:cs="Arial"/>
          <w:sz w:val="26"/>
          <w:szCs w:val="26"/>
          <w:lang w:val="es-ES"/>
        </w:rPr>
        <w:t>“</w:t>
      </w:r>
      <w:r w:rsidR="005B7B05">
        <w:rPr>
          <w:rFonts w:cs="Arial"/>
          <w:sz w:val="26"/>
          <w:szCs w:val="26"/>
          <w:lang w:val="es-ES"/>
        </w:rPr>
        <w:t>hombres vestidos com</w:t>
      </w:r>
      <w:r w:rsidR="00D56588">
        <w:rPr>
          <w:rFonts w:cs="Arial"/>
          <w:sz w:val="26"/>
          <w:szCs w:val="26"/>
          <w:lang w:val="es-ES"/>
        </w:rPr>
        <w:t xml:space="preserve">o mujeres” aprovecharían </w:t>
      </w:r>
      <w:r w:rsidR="00246847">
        <w:rPr>
          <w:rFonts w:cs="Arial"/>
          <w:sz w:val="26"/>
          <w:szCs w:val="26"/>
          <w:lang w:val="es-ES"/>
        </w:rPr>
        <w:t xml:space="preserve">la inclusividad de los baños para </w:t>
      </w:r>
      <w:r w:rsidR="00FB3721">
        <w:rPr>
          <w:rFonts w:cs="Arial"/>
          <w:sz w:val="26"/>
          <w:szCs w:val="26"/>
          <w:lang w:val="es-ES"/>
        </w:rPr>
        <w:t>agredir</w:t>
      </w:r>
      <w:r w:rsidR="00246847">
        <w:rPr>
          <w:rFonts w:cs="Arial"/>
          <w:sz w:val="26"/>
          <w:szCs w:val="26"/>
          <w:lang w:val="es-ES"/>
        </w:rPr>
        <w:t xml:space="preserve"> a mujeres o niños</w:t>
      </w:r>
      <w:r w:rsidR="00C94348" w:rsidRPr="009D414A">
        <w:rPr>
          <w:rStyle w:val="Refdenotaalpie"/>
          <w:rFonts w:cs="Arial"/>
          <w:sz w:val="26"/>
          <w:szCs w:val="26"/>
          <w:lang w:val="es-ES"/>
        </w:rPr>
        <w:footnoteReference w:id="82"/>
      </w:r>
      <w:r w:rsidR="00C94348" w:rsidRPr="009D414A">
        <w:rPr>
          <w:rFonts w:cs="Arial"/>
          <w:sz w:val="26"/>
          <w:szCs w:val="26"/>
          <w:lang w:val="es-ES"/>
        </w:rPr>
        <w:t>.</w:t>
      </w:r>
    </w:p>
    <w:p w14:paraId="004D7BFA" w14:textId="77777777" w:rsidR="006146FF" w:rsidRPr="00357E09" w:rsidRDefault="006146FF" w:rsidP="001A476B">
      <w:pPr>
        <w:pStyle w:val="corte4fondo"/>
        <w:tabs>
          <w:tab w:val="left" w:pos="3969"/>
        </w:tabs>
        <w:ind w:right="51" w:hanging="567"/>
        <w:rPr>
          <w:rFonts w:cs="Arial"/>
          <w:color w:val="000000" w:themeColor="text1"/>
          <w:sz w:val="26"/>
          <w:szCs w:val="26"/>
          <w:lang w:val="es-ES"/>
        </w:rPr>
      </w:pPr>
    </w:p>
    <w:p w14:paraId="2BDBBE75" w14:textId="5F9EFFE8" w:rsidR="008C5375" w:rsidRPr="00E57F89" w:rsidRDefault="009D414A" w:rsidP="001A476B">
      <w:pPr>
        <w:pStyle w:val="corte4fondo"/>
        <w:numPr>
          <w:ilvl w:val="0"/>
          <w:numId w:val="2"/>
        </w:numPr>
        <w:tabs>
          <w:tab w:val="left" w:pos="3969"/>
        </w:tabs>
        <w:ind w:left="0" w:right="51" w:hanging="567"/>
        <w:rPr>
          <w:rFonts w:cs="Arial"/>
          <w:color w:val="000000" w:themeColor="text1"/>
          <w:sz w:val="26"/>
          <w:szCs w:val="26"/>
          <w:lang w:val="es-MX"/>
        </w:rPr>
      </w:pPr>
      <w:r w:rsidRPr="00357E09">
        <w:rPr>
          <w:rFonts w:cs="Arial"/>
          <w:color w:val="000000" w:themeColor="text1"/>
          <w:sz w:val="26"/>
          <w:szCs w:val="26"/>
          <w:lang w:val="es-ES"/>
        </w:rPr>
        <w:t>En este punto,</w:t>
      </w:r>
      <w:r w:rsidR="006146FF" w:rsidRPr="00357E09">
        <w:rPr>
          <w:rFonts w:cs="Arial"/>
          <w:color w:val="000000" w:themeColor="text1"/>
          <w:sz w:val="26"/>
          <w:szCs w:val="26"/>
          <w:lang w:val="es-ES"/>
        </w:rPr>
        <w:t xml:space="preserve"> </w:t>
      </w:r>
      <w:r w:rsidR="009A522C">
        <w:rPr>
          <w:rFonts w:cs="Arial"/>
          <w:color w:val="000000" w:themeColor="text1"/>
          <w:sz w:val="26"/>
          <w:szCs w:val="26"/>
          <w:lang w:val="es-ES"/>
        </w:rPr>
        <w:t>resulta fundamental destacar</w:t>
      </w:r>
      <w:r w:rsidR="009A522C" w:rsidRPr="00357E09">
        <w:rPr>
          <w:rFonts w:cs="Arial"/>
          <w:color w:val="000000" w:themeColor="text1"/>
          <w:sz w:val="26"/>
          <w:szCs w:val="26"/>
          <w:lang w:val="es-ES"/>
        </w:rPr>
        <w:t xml:space="preserve"> </w:t>
      </w:r>
      <w:r w:rsidR="006146FF" w:rsidRPr="00357E09">
        <w:rPr>
          <w:rFonts w:cs="Arial"/>
          <w:color w:val="000000" w:themeColor="text1"/>
          <w:sz w:val="26"/>
          <w:szCs w:val="26"/>
          <w:lang w:val="es-ES"/>
        </w:rPr>
        <w:t>que</w:t>
      </w:r>
      <w:r w:rsidR="00B82E87" w:rsidRPr="00357E09">
        <w:rPr>
          <w:rFonts w:cs="Arial"/>
          <w:color w:val="000000" w:themeColor="text1"/>
          <w:sz w:val="26"/>
          <w:szCs w:val="26"/>
          <w:lang w:val="es-ES"/>
        </w:rPr>
        <w:t xml:space="preserve"> </w:t>
      </w:r>
      <w:r w:rsidR="00A97552" w:rsidRPr="00357E09">
        <w:rPr>
          <w:rFonts w:cs="Arial"/>
          <w:color w:val="000000" w:themeColor="text1"/>
          <w:sz w:val="26"/>
          <w:szCs w:val="26"/>
          <w:lang w:val="es-ES"/>
        </w:rPr>
        <w:t xml:space="preserve">diversos estudios </w:t>
      </w:r>
      <w:r w:rsidR="001366E6" w:rsidRPr="00357E09">
        <w:rPr>
          <w:rFonts w:cs="Arial"/>
          <w:color w:val="000000" w:themeColor="text1"/>
          <w:sz w:val="26"/>
          <w:szCs w:val="26"/>
          <w:lang w:val="es-ES"/>
        </w:rPr>
        <w:t>ha</w:t>
      </w:r>
      <w:r w:rsidR="003050B3" w:rsidRPr="00357E09">
        <w:rPr>
          <w:rFonts w:cs="Arial"/>
          <w:color w:val="000000" w:themeColor="text1"/>
          <w:sz w:val="26"/>
          <w:szCs w:val="26"/>
          <w:lang w:val="es-ES"/>
        </w:rPr>
        <w:t>n</w:t>
      </w:r>
      <w:r w:rsidR="001366E6" w:rsidRPr="00357E09">
        <w:rPr>
          <w:rFonts w:cs="Arial"/>
          <w:color w:val="000000" w:themeColor="text1"/>
          <w:sz w:val="26"/>
          <w:szCs w:val="26"/>
          <w:lang w:val="es-ES"/>
        </w:rPr>
        <w:t xml:space="preserve"> </w:t>
      </w:r>
      <w:r w:rsidR="00256587">
        <w:rPr>
          <w:rFonts w:cs="Arial"/>
          <w:color w:val="000000" w:themeColor="text1"/>
          <w:sz w:val="26"/>
          <w:szCs w:val="26"/>
          <w:lang w:val="es-ES"/>
        </w:rPr>
        <w:t>refutado</w:t>
      </w:r>
      <w:r w:rsidR="00ED3400">
        <w:rPr>
          <w:rFonts w:cs="Arial"/>
          <w:color w:val="000000" w:themeColor="text1"/>
          <w:sz w:val="26"/>
          <w:szCs w:val="26"/>
          <w:lang w:val="es-ES"/>
        </w:rPr>
        <w:t xml:space="preserve"> </w:t>
      </w:r>
      <w:r w:rsidR="001366E6" w:rsidRPr="00357E09">
        <w:rPr>
          <w:rFonts w:cs="Arial"/>
          <w:color w:val="000000" w:themeColor="text1"/>
          <w:sz w:val="26"/>
          <w:szCs w:val="26"/>
          <w:lang w:val="es-ES"/>
        </w:rPr>
        <w:t>el argumento de que</w:t>
      </w:r>
      <w:r w:rsidR="00B82E87" w:rsidRPr="00357E09">
        <w:rPr>
          <w:rFonts w:cs="Arial"/>
          <w:color w:val="000000" w:themeColor="text1"/>
          <w:sz w:val="26"/>
          <w:szCs w:val="26"/>
          <w:lang w:val="es-ES"/>
        </w:rPr>
        <w:t xml:space="preserve"> </w:t>
      </w:r>
      <w:r w:rsidR="00C62A31" w:rsidRPr="00357E09">
        <w:rPr>
          <w:rFonts w:cs="Arial"/>
          <w:color w:val="000000" w:themeColor="text1"/>
          <w:sz w:val="26"/>
          <w:szCs w:val="26"/>
          <w:lang w:val="es-ES"/>
        </w:rPr>
        <w:t>el acceso de las</w:t>
      </w:r>
      <w:r w:rsidR="00B82E87" w:rsidRPr="00357E09">
        <w:rPr>
          <w:rFonts w:cs="Arial"/>
          <w:color w:val="000000" w:themeColor="text1"/>
          <w:sz w:val="26"/>
          <w:szCs w:val="26"/>
          <w:lang w:val="es-ES"/>
        </w:rPr>
        <w:t xml:space="preserve"> mujeres trans </w:t>
      </w:r>
      <w:r w:rsidR="001D2AE6">
        <w:rPr>
          <w:rFonts w:cs="Arial"/>
          <w:color w:val="000000" w:themeColor="text1"/>
          <w:sz w:val="26"/>
          <w:szCs w:val="26"/>
          <w:lang w:val="es-ES"/>
        </w:rPr>
        <w:t xml:space="preserve">a </w:t>
      </w:r>
      <w:r w:rsidR="00B82E87" w:rsidRPr="00357E09">
        <w:rPr>
          <w:rFonts w:cs="Arial"/>
          <w:color w:val="000000" w:themeColor="text1"/>
          <w:sz w:val="26"/>
          <w:szCs w:val="26"/>
          <w:lang w:val="es-ES"/>
        </w:rPr>
        <w:t xml:space="preserve">espacios públicos, como los sanitarios, </w:t>
      </w:r>
      <w:r w:rsidR="001D2AE6">
        <w:rPr>
          <w:rFonts w:cs="Arial"/>
          <w:color w:val="000000" w:themeColor="text1"/>
          <w:sz w:val="26"/>
          <w:szCs w:val="26"/>
          <w:lang w:val="es-ES"/>
        </w:rPr>
        <w:t>representa</w:t>
      </w:r>
      <w:r w:rsidR="001D2AE6" w:rsidRPr="00357E09">
        <w:rPr>
          <w:rFonts w:cs="Arial"/>
          <w:color w:val="000000" w:themeColor="text1"/>
          <w:sz w:val="26"/>
          <w:szCs w:val="26"/>
          <w:lang w:val="es-ES"/>
        </w:rPr>
        <w:t xml:space="preserve"> </w:t>
      </w:r>
      <w:r w:rsidR="00482DD3" w:rsidRPr="00357E09">
        <w:rPr>
          <w:rFonts w:cs="Arial"/>
          <w:color w:val="000000" w:themeColor="text1"/>
          <w:sz w:val="26"/>
          <w:szCs w:val="26"/>
          <w:lang w:val="es-ES"/>
        </w:rPr>
        <w:t xml:space="preserve">una amenaza para las mujeres que utilizan tales </w:t>
      </w:r>
      <w:r w:rsidR="00A450D3">
        <w:rPr>
          <w:rFonts w:cs="Arial"/>
          <w:color w:val="000000" w:themeColor="text1"/>
          <w:sz w:val="26"/>
          <w:szCs w:val="26"/>
          <w:lang w:val="es-ES"/>
        </w:rPr>
        <w:t>lugares</w:t>
      </w:r>
      <w:r w:rsidR="00FD028B" w:rsidRPr="00357E09">
        <w:rPr>
          <w:rStyle w:val="Refdenotaalpie"/>
          <w:rFonts w:cs="Arial"/>
          <w:color w:val="000000" w:themeColor="text1"/>
          <w:sz w:val="26"/>
          <w:szCs w:val="26"/>
          <w:lang w:val="es-ES"/>
        </w:rPr>
        <w:footnoteReference w:id="83"/>
      </w:r>
      <w:r w:rsidR="00482DD3" w:rsidRPr="00357E09">
        <w:rPr>
          <w:rFonts w:cs="Arial"/>
          <w:color w:val="000000" w:themeColor="text1"/>
          <w:sz w:val="26"/>
          <w:szCs w:val="26"/>
          <w:lang w:val="es-ES"/>
        </w:rPr>
        <w:t>.</w:t>
      </w:r>
      <w:r w:rsidR="00B82E87" w:rsidRPr="00357E09">
        <w:rPr>
          <w:rFonts w:cs="Arial"/>
          <w:color w:val="000000" w:themeColor="text1"/>
          <w:sz w:val="26"/>
          <w:szCs w:val="26"/>
          <w:lang w:val="es-ES"/>
        </w:rPr>
        <w:t xml:space="preserve"> </w:t>
      </w:r>
      <w:r w:rsidR="005F3924">
        <w:rPr>
          <w:rFonts w:cs="Arial"/>
          <w:color w:val="000000" w:themeColor="text1"/>
          <w:sz w:val="26"/>
          <w:szCs w:val="26"/>
          <w:lang w:val="es-MX"/>
        </w:rPr>
        <w:t>L</w:t>
      </w:r>
      <w:r w:rsidR="00B435E1" w:rsidRPr="00357E09">
        <w:rPr>
          <w:rFonts w:cs="Arial"/>
          <w:color w:val="000000" w:themeColor="text1"/>
          <w:sz w:val="26"/>
          <w:szCs w:val="26"/>
          <w:lang w:val="es-MX"/>
        </w:rPr>
        <w:t xml:space="preserve">os temores sobre un </w:t>
      </w:r>
      <w:r w:rsidR="004C5E75">
        <w:rPr>
          <w:rFonts w:cs="Arial"/>
          <w:color w:val="000000" w:themeColor="text1"/>
          <w:sz w:val="26"/>
          <w:szCs w:val="26"/>
          <w:lang w:val="es-MX"/>
        </w:rPr>
        <w:t xml:space="preserve">posible </w:t>
      </w:r>
      <w:r w:rsidR="00B435E1" w:rsidRPr="00357E09">
        <w:rPr>
          <w:rFonts w:cs="Arial"/>
          <w:color w:val="000000" w:themeColor="text1"/>
          <w:sz w:val="26"/>
          <w:szCs w:val="26"/>
          <w:lang w:val="es-MX"/>
        </w:rPr>
        <w:t xml:space="preserve">aumento </w:t>
      </w:r>
      <w:r w:rsidR="006D4047" w:rsidRPr="00357E09">
        <w:rPr>
          <w:rFonts w:cs="Arial"/>
          <w:color w:val="000000" w:themeColor="text1"/>
          <w:sz w:val="26"/>
          <w:szCs w:val="26"/>
          <w:lang w:val="es-MX"/>
        </w:rPr>
        <w:t>de ataques a</w:t>
      </w:r>
      <w:r w:rsidR="00B435E1" w:rsidRPr="00357E09">
        <w:rPr>
          <w:rFonts w:cs="Arial"/>
          <w:color w:val="000000" w:themeColor="text1"/>
          <w:sz w:val="26"/>
          <w:szCs w:val="26"/>
          <w:lang w:val="es-MX"/>
        </w:rPr>
        <w:t xml:space="preserve"> </w:t>
      </w:r>
      <w:r w:rsidR="006D4047" w:rsidRPr="00357E09">
        <w:rPr>
          <w:rFonts w:cs="Arial"/>
          <w:color w:val="000000" w:themeColor="text1"/>
          <w:sz w:val="26"/>
          <w:szCs w:val="26"/>
          <w:lang w:val="es-MX"/>
        </w:rPr>
        <w:t>la</w:t>
      </w:r>
      <w:r w:rsidR="00B435E1" w:rsidRPr="00357E09">
        <w:rPr>
          <w:rFonts w:cs="Arial"/>
          <w:color w:val="000000" w:themeColor="text1"/>
          <w:sz w:val="26"/>
          <w:szCs w:val="26"/>
          <w:lang w:val="es-MX"/>
        </w:rPr>
        <w:t xml:space="preserve"> seguridad y privacidad </w:t>
      </w:r>
      <w:r w:rsidR="005D0391">
        <w:rPr>
          <w:rFonts w:cs="Arial"/>
          <w:color w:val="000000" w:themeColor="text1"/>
          <w:sz w:val="26"/>
          <w:szCs w:val="26"/>
          <w:lang w:val="es-MX"/>
        </w:rPr>
        <w:t>derivados de</w:t>
      </w:r>
      <w:r w:rsidR="00B435E1" w:rsidRPr="00357E09">
        <w:rPr>
          <w:rFonts w:cs="Arial"/>
          <w:color w:val="000000" w:themeColor="text1"/>
          <w:sz w:val="26"/>
          <w:szCs w:val="26"/>
          <w:lang w:val="es-MX"/>
        </w:rPr>
        <w:t xml:space="preserve"> la implementación de </w:t>
      </w:r>
      <w:r w:rsidR="00772572" w:rsidRPr="00357E09">
        <w:rPr>
          <w:rFonts w:cs="Arial"/>
          <w:color w:val="000000" w:themeColor="text1"/>
          <w:sz w:val="26"/>
          <w:szCs w:val="26"/>
          <w:lang w:val="es-MX"/>
        </w:rPr>
        <w:t>medidas</w:t>
      </w:r>
      <w:r w:rsidR="00B435E1" w:rsidRPr="00357E09">
        <w:rPr>
          <w:rFonts w:cs="Arial"/>
          <w:color w:val="000000" w:themeColor="text1"/>
          <w:sz w:val="26"/>
          <w:szCs w:val="26"/>
          <w:lang w:val="es-MX"/>
        </w:rPr>
        <w:t xml:space="preserve"> de no discriminación</w:t>
      </w:r>
      <w:r w:rsidR="00052165" w:rsidRPr="00357E09">
        <w:rPr>
          <w:rFonts w:cs="Arial"/>
          <w:color w:val="000000" w:themeColor="text1"/>
          <w:sz w:val="26"/>
          <w:szCs w:val="26"/>
          <w:lang w:val="es-MX"/>
        </w:rPr>
        <w:t xml:space="preserve"> </w:t>
      </w:r>
      <w:r w:rsidR="000562C6" w:rsidRPr="00357E09">
        <w:rPr>
          <w:rFonts w:cs="Arial"/>
          <w:color w:val="000000" w:themeColor="text1"/>
          <w:sz w:val="26"/>
          <w:szCs w:val="26"/>
          <w:lang w:val="es-MX"/>
        </w:rPr>
        <w:t>que protejan a las personas trans en el uso de</w:t>
      </w:r>
      <w:r w:rsidR="00052165" w:rsidRPr="00357E09">
        <w:rPr>
          <w:rFonts w:cs="Arial"/>
          <w:color w:val="000000" w:themeColor="text1"/>
          <w:sz w:val="26"/>
          <w:szCs w:val="26"/>
          <w:lang w:val="es-MX"/>
        </w:rPr>
        <w:t xml:space="preserve"> sanitarios y </w:t>
      </w:r>
      <w:r w:rsidR="00052165" w:rsidRPr="00357E09">
        <w:rPr>
          <w:rFonts w:cs="Arial"/>
          <w:color w:val="000000" w:themeColor="text1"/>
          <w:sz w:val="26"/>
          <w:szCs w:val="26"/>
          <w:lang w:val="es-MX"/>
        </w:rPr>
        <w:lastRenderedPageBreak/>
        <w:t>vestidores</w:t>
      </w:r>
      <w:r w:rsidR="00B435E1" w:rsidRPr="00357E09">
        <w:rPr>
          <w:rFonts w:cs="Arial"/>
          <w:color w:val="000000" w:themeColor="text1"/>
          <w:sz w:val="26"/>
          <w:szCs w:val="26"/>
          <w:lang w:val="es-MX"/>
        </w:rPr>
        <w:t xml:space="preserve"> no tienen</w:t>
      </w:r>
      <w:r w:rsidR="00052165" w:rsidRPr="00357E09">
        <w:rPr>
          <w:rFonts w:cs="Arial"/>
          <w:color w:val="000000" w:themeColor="text1"/>
          <w:sz w:val="26"/>
          <w:szCs w:val="26"/>
          <w:lang w:val="es-MX"/>
        </w:rPr>
        <w:t xml:space="preserve"> ningún</w:t>
      </w:r>
      <w:r w:rsidR="00B435E1" w:rsidRPr="00357E09">
        <w:rPr>
          <w:rFonts w:cs="Arial"/>
          <w:color w:val="000000" w:themeColor="text1"/>
          <w:sz w:val="26"/>
          <w:szCs w:val="26"/>
          <w:lang w:val="es-MX"/>
        </w:rPr>
        <w:t xml:space="preserve"> sustento empírico</w:t>
      </w:r>
      <w:r w:rsidR="001160DB" w:rsidRPr="00357E09">
        <w:rPr>
          <w:rFonts w:cs="Arial"/>
          <w:color w:val="000000" w:themeColor="text1"/>
          <w:sz w:val="26"/>
          <w:szCs w:val="26"/>
          <w:lang w:val="es-MX"/>
        </w:rPr>
        <w:t xml:space="preserve"> relevante</w:t>
      </w:r>
      <w:r w:rsidR="00052165" w:rsidRPr="00357E09">
        <w:rPr>
          <w:rStyle w:val="Refdenotaalpie"/>
          <w:rFonts w:cs="Arial"/>
          <w:color w:val="000000" w:themeColor="text1"/>
          <w:sz w:val="26"/>
          <w:szCs w:val="26"/>
          <w:lang w:val="es-MX"/>
        </w:rPr>
        <w:footnoteReference w:id="84"/>
      </w:r>
      <w:r w:rsidR="00B435E1" w:rsidRPr="00357E09">
        <w:rPr>
          <w:rFonts w:cs="Arial"/>
          <w:color w:val="000000" w:themeColor="text1"/>
          <w:sz w:val="26"/>
          <w:szCs w:val="26"/>
          <w:lang w:val="es-MX"/>
        </w:rPr>
        <w:t>.</w:t>
      </w:r>
      <w:r w:rsidR="003D32D1" w:rsidRPr="00357E09">
        <w:rPr>
          <w:sz w:val="26"/>
          <w:szCs w:val="26"/>
        </w:rPr>
        <w:t xml:space="preserve"> </w:t>
      </w:r>
      <w:r w:rsidR="00385012" w:rsidRPr="00B77475">
        <w:rPr>
          <w:sz w:val="26"/>
          <w:szCs w:val="26"/>
        </w:rPr>
        <w:t>Por el contrario</w:t>
      </w:r>
      <w:r w:rsidR="00AA3BE9" w:rsidRPr="002B7746">
        <w:rPr>
          <w:rStyle w:val="Refdenotaalpie"/>
          <w:sz w:val="26"/>
          <w:szCs w:val="26"/>
          <w:lang w:val="es-MX"/>
        </w:rPr>
        <w:footnoteReference w:id="85"/>
      </w:r>
      <w:r w:rsidR="00385012" w:rsidRPr="00B77475">
        <w:rPr>
          <w:sz w:val="26"/>
          <w:szCs w:val="26"/>
        </w:rPr>
        <w:t>,</w:t>
      </w:r>
      <w:r w:rsidR="00385012" w:rsidRPr="00B77475" w:rsidDel="00AA3BE9">
        <w:rPr>
          <w:sz w:val="26"/>
          <w:szCs w:val="26"/>
        </w:rPr>
        <w:t xml:space="preserve"> </w:t>
      </w:r>
      <w:r w:rsidR="001F498C">
        <w:rPr>
          <w:sz w:val="26"/>
          <w:szCs w:val="26"/>
        </w:rPr>
        <w:t>s</w:t>
      </w:r>
      <w:r w:rsidR="00BB6B9C">
        <w:rPr>
          <w:sz w:val="26"/>
          <w:szCs w:val="26"/>
        </w:rPr>
        <w:t>í</w:t>
      </w:r>
      <w:r w:rsidR="001F498C">
        <w:rPr>
          <w:sz w:val="26"/>
          <w:szCs w:val="26"/>
        </w:rPr>
        <w:t xml:space="preserve"> hay evidencia de </w:t>
      </w:r>
      <w:r w:rsidR="00385012" w:rsidDel="00AA3BE9">
        <w:rPr>
          <w:sz w:val="26"/>
          <w:szCs w:val="26"/>
        </w:rPr>
        <w:t xml:space="preserve">que </w:t>
      </w:r>
      <w:r w:rsidR="00385012" w:rsidRPr="00B77475">
        <w:rPr>
          <w:sz w:val="26"/>
          <w:szCs w:val="26"/>
          <w:lang w:val="es-MX"/>
        </w:rPr>
        <w:t xml:space="preserve">obligar a las personas trans a no utilizar las instalaciones o </w:t>
      </w:r>
      <w:r w:rsidR="00385012" w:rsidRPr="00B77475">
        <w:rPr>
          <w:rFonts w:cs="Arial"/>
          <w:color w:val="000000" w:themeColor="text1"/>
          <w:sz w:val="26"/>
          <w:szCs w:val="26"/>
          <w:lang w:val="es-MX"/>
        </w:rPr>
        <w:t>espacios</w:t>
      </w:r>
      <w:r w:rsidR="00385012" w:rsidRPr="00B77475">
        <w:rPr>
          <w:sz w:val="26"/>
          <w:szCs w:val="26"/>
          <w:lang w:val="es-MX"/>
        </w:rPr>
        <w:t xml:space="preserve"> </w:t>
      </w:r>
      <w:r w:rsidR="00385012" w:rsidRPr="00E57F89">
        <w:rPr>
          <w:sz w:val="26"/>
          <w:szCs w:val="26"/>
          <w:lang w:val="es-MX"/>
        </w:rPr>
        <w:t xml:space="preserve">públicos acordes con el género con el </w:t>
      </w:r>
      <w:r w:rsidR="00861197" w:rsidRPr="00E57F89">
        <w:rPr>
          <w:sz w:val="26"/>
          <w:szCs w:val="26"/>
          <w:lang w:val="es-MX"/>
        </w:rPr>
        <w:t>que se identifican</w:t>
      </w:r>
      <w:r w:rsidR="00154042" w:rsidRPr="00E57F89">
        <w:rPr>
          <w:sz w:val="26"/>
          <w:szCs w:val="26"/>
          <w:lang w:val="es-MX"/>
        </w:rPr>
        <w:t xml:space="preserve"> </w:t>
      </w:r>
      <w:r w:rsidR="00385012" w:rsidRPr="00E57F89">
        <w:rPr>
          <w:sz w:val="26"/>
          <w:szCs w:val="26"/>
          <w:lang w:val="es-MX"/>
        </w:rPr>
        <w:t xml:space="preserve">las hace </w:t>
      </w:r>
      <w:r w:rsidR="00D0447E" w:rsidRPr="00E57F89">
        <w:rPr>
          <w:sz w:val="26"/>
          <w:szCs w:val="26"/>
          <w:lang w:val="es-MX"/>
        </w:rPr>
        <w:t xml:space="preserve">más </w:t>
      </w:r>
      <w:r w:rsidR="00385012" w:rsidRPr="00E57F89">
        <w:rPr>
          <w:sz w:val="26"/>
          <w:szCs w:val="26"/>
          <w:lang w:val="es-MX"/>
        </w:rPr>
        <w:t>vulnerables a agresiones</w:t>
      </w:r>
      <w:r w:rsidR="00BE598E" w:rsidRPr="00E57F89">
        <w:rPr>
          <w:sz w:val="26"/>
          <w:szCs w:val="26"/>
          <w:lang w:val="es-MX"/>
        </w:rPr>
        <w:t>, las cuales ya son</w:t>
      </w:r>
      <w:r w:rsidR="00BE598E" w:rsidRPr="00E57F89" w:rsidDel="00ED0237">
        <w:rPr>
          <w:sz w:val="26"/>
          <w:szCs w:val="26"/>
          <w:lang w:val="es-MX"/>
        </w:rPr>
        <w:t xml:space="preserve"> </w:t>
      </w:r>
      <w:r w:rsidR="00BE598E" w:rsidRPr="00E57F89">
        <w:rPr>
          <w:sz w:val="26"/>
          <w:szCs w:val="26"/>
          <w:lang w:val="es-MX"/>
        </w:rPr>
        <w:t>frecuentes</w:t>
      </w:r>
      <w:r w:rsidR="00ED0237" w:rsidRPr="00E57F89">
        <w:rPr>
          <w:sz w:val="26"/>
          <w:szCs w:val="26"/>
          <w:lang w:val="es-MX"/>
        </w:rPr>
        <w:t xml:space="preserve"> en esos espacios</w:t>
      </w:r>
      <w:r w:rsidR="00861197" w:rsidRPr="00E57F89" w:rsidDel="009B39E3">
        <w:rPr>
          <w:rStyle w:val="Refdenotaalpie"/>
          <w:rFonts w:cs="Arial"/>
          <w:color w:val="000000" w:themeColor="text1"/>
          <w:sz w:val="26"/>
          <w:szCs w:val="26"/>
          <w:lang w:val="es-ES"/>
        </w:rPr>
        <w:footnoteReference w:id="86"/>
      </w:r>
      <w:r w:rsidR="00861197" w:rsidRPr="00E57F89" w:rsidDel="009B39E3">
        <w:rPr>
          <w:rFonts w:cs="Arial"/>
          <w:color w:val="000000" w:themeColor="text1"/>
          <w:sz w:val="26"/>
          <w:szCs w:val="26"/>
          <w:lang w:val="es-ES"/>
        </w:rPr>
        <w:t xml:space="preserve">. </w:t>
      </w:r>
    </w:p>
    <w:p w14:paraId="6222288B" w14:textId="77777777" w:rsidR="008C5375" w:rsidRPr="008C5375" w:rsidRDefault="008C5375" w:rsidP="001A476B">
      <w:pPr>
        <w:pStyle w:val="corte4fondo"/>
        <w:tabs>
          <w:tab w:val="left" w:pos="3969"/>
        </w:tabs>
        <w:ind w:right="51" w:hanging="567"/>
        <w:rPr>
          <w:rFonts w:cs="Arial"/>
          <w:color w:val="000000" w:themeColor="text1"/>
          <w:sz w:val="26"/>
          <w:szCs w:val="26"/>
          <w:lang w:val="es-MX"/>
        </w:rPr>
      </w:pPr>
    </w:p>
    <w:p w14:paraId="4CFF234B" w14:textId="7994BD57" w:rsidR="001F4900" w:rsidRPr="00E93F6A" w:rsidRDefault="00DD5366" w:rsidP="001A476B">
      <w:pPr>
        <w:pStyle w:val="corte4fondo"/>
        <w:numPr>
          <w:ilvl w:val="0"/>
          <w:numId w:val="2"/>
        </w:numPr>
        <w:tabs>
          <w:tab w:val="left" w:pos="3969"/>
        </w:tabs>
        <w:ind w:left="0" w:right="51" w:hanging="567"/>
        <w:rPr>
          <w:rFonts w:cs="Arial"/>
          <w:color w:val="000000" w:themeColor="text1"/>
          <w:sz w:val="26"/>
          <w:szCs w:val="26"/>
          <w:lang w:val="es-MX"/>
        </w:rPr>
      </w:pPr>
      <w:r w:rsidRPr="00B77475">
        <w:rPr>
          <w:sz w:val="26"/>
          <w:szCs w:val="26"/>
          <w:lang w:val="es-MX"/>
        </w:rPr>
        <w:t xml:space="preserve">Asimismo, es común que las personas trans denuncien acoso </w:t>
      </w:r>
      <w:r w:rsidR="000949DA" w:rsidRPr="00B77475">
        <w:rPr>
          <w:sz w:val="26"/>
          <w:szCs w:val="26"/>
          <w:lang w:val="es-MX"/>
        </w:rPr>
        <w:t xml:space="preserve">o agresiones físicas o verbales </w:t>
      </w:r>
      <w:r w:rsidRPr="00B77475">
        <w:rPr>
          <w:sz w:val="26"/>
          <w:szCs w:val="26"/>
          <w:lang w:val="es-MX"/>
        </w:rPr>
        <w:t xml:space="preserve">en el uso de los sanitarios, </w:t>
      </w:r>
      <w:r w:rsidR="00B9743F" w:rsidRPr="00B77475">
        <w:rPr>
          <w:sz w:val="26"/>
          <w:szCs w:val="26"/>
          <w:lang w:val="es-MX"/>
        </w:rPr>
        <w:t>y</w:t>
      </w:r>
      <w:r w:rsidRPr="00B77475">
        <w:rPr>
          <w:sz w:val="26"/>
          <w:szCs w:val="26"/>
          <w:lang w:val="es-MX"/>
        </w:rPr>
        <w:t xml:space="preserve"> que </w:t>
      </w:r>
      <w:r w:rsidR="00B9743F" w:rsidRPr="00B77475">
        <w:rPr>
          <w:sz w:val="26"/>
          <w:szCs w:val="26"/>
          <w:lang w:val="es-MX"/>
        </w:rPr>
        <w:t xml:space="preserve">opten por evitar acceder </w:t>
      </w:r>
      <w:r w:rsidR="001F4900" w:rsidRPr="00B77475">
        <w:rPr>
          <w:sz w:val="26"/>
          <w:szCs w:val="26"/>
          <w:lang w:val="es-MX"/>
        </w:rPr>
        <w:t xml:space="preserve">a </w:t>
      </w:r>
      <w:r w:rsidR="00BF64EB" w:rsidRPr="00B77475">
        <w:rPr>
          <w:sz w:val="26"/>
          <w:szCs w:val="26"/>
          <w:lang w:val="es-MX"/>
        </w:rPr>
        <w:t xml:space="preserve">ellos </w:t>
      </w:r>
      <w:r w:rsidR="00B9743F" w:rsidRPr="00B77475">
        <w:rPr>
          <w:sz w:val="26"/>
          <w:szCs w:val="26"/>
          <w:lang w:val="es-MX"/>
        </w:rPr>
        <w:t>en espacios públicos</w:t>
      </w:r>
      <w:r w:rsidR="00B7707F" w:rsidRPr="00B77475">
        <w:rPr>
          <w:sz w:val="26"/>
          <w:szCs w:val="26"/>
          <w:lang w:val="es-MX"/>
        </w:rPr>
        <w:t xml:space="preserve">, ante el temor a </w:t>
      </w:r>
      <w:r w:rsidR="001F4900" w:rsidRPr="00B77475">
        <w:rPr>
          <w:sz w:val="26"/>
          <w:szCs w:val="26"/>
          <w:lang w:val="es-MX"/>
        </w:rPr>
        <w:t xml:space="preserve">que se les niegue el acceso </w:t>
      </w:r>
      <w:r w:rsidR="00462C06">
        <w:rPr>
          <w:sz w:val="26"/>
          <w:szCs w:val="26"/>
          <w:lang w:val="es-MX"/>
        </w:rPr>
        <w:t xml:space="preserve">a </w:t>
      </w:r>
      <w:r w:rsidR="00BF64EB" w:rsidRPr="00B77475">
        <w:rPr>
          <w:sz w:val="26"/>
          <w:szCs w:val="26"/>
          <w:lang w:val="es-MX"/>
        </w:rPr>
        <w:t xml:space="preserve">este </w:t>
      </w:r>
      <w:r w:rsidR="00BF64EB" w:rsidRPr="00D723C3">
        <w:rPr>
          <w:rFonts w:cs="Arial"/>
          <w:color w:val="000000" w:themeColor="text1"/>
          <w:sz w:val="26"/>
          <w:szCs w:val="26"/>
          <w:lang w:val="es-MX"/>
        </w:rPr>
        <w:t>servicio</w:t>
      </w:r>
      <w:r w:rsidR="00BF64EB" w:rsidRPr="00B77475">
        <w:rPr>
          <w:sz w:val="26"/>
          <w:szCs w:val="26"/>
          <w:lang w:val="es-MX"/>
        </w:rPr>
        <w:t xml:space="preserve"> básico, a </w:t>
      </w:r>
      <w:r w:rsidR="00B7707F" w:rsidRPr="00B77475">
        <w:rPr>
          <w:sz w:val="26"/>
          <w:szCs w:val="26"/>
          <w:lang w:val="es-MX"/>
        </w:rPr>
        <w:t xml:space="preserve">ser </w:t>
      </w:r>
      <w:r w:rsidR="0016792E" w:rsidRPr="00B77475">
        <w:rPr>
          <w:sz w:val="26"/>
          <w:szCs w:val="26"/>
          <w:lang w:val="es-MX"/>
        </w:rPr>
        <w:t>confrontadas o tener algún problema</w:t>
      </w:r>
      <w:r w:rsidR="00CD2791" w:rsidRPr="00B77475">
        <w:rPr>
          <w:sz w:val="26"/>
          <w:szCs w:val="26"/>
          <w:lang w:val="es-MX"/>
        </w:rPr>
        <w:t xml:space="preserve"> con el resto de las usuarias</w:t>
      </w:r>
      <w:r>
        <w:rPr>
          <w:rStyle w:val="Refdenotaalpie"/>
          <w:sz w:val="26"/>
          <w:szCs w:val="26"/>
          <w:lang w:val="es-MX"/>
        </w:rPr>
        <w:footnoteReference w:id="87"/>
      </w:r>
      <w:r w:rsidRPr="00B77475">
        <w:rPr>
          <w:sz w:val="26"/>
          <w:szCs w:val="26"/>
          <w:lang w:val="es-MX"/>
        </w:rPr>
        <w:t>.</w:t>
      </w:r>
      <w:r w:rsidR="00BF64EB" w:rsidRPr="00B77475">
        <w:rPr>
          <w:sz w:val="26"/>
          <w:szCs w:val="26"/>
          <w:lang w:val="es-MX"/>
        </w:rPr>
        <w:t xml:space="preserve"> </w:t>
      </w:r>
      <w:r w:rsidR="00B77475">
        <w:rPr>
          <w:sz w:val="26"/>
          <w:szCs w:val="26"/>
          <w:lang w:val="es-MX"/>
        </w:rPr>
        <w:t>Además</w:t>
      </w:r>
      <w:r w:rsidR="00BF64EB" w:rsidRPr="00B77475">
        <w:rPr>
          <w:sz w:val="26"/>
          <w:szCs w:val="26"/>
          <w:lang w:val="es-MX"/>
        </w:rPr>
        <w:t xml:space="preserve">, se ha </w:t>
      </w:r>
      <w:r w:rsidR="00B77475">
        <w:rPr>
          <w:sz w:val="26"/>
          <w:szCs w:val="26"/>
          <w:lang w:val="es-MX"/>
        </w:rPr>
        <w:t>advertido</w:t>
      </w:r>
      <w:r w:rsidR="00BF64EB" w:rsidRPr="00B77475">
        <w:rPr>
          <w:sz w:val="26"/>
          <w:szCs w:val="26"/>
          <w:lang w:val="es-MX"/>
        </w:rPr>
        <w:t xml:space="preserve"> que </w:t>
      </w:r>
      <w:r w:rsidR="00D161A6" w:rsidRPr="00B77475">
        <w:rPr>
          <w:sz w:val="26"/>
          <w:szCs w:val="26"/>
          <w:lang w:val="es-MX"/>
        </w:rPr>
        <w:t>las agresiones o acoso que sufren las personas trans al intentar usar los sanitarios puede tener</w:t>
      </w:r>
      <w:r w:rsidR="005B5BD8">
        <w:rPr>
          <w:sz w:val="26"/>
          <w:szCs w:val="26"/>
          <w:lang w:val="es-MX"/>
        </w:rPr>
        <w:t xml:space="preserve"> un</w:t>
      </w:r>
      <w:r w:rsidR="00D161A6" w:rsidRPr="00B77475">
        <w:rPr>
          <w:sz w:val="26"/>
          <w:szCs w:val="26"/>
          <w:lang w:val="es-MX"/>
        </w:rPr>
        <w:t xml:space="preserve"> impacto </w:t>
      </w:r>
      <w:r w:rsidR="005B5BD8">
        <w:rPr>
          <w:sz w:val="26"/>
          <w:szCs w:val="26"/>
          <w:lang w:val="es-MX"/>
        </w:rPr>
        <w:t xml:space="preserve">relevante </w:t>
      </w:r>
      <w:r w:rsidR="00D161A6" w:rsidRPr="00B77475">
        <w:rPr>
          <w:sz w:val="26"/>
          <w:szCs w:val="26"/>
          <w:lang w:val="es-MX"/>
        </w:rPr>
        <w:t xml:space="preserve">en </w:t>
      </w:r>
      <w:r w:rsidR="00B77475">
        <w:rPr>
          <w:sz w:val="26"/>
          <w:szCs w:val="26"/>
          <w:lang w:val="es-MX"/>
        </w:rPr>
        <w:t xml:space="preserve">la </w:t>
      </w:r>
      <w:r w:rsidR="00B77475" w:rsidRPr="00B77475">
        <w:rPr>
          <w:rFonts w:cs="Arial"/>
          <w:color w:val="000000" w:themeColor="text1"/>
          <w:sz w:val="26"/>
          <w:szCs w:val="26"/>
          <w:lang w:val="es-MX"/>
        </w:rPr>
        <w:t xml:space="preserve">educación, empleo, salud y participación en la vida </w:t>
      </w:r>
      <w:r w:rsidR="00B77475" w:rsidRPr="00B77475">
        <w:rPr>
          <w:rFonts w:cs="Arial"/>
          <w:color w:val="000000" w:themeColor="text1"/>
          <w:sz w:val="26"/>
          <w:szCs w:val="26"/>
          <w:lang w:val="es-MX"/>
        </w:rPr>
        <w:lastRenderedPageBreak/>
        <w:t>pública</w:t>
      </w:r>
      <w:r w:rsidR="00B77475">
        <w:rPr>
          <w:rFonts w:cs="Arial"/>
          <w:color w:val="000000" w:themeColor="text1"/>
          <w:sz w:val="26"/>
          <w:szCs w:val="26"/>
          <w:lang w:val="es-MX"/>
        </w:rPr>
        <w:t xml:space="preserve"> de estas personas, e, incluso, </w:t>
      </w:r>
      <w:r w:rsidR="00001D0A">
        <w:rPr>
          <w:rFonts w:cs="Arial"/>
          <w:color w:val="000000" w:themeColor="text1"/>
          <w:sz w:val="26"/>
          <w:szCs w:val="26"/>
          <w:lang w:val="es-MX"/>
        </w:rPr>
        <w:t xml:space="preserve">llevarlas a un estado de </w:t>
      </w:r>
      <w:r w:rsidR="006D20B5">
        <w:rPr>
          <w:rFonts w:cs="Arial"/>
          <w:color w:val="000000" w:themeColor="text1"/>
          <w:sz w:val="26"/>
          <w:szCs w:val="26"/>
          <w:lang w:val="es-MX"/>
        </w:rPr>
        <w:t>vulnerabilidad económica</w:t>
      </w:r>
      <w:r w:rsidR="00E93F6A">
        <w:rPr>
          <w:rStyle w:val="Refdenotaalpie"/>
          <w:rFonts w:cs="Arial"/>
          <w:color w:val="000000" w:themeColor="text1"/>
          <w:sz w:val="26"/>
          <w:szCs w:val="26"/>
          <w:lang w:val="es-MX"/>
        </w:rPr>
        <w:footnoteReference w:id="88"/>
      </w:r>
      <w:r w:rsidR="00001D0A">
        <w:rPr>
          <w:rFonts w:cs="Arial"/>
          <w:color w:val="000000" w:themeColor="text1"/>
          <w:sz w:val="26"/>
          <w:szCs w:val="26"/>
          <w:lang w:val="es-MX"/>
        </w:rPr>
        <w:t>.</w:t>
      </w:r>
    </w:p>
    <w:p w14:paraId="35E9A21B" w14:textId="77777777" w:rsidR="00780349" w:rsidRPr="00E93F6A" w:rsidRDefault="00780349" w:rsidP="001A476B">
      <w:pPr>
        <w:pStyle w:val="corte4fondo"/>
        <w:tabs>
          <w:tab w:val="left" w:pos="3969"/>
        </w:tabs>
        <w:ind w:right="51" w:hanging="567"/>
        <w:rPr>
          <w:rFonts w:cs="Arial"/>
          <w:color w:val="000000" w:themeColor="text1"/>
          <w:sz w:val="26"/>
          <w:szCs w:val="26"/>
          <w:lang w:val="es-ES"/>
        </w:rPr>
      </w:pPr>
    </w:p>
    <w:p w14:paraId="40C0F26D" w14:textId="325FFF1E" w:rsidR="006146FF" w:rsidRPr="005B1BE0" w:rsidRDefault="002452C5" w:rsidP="001A476B">
      <w:pPr>
        <w:pStyle w:val="corte4fondo"/>
        <w:numPr>
          <w:ilvl w:val="0"/>
          <w:numId w:val="2"/>
        </w:numPr>
        <w:tabs>
          <w:tab w:val="left" w:pos="3969"/>
        </w:tabs>
        <w:ind w:left="0" w:right="51" w:hanging="567"/>
        <w:rPr>
          <w:rFonts w:cs="Arial"/>
          <w:color w:val="000000" w:themeColor="text1"/>
          <w:sz w:val="26"/>
          <w:szCs w:val="26"/>
          <w:lang w:val="es-ES"/>
        </w:rPr>
      </w:pPr>
      <w:r w:rsidRPr="005B1BE0">
        <w:rPr>
          <w:sz w:val="26"/>
          <w:szCs w:val="26"/>
        </w:rPr>
        <w:t>En ese sentido</w:t>
      </w:r>
      <w:r w:rsidR="00FD368D" w:rsidRPr="005B1BE0">
        <w:rPr>
          <w:sz w:val="26"/>
          <w:szCs w:val="26"/>
        </w:rPr>
        <w:t>,</w:t>
      </w:r>
      <w:r w:rsidR="003D32D1" w:rsidRPr="005B1BE0">
        <w:rPr>
          <w:sz w:val="26"/>
          <w:szCs w:val="26"/>
        </w:rPr>
        <w:t xml:space="preserve"> </w:t>
      </w:r>
      <w:r w:rsidRPr="005B1BE0">
        <w:rPr>
          <w:sz w:val="26"/>
          <w:szCs w:val="26"/>
        </w:rPr>
        <w:t>la</w:t>
      </w:r>
      <w:r w:rsidR="003D32D1" w:rsidRPr="005B1BE0">
        <w:rPr>
          <w:rFonts w:cs="Arial"/>
          <w:color w:val="000000" w:themeColor="text1"/>
          <w:sz w:val="26"/>
          <w:szCs w:val="26"/>
          <w:lang w:val="es-MX"/>
        </w:rPr>
        <w:t xml:space="preserve">s personas trans son frecuentemente </w:t>
      </w:r>
      <w:r w:rsidRPr="005B1BE0">
        <w:rPr>
          <w:rFonts w:cs="Arial"/>
          <w:color w:val="000000" w:themeColor="text1"/>
          <w:sz w:val="26"/>
          <w:szCs w:val="26"/>
          <w:lang w:val="es-MX"/>
        </w:rPr>
        <w:t xml:space="preserve">las </w:t>
      </w:r>
      <w:r w:rsidR="003D32D1" w:rsidRPr="005B1BE0">
        <w:rPr>
          <w:rFonts w:cs="Arial"/>
          <w:color w:val="000000" w:themeColor="text1"/>
          <w:sz w:val="26"/>
          <w:szCs w:val="26"/>
          <w:lang w:val="es-MX"/>
        </w:rPr>
        <w:t>víctimas de violencia</w:t>
      </w:r>
      <w:r w:rsidR="003639CE" w:rsidRPr="005B1BE0">
        <w:rPr>
          <w:rStyle w:val="Refdenotaalpie"/>
          <w:rFonts w:cs="Arial"/>
          <w:color w:val="000000" w:themeColor="text1"/>
          <w:sz w:val="26"/>
          <w:szCs w:val="26"/>
          <w:lang w:val="es-MX"/>
        </w:rPr>
        <w:footnoteReference w:id="89"/>
      </w:r>
      <w:r w:rsidR="002E3205" w:rsidRPr="005B1BE0">
        <w:rPr>
          <w:rFonts w:cs="Arial"/>
          <w:color w:val="000000" w:themeColor="text1"/>
          <w:sz w:val="26"/>
          <w:szCs w:val="26"/>
          <w:lang w:val="es-MX"/>
        </w:rPr>
        <w:t xml:space="preserve">, tanto en los sanitarios como fuera de ellos, y </w:t>
      </w:r>
      <w:r w:rsidR="003D32D1" w:rsidRPr="005B1BE0">
        <w:rPr>
          <w:rFonts w:cs="Arial"/>
          <w:color w:val="000000" w:themeColor="text1"/>
          <w:sz w:val="26"/>
          <w:szCs w:val="26"/>
          <w:lang w:val="es-MX"/>
        </w:rPr>
        <w:t xml:space="preserve">no </w:t>
      </w:r>
      <w:r w:rsidR="009C1842" w:rsidRPr="005B1BE0">
        <w:rPr>
          <w:rFonts w:cs="Arial"/>
          <w:color w:val="000000" w:themeColor="text1"/>
          <w:sz w:val="26"/>
          <w:szCs w:val="26"/>
          <w:lang w:val="es-MX"/>
        </w:rPr>
        <w:t xml:space="preserve">las </w:t>
      </w:r>
      <w:r w:rsidR="003D32D1" w:rsidRPr="005B1BE0">
        <w:rPr>
          <w:rFonts w:cs="Arial"/>
          <w:color w:val="000000" w:themeColor="text1"/>
          <w:sz w:val="26"/>
          <w:szCs w:val="26"/>
          <w:lang w:val="es-MX"/>
        </w:rPr>
        <w:t>perpetradoras</w:t>
      </w:r>
      <w:r w:rsidR="0059175B" w:rsidRPr="005B1BE0">
        <w:rPr>
          <w:rStyle w:val="Refdenotaalpie"/>
          <w:rFonts w:cs="Arial"/>
          <w:color w:val="000000" w:themeColor="text1"/>
          <w:sz w:val="26"/>
          <w:szCs w:val="26"/>
          <w:lang w:val="es-MX"/>
        </w:rPr>
        <w:footnoteReference w:id="90"/>
      </w:r>
      <w:r w:rsidR="003D32D1" w:rsidRPr="005B1BE0">
        <w:rPr>
          <w:rFonts w:cs="Arial"/>
          <w:color w:val="000000" w:themeColor="text1"/>
          <w:sz w:val="26"/>
          <w:szCs w:val="26"/>
          <w:lang w:val="es-MX"/>
        </w:rPr>
        <w:t>.</w:t>
      </w:r>
      <w:r w:rsidR="00780349" w:rsidRPr="005B1BE0">
        <w:rPr>
          <w:rFonts w:cs="Arial"/>
          <w:color w:val="000000" w:themeColor="text1"/>
          <w:sz w:val="26"/>
          <w:szCs w:val="26"/>
          <w:lang w:val="es-MX"/>
        </w:rPr>
        <w:t xml:space="preserve"> De ahí que el argumento de la parte demandada para justificar las acciones del personal de seguridad en el centro comercial</w:t>
      </w:r>
      <w:r w:rsidR="00937078" w:rsidRPr="005B1BE0">
        <w:rPr>
          <w:rFonts w:cs="Arial"/>
          <w:color w:val="000000" w:themeColor="text1"/>
          <w:sz w:val="26"/>
          <w:szCs w:val="26"/>
          <w:lang w:val="es-MX"/>
        </w:rPr>
        <w:t xml:space="preserve"> no tuviera </w:t>
      </w:r>
      <w:r w:rsidR="00F72024">
        <w:rPr>
          <w:rFonts w:cs="Arial"/>
          <w:color w:val="000000" w:themeColor="text1"/>
          <w:sz w:val="26"/>
          <w:szCs w:val="26"/>
          <w:lang w:val="es-MX"/>
        </w:rPr>
        <w:t>ningún</w:t>
      </w:r>
      <w:r w:rsidR="00937078" w:rsidRPr="005B1BE0">
        <w:rPr>
          <w:rFonts w:cs="Arial"/>
          <w:color w:val="000000" w:themeColor="text1"/>
          <w:sz w:val="26"/>
          <w:szCs w:val="26"/>
          <w:lang w:val="es-MX"/>
        </w:rPr>
        <w:t xml:space="preserve"> respaldo, y</w:t>
      </w:r>
      <w:r w:rsidR="00780349" w:rsidRPr="005B1BE0">
        <w:rPr>
          <w:rFonts w:cs="Arial"/>
          <w:color w:val="000000" w:themeColor="text1"/>
          <w:sz w:val="26"/>
          <w:szCs w:val="26"/>
          <w:lang w:val="es-MX"/>
        </w:rPr>
        <w:t xml:space="preserve"> </w:t>
      </w:r>
      <w:r w:rsidR="002E3205" w:rsidRPr="005B1BE0">
        <w:rPr>
          <w:rFonts w:cs="Arial"/>
          <w:color w:val="000000" w:themeColor="text1"/>
          <w:sz w:val="26"/>
          <w:szCs w:val="26"/>
          <w:lang w:val="es-MX"/>
        </w:rPr>
        <w:t xml:space="preserve">se basara </w:t>
      </w:r>
      <w:r w:rsidR="005F618A">
        <w:rPr>
          <w:rFonts w:cs="Arial"/>
          <w:color w:val="000000" w:themeColor="text1"/>
          <w:sz w:val="26"/>
          <w:szCs w:val="26"/>
          <w:lang w:val="es-MX"/>
        </w:rPr>
        <w:t xml:space="preserve">en </w:t>
      </w:r>
      <w:r w:rsidR="001027AE" w:rsidRPr="005B1BE0">
        <w:rPr>
          <w:rFonts w:cs="Arial"/>
          <w:color w:val="000000" w:themeColor="text1"/>
          <w:sz w:val="26"/>
          <w:szCs w:val="26"/>
          <w:lang w:val="es-MX"/>
        </w:rPr>
        <w:t>un</w:t>
      </w:r>
      <w:r w:rsidR="00881C1D" w:rsidRPr="005B1BE0">
        <w:rPr>
          <w:rFonts w:cs="Arial"/>
          <w:color w:val="000000" w:themeColor="text1"/>
          <w:sz w:val="26"/>
          <w:szCs w:val="26"/>
          <w:lang w:val="es-MX"/>
        </w:rPr>
        <w:t xml:space="preserve"> </w:t>
      </w:r>
      <w:r w:rsidR="00834B43">
        <w:rPr>
          <w:rFonts w:cs="Arial"/>
          <w:color w:val="000000" w:themeColor="text1"/>
          <w:sz w:val="26"/>
          <w:szCs w:val="26"/>
          <w:lang w:val="es-MX"/>
        </w:rPr>
        <w:t xml:space="preserve">prejuicio </w:t>
      </w:r>
      <w:r w:rsidR="005F618A">
        <w:rPr>
          <w:rFonts w:cs="Arial"/>
          <w:color w:val="000000" w:themeColor="text1"/>
          <w:sz w:val="26"/>
          <w:szCs w:val="26"/>
          <w:lang w:val="es-MX"/>
        </w:rPr>
        <w:t>y</w:t>
      </w:r>
      <w:r w:rsidR="00881C1D">
        <w:rPr>
          <w:rFonts w:cs="Arial"/>
          <w:color w:val="000000" w:themeColor="text1"/>
          <w:sz w:val="26"/>
          <w:szCs w:val="26"/>
          <w:lang w:val="es-MX"/>
        </w:rPr>
        <w:t xml:space="preserve"> </w:t>
      </w:r>
      <w:r w:rsidR="00881C1D" w:rsidRPr="005B1BE0">
        <w:rPr>
          <w:rFonts w:cs="Arial"/>
          <w:color w:val="000000" w:themeColor="text1"/>
          <w:sz w:val="26"/>
          <w:szCs w:val="26"/>
          <w:lang w:val="es-MX"/>
        </w:rPr>
        <w:t xml:space="preserve">estigma </w:t>
      </w:r>
      <w:r w:rsidR="001027AE" w:rsidRPr="005B1BE0">
        <w:rPr>
          <w:rFonts w:cs="Arial"/>
          <w:color w:val="000000" w:themeColor="text1"/>
          <w:sz w:val="26"/>
          <w:szCs w:val="26"/>
          <w:lang w:val="es-MX"/>
        </w:rPr>
        <w:t xml:space="preserve">que solo </w:t>
      </w:r>
      <w:r w:rsidR="007728B0" w:rsidRPr="005B1BE0">
        <w:rPr>
          <w:rFonts w:cs="Arial"/>
          <w:color w:val="000000" w:themeColor="text1"/>
          <w:sz w:val="26"/>
          <w:szCs w:val="26"/>
          <w:lang w:val="es-MX"/>
        </w:rPr>
        <w:t>daña a mujeres trans</w:t>
      </w:r>
      <w:r w:rsidR="005F618A">
        <w:rPr>
          <w:rFonts w:cs="Arial"/>
          <w:color w:val="000000" w:themeColor="text1"/>
          <w:sz w:val="26"/>
          <w:szCs w:val="26"/>
          <w:lang w:val="es-MX"/>
        </w:rPr>
        <w:t>,</w:t>
      </w:r>
      <w:r w:rsidR="007728B0" w:rsidRPr="005B1BE0">
        <w:rPr>
          <w:rFonts w:cs="Arial"/>
          <w:color w:val="000000" w:themeColor="text1"/>
          <w:sz w:val="26"/>
          <w:szCs w:val="26"/>
          <w:lang w:val="es-MX"/>
        </w:rPr>
        <w:t xml:space="preserve"> como las quejosas</w:t>
      </w:r>
      <w:r w:rsidR="00A23F14">
        <w:rPr>
          <w:rStyle w:val="Refdenotaalpie"/>
          <w:rFonts w:cs="Arial"/>
          <w:color w:val="000000" w:themeColor="text1"/>
          <w:sz w:val="26"/>
          <w:szCs w:val="26"/>
          <w:lang w:val="es-MX"/>
        </w:rPr>
        <w:footnoteReference w:id="91"/>
      </w:r>
      <w:r w:rsidR="007728B0" w:rsidRPr="005B1BE0">
        <w:rPr>
          <w:rFonts w:cs="Arial"/>
          <w:color w:val="000000" w:themeColor="text1"/>
          <w:sz w:val="26"/>
          <w:szCs w:val="26"/>
          <w:lang w:val="es-MX"/>
        </w:rPr>
        <w:t>.</w:t>
      </w:r>
    </w:p>
    <w:p w14:paraId="15CEF33A" w14:textId="77777777" w:rsidR="00376B32" w:rsidRPr="00211557" w:rsidRDefault="00376B32" w:rsidP="001A476B">
      <w:pPr>
        <w:pStyle w:val="corte4fondo"/>
        <w:ind w:right="51" w:hanging="567"/>
        <w:rPr>
          <w:rFonts w:cs="Arial"/>
          <w:sz w:val="26"/>
          <w:szCs w:val="26"/>
          <w:lang w:val="es-MX"/>
        </w:rPr>
      </w:pPr>
    </w:p>
    <w:p w14:paraId="5CC5607A" w14:textId="453BA906" w:rsidR="00291003" w:rsidRPr="00062065" w:rsidRDefault="000D27BE" w:rsidP="001A476B">
      <w:pPr>
        <w:pStyle w:val="corte4fondo"/>
        <w:numPr>
          <w:ilvl w:val="0"/>
          <w:numId w:val="2"/>
        </w:numPr>
        <w:ind w:left="0" w:right="51" w:hanging="567"/>
        <w:rPr>
          <w:rFonts w:cs="Arial"/>
          <w:sz w:val="26"/>
          <w:szCs w:val="26"/>
        </w:rPr>
      </w:pPr>
      <w:r w:rsidRPr="00062065">
        <w:rPr>
          <w:rFonts w:cs="Arial"/>
          <w:sz w:val="26"/>
          <w:szCs w:val="26"/>
        </w:rPr>
        <w:t>Por todo lo anterior</w:t>
      </w:r>
      <w:r w:rsidR="001062BF" w:rsidRPr="00062065">
        <w:rPr>
          <w:rFonts w:cs="Arial"/>
          <w:sz w:val="26"/>
          <w:szCs w:val="26"/>
        </w:rPr>
        <w:t xml:space="preserve">, </w:t>
      </w:r>
      <w:r w:rsidR="00027C96" w:rsidRPr="00062065">
        <w:rPr>
          <w:rFonts w:cs="Arial"/>
          <w:sz w:val="26"/>
          <w:szCs w:val="26"/>
        </w:rPr>
        <w:t xml:space="preserve">desde una perspectiva de género, </w:t>
      </w:r>
      <w:r w:rsidR="00D65733" w:rsidRPr="00062065">
        <w:rPr>
          <w:rFonts w:cs="Arial"/>
          <w:sz w:val="26"/>
          <w:szCs w:val="26"/>
        </w:rPr>
        <w:t xml:space="preserve">esta Suprema Corte </w:t>
      </w:r>
      <w:r w:rsidRPr="00062065">
        <w:rPr>
          <w:rFonts w:cs="Arial"/>
          <w:sz w:val="26"/>
          <w:szCs w:val="26"/>
        </w:rPr>
        <w:t>concluye</w:t>
      </w:r>
      <w:r w:rsidR="00D65733" w:rsidRPr="00062065">
        <w:rPr>
          <w:rFonts w:cs="Arial"/>
          <w:sz w:val="26"/>
          <w:szCs w:val="26"/>
        </w:rPr>
        <w:t xml:space="preserve"> que </w:t>
      </w:r>
      <w:r w:rsidR="001062BF" w:rsidRPr="00062065">
        <w:rPr>
          <w:rFonts w:cs="Arial"/>
          <w:sz w:val="26"/>
          <w:szCs w:val="26"/>
        </w:rPr>
        <w:t>la</w:t>
      </w:r>
      <w:r w:rsidR="001E337E" w:rsidRPr="00062065">
        <w:rPr>
          <w:rFonts w:cs="Arial"/>
          <w:sz w:val="26"/>
          <w:szCs w:val="26"/>
        </w:rPr>
        <w:t xml:space="preserve"> obstaculización </w:t>
      </w:r>
      <w:r w:rsidR="005759AC" w:rsidRPr="00062065">
        <w:rPr>
          <w:rFonts w:cs="Arial"/>
          <w:sz w:val="26"/>
          <w:szCs w:val="26"/>
        </w:rPr>
        <w:t>de ingresar a</w:t>
      </w:r>
      <w:r w:rsidR="00601A24" w:rsidRPr="00062065">
        <w:rPr>
          <w:rFonts w:cs="Arial"/>
          <w:sz w:val="26"/>
          <w:szCs w:val="26"/>
        </w:rPr>
        <w:t xml:space="preserve">l sanitario de mujeres </w:t>
      </w:r>
      <w:r w:rsidR="00D025A4" w:rsidRPr="00062065">
        <w:rPr>
          <w:rFonts w:cs="Arial"/>
          <w:sz w:val="26"/>
          <w:szCs w:val="26"/>
        </w:rPr>
        <w:t xml:space="preserve">del centro </w:t>
      </w:r>
      <w:r w:rsidR="00D025A4" w:rsidRPr="00A36289">
        <w:rPr>
          <w:rFonts w:cs="Arial"/>
          <w:sz w:val="26"/>
          <w:szCs w:val="26"/>
        </w:rPr>
        <w:t xml:space="preserve">comercial “Reforma 222” </w:t>
      </w:r>
      <w:r w:rsidR="00BF2111" w:rsidRPr="00A36289">
        <w:rPr>
          <w:rFonts w:cs="Arial"/>
          <w:sz w:val="26"/>
          <w:szCs w:val="26"/>
        </w:rPr>
        <w:t>constituyó</w:t>
      </w:r>
      <w:r w:rsidR="00426776" w:rsidRPr="00A36289">
        <w:rPr>
          <w:rFonts w:cs="Arial"/>
          <w:sz w:val="26"/>
          <w:szCs w:val="26"/>
        </w:rPr>
        <w:t xml:space="preserve"> </w:t>
      </w:r>
      <w:r w:rsidR="00426776" w:rsidRPr="00062065">
        <w:rPr>
          <w:rFonts w:cs="Arial"/>
          <w:sz w:val="26"/>
          <w:szCs w:val="26"/>
        </w:rPr>
        <w:t>un acto de discriminación que desconoció el derecho a la identidad</w:t>
      </w:r>
      <w:r w:rsidR="00E32DE7">
        <w:rPr>
          <w:rFonts w:cs="Arial"/>
          <w:sz w:val="26"/>
          <w:szCs w:val="26"/>
        </w:rPr>
        <w:t xml:space="preserve"> y expresión</w:t>
      </w:r>
      <w:r w:rsidR="00426776" w:rsidRPr="00062065">
        <w:rPr>
          <w:rFonts w:cs="Arial"/>
          <w:sz w:val="26"/>
          <w:szCs w:val="26"/>
        </w:rPr>
        <w:t xml:space="preserve"> de género de las señoras </w:t>
      </w:r>
      <w:r w:rsidR="00426776" w:rsidRPr="00062065">
        <w:rPr>
          <w:rFonts w:cs="Arial"/>
          <w:color w:val="FF0000"/>
          <w:sz w:val="26"/>
          <w:szCs w:val="26"/>
        </w:rPr>
        <w:t xml:space="preserve">DF </w:t>
      </w:r>
      <w:r w:rsidR="00426776" w:rsidRPr="00062065">
        <w:rPr>
          <w:rFonts w:cs="Arial"/>
          <w:color w:val="000000" w:themeColor="text1"/>
          <w:sz w:val="26"/>
          <w:szCs w:val="26"/>
        </w:rPr>
        <w:t xml:space="preserve">y </w:t>
      </w:r>
      <w:r w:rsidR="00426776" w:rsidRPr="00062065">
        <w:rPr>
          <w:rFonts w:cs="Arial"/>
          <w:color w:val="FF0000"/>
          <w:sz w:val="26"/>
          <w:szCs w:val="26"/>
        </w:rPr>
        <w:t>MF</w:t>
      </w:r>
      <w:r w:rsidR="00587CA5">
        <w:rPr>
          <w:rFonts w:cs="Arial"/>
          <w:color w:val="000000" w:themeColor="text1"/>
          <w:sz w:val="26"/>
          <w:szCs w:val="26"/>
        </w:rPr>
        <w:t>.</w:t>
      </w:r>
      <w:r w:rsidR="007A0EC1" w:rsidRPr="00BA7AA0" w:rsidDel="00751C9F">
        <w:rPr>
          <w:rFonts w:cs="Arial"/>
          <w:color w:val="000000" w:themeColor="text1"/>
          <w:sz w:val="26"/>
          <w:szCs w:val="26"/>
        </w:rPr>
        <w:t xml:space="preserve"> </w:t>
      </w:r>
      <w:r w:rsidR="001305AC" w:rsidRPr="00BA7AA0">
        <w:rPr>
          <w:rFonts w:cs="Arial"/>
          <w:color w:val="000000" w:themeColor="text1"/>
          <w:sz w:val="26"/>
          <w:szCs w:val="26"/>
        </w:rPr>
        <w:t>E</w:t>
      </w:r>
      <w:r w:rsidR="00AF599A">
        <w:rPr>
          <w:rFonts w:cs="Arial"/>
          <w:color w:val="000000" w:themeColor="text1"/>
          <w:sz w:val="26"/>
          <w:szCs w:val="26"/>
        </w:rPr>
        <w:t>ntonces</w:t>
      </w:r>
      <w:r w:rsidR="001305AC" w:rsidRPr="00062065">
        <w:rPr>
          <w:rFonts w:cs="Arial"/>
          <w:color w:val="000000" w:themeColor="text1"/>
          <w:sz w:val="26"/>
          <w:szCs w:val="26"/>
        </w:rPr>
        <w:t xml:space="preserve">, como </w:t>
      </w:r>
      <w:r w:rsidR="00DD0C76" w:rsidRPr="00062065">
        <w:rPr>
          <w:rFonts w:cs="Arial"/>
          <w:color w:val="000000" w:themeColor="text1"/>
          <w:sz w:val="26"/>
          <w:szCs w:val="26"/>
        </w:rPr>
        <w:t xml:space="preserve">acertadamente </w:t>
      </w:r>
      <w:r w:rsidR="001153A0">
        <w:rPr>
          <w:rFonts w:cs="Arial"/>
          <w:color w:val="000000" w:themeColor="text1"/>
          <w:sz w:val="26"/>
          <w:szCs w:val="26"/>
        </w:rPr>
        <w:t>concluyó</w:t>
      </w:r>
      <w:r w:rsidR="001153A0" w:rsidRPr="00062065">
        <w:rPr>
          <w:rFonts w:cs="Arial"/>
          <w:color w:val="000000" w:themeColor="text1"/>
          <w:sz w:val="26"/>
          <w:szCs w:val="26"/>
        </w:rPr>
        <w:t xml:space="preserve"> </w:t>
      </w:r>
      <w:r w:rsidR="001305AC" w:rsidRPr="00062065">
        <w:rPr>
          <w:rFonts w:cs="Arial"/>
          <w:color w:val="000000" w:themeColor="text1"/>
          <w:sz w:val="26"/>
          <w:szCs w:val="26"/>
        </w:rPr>
        <w:t xml:space="preserve">la sala </w:t>
      </w:r>
      <w:r w:rsidR="00D65733" w:rsidRPr="00062065">
        <w:rPr>
          <w:rFonts w:cs="Arial"/>
          <w:color w:val="000000" w:themeColor="text1"/>
          <w:sz w:val="26"/>
          <w:szCs w:val="26"/>
        </w:rPr>
        <w:t>de apelación</w:t>
      </w:r>
      <w:r w:rsidR="001305AC" w:rsidRPr="00062065">
        <w:rPr>
          <w:rFonts w:cs="Arial"/>
          <w:color w:val="000000" w:themeColor="text1"/>
          <w:sz w:val="26"/>
          <w:szCs w:val="26"/>
        </w:rPr>
        <w:t xml:space="preserve">, </w:t>
      </w:r>
      <w:r w:rsidR="00F21EF9">
        <w:rPr>
          <w:rFonts w:cs="Arial"/>
          <w:color w:val="000000" w:themeColor="text1"/>
          <w:sz w:val="26"/>
          <w:szCs w:val="26"/>
        </w:rPr>
        <w:t>este</w:t>
      </w:r>
      <w:r w:rsidR="00F21EF9" w:rsidRPr="00062065">
        <w:rPr>
          <w:rFonts w:cs="Arial"/>
          <w:color w:val="000000" w:themeColor="text1"/>
          <w:sz w:val="26"/>
          <w:szCs w:val="26"/>
        </w:rPr>
        <w:t xml:space="preserve"> </w:t>
      </w:r>
      <w:r w:rsidR="007A0EC1" w:rsidRPr="00062065">
        <w:rPr>
          <w:rFonts w:cs="Arial"/>
          <w:color w:val="000000" w:themeColor="text1"/>
          <w:sz w:val="26"/>
          <w:szCs w:val="26"/>
        </w:rPr>
        <w:lastRenderedPageBreak/>
        <w:t>acto discriminatorio constituye</w:t>
      </w:r>
      <w:r w:rsidR="00426776" w:rsidRPr="00062065">
        <w:rPr>
          <w:rFonts w:cs="Arial"/>
          <w:color w:val="000000" w:themeColor="text1"/>
          <w:sz w:val="26"/>
          <w:szCs w:val="26"/>
        </w:rPr>
        <w:t xml:space="preserve"> un hecho ilícito en el marco de la acción civil por daño moral.</w:t>
      </w:r>
    </w:p>
    <w:p w14:paraId="54705674" w14:textId="77777777" w:rsidR="001D38D9" w:rsidRPr="00062065" w:rsidRDefault="001D38D9" w:rsidP="001A476B">
      <w:pPr>
        <w:pStyle w:val="corte4fondo"/>
        <w:ind w:right="51" w:hanging="567"/>
        <w:rPr>
          <w:rFonts w:cs="Arial"/>
          <w:sz w:val="26"/>
          <w:szCs w:val="26"/>
        </w:rPr>
      </w:pPr>
    </w:p>
    <w:p w14:paraId="44EB162A" w14:textId="57475799" w:rsidR="007C5F3E" w:rsidRPr="00062065" w:rsidRDefault="00BB0C23" w:rsidP="001A476B">
      <w:pPr>
        <w:pStyle w:val="corte4fondo"/>
        <w:numPr>
          <w:ilvl w:val="0"/>
          <w:numId w:val="2"/>
        </w:numPr>
        <w:ind w:left="0" w:right="51" w:hanging="567"/>
        <w:rPr>
          <w:rFonts w:cs="Arial"/>
          <w:sz w:val="26"/>
          <w:szCs w:val="26"/>
        </w:rPr>
      </w:pPr>
      <w:r>
        <w:rPr>
          <w:rFonts w:cs="Arial"/>
          <w:sz w:val="26"/>
          <w:szCs w:val="26"/>
        </w:rPr>
        <w:t>Por otra parte</w:t>
      </w:r>
      <w:r w:rsidR="00F86684" w:rsidRPr="00062065">
        <w:rPr>
          <w:rFonts w:cs="Arial"/>
          <w:sz w:val="26"/>
          <w:szCs w:val="26"/>
        </w:rPr>
        <w:t xml:space="preserve">, este Tribunal advierte que, en su demanda de amparo, las quejosas combaten las consideraciones de la sala responsable, por las que sostuvo que del expediente no se desprendía que los hechos ocurridos en el módulo de quejas del centro comercial </w:t>
      </w:r>
      <w:r w:rsidR="00F86684" w:rsidRPr="00A36289">
        <w:rPr>
          <w:rFonts w:cs="Arial"/>
          <w:sz w:val="26"/>
          <w:szCs w:val="26"/>
        </w:rPr>
        <w:t xml:space="preserve">Reforma 222 </w:t>
      </w:r>
      <w:r w:rsidR="00F86684" w:rsidRPr="00062065">
        <w:rPr>
          <w:rFonts w:cs="Arial"/>
          <w:sz w:val="26"/>
          <w:szCs w:val="26"/>
        </w:rPr>
        <w:t>constituyer</w:t>
      </w:r>
      <w:r w:rsidR="00E21C76" w:rsidRPr="00062065">
        <w:rPr>
          <w:rFonts w:cs="Arial"/>
          <w:sz w:val="26"/>
          <w:szCs w:val="26"/>
        </w:rPr>
        <w:t>a</w:t>
      </w:r>
      <w:r w:rsidR="00F86684" w:rsidRPr="00062065">
        <w:rPr>
          <w:rFonts w:cs="Arial"/>
          <w:sz w:val="26"/>
          <w:szCs w:val="26"/>
        </w:rPr>
        <w:t xml:space="preserve">n actos discriminatorios, sino únicamente una atención </w:t>
      </w:r>
      <w:r w:rsidR="002D2259">
        <w:rPr>
          <w:rFonts w:cs="Arial"/>
          <w:sz w:val="26"/>
          <w:szCs w:val="26"/>
        </w:rPr>
        <w:t>“</w:t>
      </w:r>
      <w:r w:rsidR="00F86684" w:rsidRPr="00062065">
        <w:rPr>
          <w:rFonts w:cs="Arial"/>
          <w:sz w:val="26"/>
          <w:szCs w:val="26"/>
        </w:rPr>
        <w:t>carente de diligencia</w:t>
      </w:r>
      <w:r w:rsidR="002D2259">
        <w:rPr>
          <w:rFonts w:cs="Arial"/>
          <w:sz w:val="26"/>
          <w:szCs w:val="26"/>
        </w:rPr>
        <w:t>”</w:t>
      </w:r>
      <w:r w:rsidR="00F86684" w:rsidRPr="00062065">
        <w:rPr>
          <w:rFonts w:cs="Arial"/>
          <w:sz w:val="26"/>
          <w:szCs w:val="26"/>
        </w:rPr>
        <w:t xml:space="preserve"> por parte del personal</w:t>
      </w:r>
      <w:r w:rsidR="00F27EA3">
        <w:rPr>
          <w:rFonts w:cs="Arial"/>
          <w:sz w:val="26"/>
          <w:szCs w:val="26"/>
        </w:rPr>
        <w:t xml:space="preserve"> del centro comercial</w:t>
      </w:r>
      <w:r w:rsidR="00F86684" w:rsidRPr="00062065">
        <w:rPr>
          <w:rFonts w:cs="Arial"/>
          <w:sz w:val="26"/>
          <w:szCs w:val="26"/>
        </w:rPr>
        <w:t xml:space="preserve">. </w:t>
      </w:r>
      <w:r w:rsidR="00E21C76" w:rsidRPr="00062065">
        <w:rPr>
          <w:rFonts w:cs="Arial"/>
          <w:sz w:val="26"/>
          <w:szCs w:val="26"/>
        </w:rPr>
        <w:t>L</w:t>
      </w:r>
      <w:r w:rsidR="00F86684" w:rsidRPr="00062065">
        <w:rPr>
          <w:rFonts w:cs="Arial"/>
          <w:sz w:val="26"/>
          <w:szCs w:val="26"/>
        </w:rPr>
        <w:t xml:space="preserve">as quejosas sostienen que, contrario a lo estimado por la sala de apelación, el </w:t>
      </w:r>
      <w:r w:rsidR="00DC63A5" w:rsidRPr="00851D58">
        <w:rPr>
          <w:rFonts w:cs="Arial"/>
          <w:sz w:val="26"/>
          <w:szCs w:val="26"/>
        </w:rPr>
        <w:t xml:space="preserve">mal </w:t>
      </w:r>
      <w:r w:rsidR="00F86684" w:rsidRPr="00851D58">
        <w:rPr>
          <w:rFonts w:cs="Arial"/>
          <w:sz w:val="26"/>
          <w:szCs w:val="26"/>
        </w:rPr>
        <w:t>trato</w:t>
      </w:r>
      <w:r w:rsidR="00F86684" w:rsidRPr="00062065">
        <w:rPr>
          <w:rFonts w:cs="Arial"/>
          <w:sz w:val="26"/>
          <w:szCs w:val="26"/>
        </w:rPr>
        <w:t xml:space="preserve"> en el módulo de quejas se basó en un prejuicio o estigma social por razón de género, por lo que fue discriminatorio.</w:t>
      </w:r>
    </w:p>
    <w:p w14:paraId="63D2E042" w14:textId="77777777" w:rsidR="00D90F7A" w:rsidRPr="00062065" w:rsidRDefault="00D90F7A" w:rsidP="001A476B">
      <w:pPr>
        <w:pStyle w:val="corte4fondo"/>
        <w:ind w:right="51" w:hanging="567"/>
        <w:rPr>
          <w:sz w:val="26"/>
          <w:szCs w:val="26"/>
        </w:rPr>
      </w:pPr>
    </w:p>
    <w:p w14:paraId="524132C2" w14:textId="6C6E0BF4" w:rsidR="005255FC" w:rsidRPr="00062065" w:rsidRDefault="00D90F7A" w:rsidP="001A476B">
      <w:pPr>
        <w:pStyle w:val="Prrafodelista"/>
        <w:numPr>
          <w:ilvl w:val="0"/>
          <w:numId w:val="2"/>
        </w:numPr>
        <w:spacing w:line="360" w:lineRule="auto"/>
        <w:ind w:left="0" w:hanging="567"/>
        <w:contextualSpacing/>
        <w:jc w:val="both"/>
        <w:rPr>
          <w:rFonts w:ascii="Arial" w:hAnsi="Arial" w:cs="Arial"/>
          <w:b/>
          <w:sz w:val="26"/>
          <w:szCs w:val="26"/>
          <w:lang w:val="es-ES"/>
        </w:rPr>
      </w:pPr>
      <w:r w:rsidRPr="00062065">
        <w:rPr>
          <w:rFonts w:ascii="Arial" w:hAnsi="Arial" w:cs="Arial"/>
          <w:sz w:val="26"/>
          <w:szCs w:val="26"/>
          <w:lang w:val="es-ES"/>
        </w:rPr>
        <w:t xml:space="preserve">Esta </w:t>
      </w:r>
      <w:r w:rsidR="00D52C23">
        <w:rPr>
          <w:rFonts w:ascii="Arial" w:hAnsi="Arial" w:cs="Arial"/>
          <w:sz w:val="26"/>
          <w:szCs w:val="26"/>
          <w:lang w:val="es-ES"/>
        </w:rPr>
        <w:t xml:space="preserve">Primera </w:t>
      </w:r>
      <w:r w:rsidR="00482A18" w:rsidRPr="00062065">
        <w:rPr>
          <w:rFonts w:ascii="Arial" w:hAnsi="Arial" w:cs="Arial"/>
          <w:sz w:val="26"/>
          <w:szCs w:val="26"/>
          <w:lang w:val="es-ES"/>
        </w:rPr>
        <w:t>S</w:t>
      </w:r>
      <w:r w:rsidR="00D52C23">
        <w:rPr>
          <w:rFonts w:ascii="Arial" w:hAnsi="Arial" w:cs="Arial"/>
          <w:sz w:val="26"/>
          <w:szCs w:val="26"/>
          <w:lang w:val="es-ES"/>
        </w:rPr>
        <w:t>ala</w:t>
      </w:r>
      <w:r w:rsidRPr="00062065">
        <w:rPr>
          <w:rFonts w:ascii="Arial" w:hAnsi="Arial" w:cs="Arial"/>
          <w:sz w:val="26"/>
          <w:szCs w:val="26"/>
          <w:lang w:val="es-ES"/>
        </w:rPr>
        <w:t xml:space="preserve"> </w:t>
      </w:r>
      <w:r w:rsidR="000B1F05">
        <w:rPr>
          <w:rFonts w:ascii="Arial" w:hAnsi="Arial" w:cs="Arial"/>
          <w:sz w:val="26"/>
          <w:szCs w:val="26"/>
          <w:lang w:val="es-ES"/>
        </w:rPr>
        <w:t xml:space="preserve">de la Suprema Corte </w:t>
      </w:r>
      <w:r w:rsidRPr="00062065">
        <w:rPr>
          <w:rFonts w:ascii="Arial" w:hAnsi="Arial" w:cs="Arial"/>
          <w:sz w:val="26"/>
          <w:szCs w:val="26"/>
          <w:lang w:val="es-ES"/>
        </w:rPr>
        <w:t xml:space="preserve">considera que la </w:t>
      </w:r>
      <w:r w:rsidR="007C5F3E" w:rsidRPr="00062065">
        <w:rPr>
          <w:rFonts w:ascii="Arial" w:hAnsi="Arial" w:cs="Arial"/>
          <w:sz w:val="26"/>
          <w:szCs w:val="26"/>
          <w:lang w:val="es-ES"/>
        </w:rPr>
        <w:t>s</w:t>
      </w:r>
      <w:r w:rsidRPr="00062065">
        <w:rPr>
          <w:rFonts w:ascii="Arial" w:hAnsi="Arial" w:cs="Arial"/>
          <w:sz w:val="26"/>
          <w:szCs w:val="26"/>
          <w:lang w:val="es-ES"/>
        </w:rPr>
        <w:t xml:space="preserve">ala responsable no </w:t>
      </w:r>
      <w:r w:rsidR="00482A18" w:rsidRPr="00062065">
        <w:rPr>
          <w:rFonts w:ascii="Arial" w:hAnsi="Arial" w:cs="Arial"/>
          <w:sz w:val="26"/>
          <w:szCs w:val="26"/>
          <w:lang w:val="es-ES"/>
        </w:rPr>
        <w:t>calificó</w:t>
      </w:r>
      <w:r w:rsidR="00961998" w:rsidRPr="00062065">
        <w:rPr>
          <w:rFonts w:ascii="Arial" w:hAnsi="Arial" w:cs="Arial"/>
          <w:sz w:val="26"/>
          <w:szCs w:val="26"/>
          <w:lang w:val="es-ES"/>
        </w:rPr>
        <w:t xml:space="preserve"> los hechos reclamados</w:t>
      </w:r>
      <w:r w:rsidR="00482A18" w:rsidRPr="00062065">
        <w:rPr>
          <w:rFonts w:ascii="Arial" w:hAnsi="Arial" w:cs="Arial"/>
          <w:sz w:val="26"/>
          <w:szCs w:val="26"/>
          <w:lang w:val="es-ES"/>
        </w:rPr>
        <w:t xml:space="preserve"> con una perspectiva de género</w:t>
      </w:r>
      <w:r w:rsidR="00961998" w:rsidRPr="00062065">
        <w:rPr>
          <w:rFonts w:ascii="Arial" w:hAnsi="Arial" w:cs="Arial"/>
          <w:sz w:val="26"/>
          <w:szCs w:val="26"/>
          <w:lang w:val="es-ES"/>
        </w:rPr>
        <w:t xml:space="preserve">, pues omitió valorar el contexto en el que </w:t>
      </w:r>
      <w:r w:rsidR="007C5F3E" w:rsidRPr="00062065">
        <w:rPr>
          <w:rFonts w:ascii="Arial" w:hAnsi="Arial" w:cs="Arial"/>
          <w:sz w:val="26"/>
          <w:szCs w:val="26"/>
          <w:lang w:val="es-ES"/>
        </w:rPr>
        <w:t xml:space="preserve">tanto </w:t>
      </w:r>
      <w:r w:rsidR="007C6A5C" w:rsidRPr="00062065">
        <w:rPr>
          <w:rFonts w:ascii="Arial" w:hAnsi="Arial" w:cs="Arial"/>
          <w:sz w:val="26"/>
          <w:szCs w:val="26"/>
          <w:lang w:val="es-ES"/>
        </w:rPr>
        <w:t xml:space="preserve">la señora </w:t>
      </w:r>
      <w:r w:rsidR="007C6A5C" w:rsidRPr="00062065">
        <w:rPr>
          <w:rFonts w:ascii="Arial" w:hAnsi="Arial" w:cs="Arial"/>
          <w:color w:val="FF0000"/>
          <w:sz w:val="26"/>
          <w:szCs w:val="26"/>
          <w:lang w:val="es-ES"/>
        </w:rPr>
        <w:t>GB</w:t>
      </w:r>
      <w:r w:rsidR="007C5F3E" w:rsidRPr="00062065">
        <w:rPr>
          <w:rFonts w:ascii="Arial" w:hAnsi="Arial" w:cs="Arial"/>
          <w:color w:val="000000" w:themeColor="text1"/>
          <w:sz w:val="26"/>
          <w:szCs w:val="26"/>
          <w:lang w:val="es-ES"/>
        </w:rPr>
        <w:t>, como las señoras</w:t>
      </w:r>
      <w:r w:rsidR="007C5F3E" w:rsidRPr="00062065">
        <w:rPr>
          <w:rFonts w:ascii="Arial" w:hAnsi="Arial" w:cs="Arial"/>
          <w:color w:val="FF0000"/>
          <w:sz w:val="26"/>
          <w:szCs w:val="26"/>
          <w:lang w:val="es-ES"/>
        </w:rPr>
        <w:t xml:space="preserve"> DF </w:t>
      </w:r>
      <w:r w:rsidR="007C5F3E" w:rsidRPr="00062065">
        <w:rPr>
          <w:rFonts w:ascii="Arial" w:hAnsi="Arial" w:cs="Arial"/>
          <w:color w:val="000000" w:themeColor="text1"/>
          <w:sz w:val="26"/>
          <w:szCs w:val="26"/>
          <w:lang w:val="es-ES"/>
        </w:rPr>
        <w:t xml:space="preserve">y </w:t>
      </w:r>
      <w:r w:rsidR="007C5F3E" w:rsidRPr="00062065">
        <w:rPr>
          <w:rFonts w:ascii="Arial" w:hAnsi="Arial" w:cs="Arial"/>
          <w:color w:val="FF0000"/>
          <w:sz w:val="26"/>
          <w:szCs w:val="26"/>
          <w:lang w:val="es-ES"/>
        </w:rPr>
        <w:t xml:space="preserve">MF </w:t>
      </w:r>
      <w:r w:rsidR="007C6A5C" w:rsidRPr="00062065">
        <w:rPr>
          <w:rFonts w:ascii="Arial" w:hAnsi="Arial" w:cs="Arial"/>
          <w:sz w:val="26"/>
          <w:szCs w:val="26"/>
          <w:lang w:val="es-ES"/>
        </w:rPr>
        <w:t>intent</w:t>
      </w:r>
      <w:r w:rsidR="007C5F3E" w:rsidRPr="00062065">
        <w:rPr>
          <w:rFonts w:ascii="Arial" w:hAnsi="Arial" w:cs="Arial"/>
          <w:sz w:val="26"/>
          <w:szCs w:val="26"/>
          <w:lang w:val="es-ES"/>
        </w:rPr>
        <w:t>aron</w:t>
      </w:r>
      <w:r w:rsidR="007C6A5C" w:rsidRPr="00062065">
        <w:rPr>
          <w:rFonts w:ascii="Arial" w:hAnsi="Arial" w:cs="Arial"/>
          <w:sz w:val="26"/>
          <w:szCs w:val="26"/>
          <w:lang w:val="es-ES"/>
        </w:rPr>
        <w:t xml:space="preserve"> presentar </w:t>
      </w:r>
      <w:r w:rsidR="007D4998" w:rsidRPr="00062065">
        <w:rPr>
          <w:rFonts w:ascii="Arial" w:hAnsi="Arial" w:cs="Arial"/>
          <w:sz w:val="26"/>
          <w:szCs w:val="26"/>
          <w:lang w:val="es-ES"/>
        </w:rPr>
        <w:t>la</w:t>
      </w:r>
      <w:r w:rsidR="007C6A5C" w:rsidRPr="00062065">
        <w:rPr>
          <w:rFonts w:ascii="Arial" w:hAnsi="Arial" w:cs="Arial"/>
          <w:sz w:val="26"/>
          <w:szCs w:val="26"/>
          <w:lang w:val="es-ES"/>
        </w:rPr>
        <w:t xml:space="preserve"> queja</w:t>
      </w:r>
      <w:r w:rsidR="007C5F3E" w:rsidRPr="00062065">
        <w:rPr>
          <w:rFonts w:ascii="Arial" w:hAnsi="Arial" w:cs="Arial"/>
          <w:sz w:val="26"/>
          <w:szCs w:val="26"/>
          <w:lang w:val="es-ES"/>
        </w:rPr>
        <w:t>,</w:t>
      </w:r>
      <w:r w:rsidR="007C6A5C" w:rsidRPr="00062065">
        <w:rPr>
          <w:rFonts w:ascii="Arial" w:hAnsi="Arial" w:cs="Arial"/>
          <w:sz w:val="26"/>
          <w:szCs w:val="26"/>
          <w:lang w:val="es-ES"/>
        </w:rPr>
        <w:t xml:space="preserve"> y la</w:t>
      </w:r>
      <w:r w:rsidR="00300957" w:rsidRPr="00062065">
        <w:rPr>
          <w:rFonts w:ascii="Arial" w:hAnsi="Arial" w:cs="Arial"/>
          <w:sz w:val="26"/>
          <w:szCs w:val="26"/>
          <w:lang w:val="es-ES"/>
        </w:rPr>
        <w:t>s implicaciones de la</w:t>
      </w:r>
      <w:r w:rsidR="007C6A5C" w:rsidRPr="00062065">
        <w:rPr>
          <w:rFonts w:ascii="Arial" w:hAnsi="Arial" w:cs="Arial"/>
          <w:sz w:val="26"/>
          <w:szCs w:val="26"/>
          <w:lang w:val="es-ES"/>
        </w:rPr>
        <w:t xml:space="preserve"> respuesta por parte de</w:t>
      </w:r>
      <w:r w:rsidR="009D5D90" w:rsidRPr="00062065">
        <w:rPr>
          <w:rFonts w:ascii="Arial" w:hAnsi="Arial" w:cs="Arial"/>
          <w:sz w:val="26"/>
          <w:szCs w:val="26"/>
          <w:lang w:val="es-ES"/>
        </w:rPr>
        <w:t>l personal de</w:t>
      </w:r>
      <w:r w:rsidR="00B71AEB" w:rsidRPr="00062065">
        <w:rPr>
          <w:rFonts w:ascii="Arial" w:hAnsi="Arial" w:cs="Arial"/>
          <w:sz w:val="26"/>
          <w:szCs w:val="26"/>
          <w:lang w:val="es-ES"/>
        </w:rPr>
        <w:t>l centro comercial</w:t>
      </w:r>
      <w:r w:rsidR="007C6A5C" w:rsidRPr="00062065">
        <w:rPr>
          <w:rFonts w:ascii="Arial" w:hAnsi="Arial" w:cs="Arial"/>
          <w:sz w:val="26"/>
          <w:szCs w:val="26"/>
          <w:lang w:val="es-ES"/>
        </w:rPr>
        <w:t>.</w:t>
      </w:r>
      <w:r w:rsidR="007D4998" w:rsidRPr="00062065">
        <w:rPr>
          <w:rFonts w:ascii="Arial" w:hAnsi="Arial" w:cs="Arial"/>
          <w:sz w:val="26"/>
          <w:szCs w:val="26"/>
          <w:lang w:val="es-ES"/>
        </w:rPr>
        <w:t xml:space="preserve"> Un debido análisis a partir de ese enfoque le habría llevado a considerar que el trato </w:t>
      </w:r>
      <w:r w:rsidR="002079A6" w:rsidRPr="00062065">
        <w:rPr>
          <w:rFonts w:ascii="Arial" w:hAnsi="Arial" w:cs="Arial"/>
          <w:sz w:val="26"/>
          <w:szCs w:val="26"/>
          <w:lang w:val="es-ES"/>
        </w:rPr>
        <w:t>d</w:t>
      </w:r>
      <w:r w:rsidR="005255FC" w:rsidRPr="00062065">
        <w:rPr>
          <w:rFonts w:ascii="Arial" w:hAnsi="Arial" w:cs="Arial"/>
          <w:sz w:val="26"/>
          <w:szCs w:val="26"/>
          <w:lang w:val="es-ES"/>
        </w:rPr>
        <w:t>el personal del módulo de quejas y de seguridad</w:t>
      </w:r>
      <w:r w:rsidR="00300957" w:rsidRPr="00062065">
        <w:rPr>
          <w:rFonts w:ascii="Arial" w:hAnsi="Arial" w:cs="Arial"/>
          <w:sz w:val="26"/>
          <w:szCs w:val="26"/>
          <w:lang w:val="es-ES"/>
        </w:rPr>
        <w:t xml:space="preserve"> </w:t>
      </w:r>
      <w:r w:rsidR="00C82973" w:rsidRPr="00062065">
        <w:rPr>
          <w:rFonts w:ascii="Arial" w:hAnsi="Arial" w:cs="Arial"/>
          <w:sz w:val="26"/>
          <w:szCs w:val="26"/>
          <w:lang w:val="es-ES"/>
        </w:rPr>
        <w:t xml:space="preserve">implicó </w:t>
      </w:r>
      <w:r w:rsidR="007F41A6" w:rsidRPr="00062065">
        <w:rPr>
          <w:rFonts w:ascii="Arial" w:hAnsi="Arial" w:cs="Arial"/>
          <w:sz w:val="26"/>
          <w:szCs w:val="26"/>
          <w:lang w:val="es-ES"/>
        </w:rPr>
        <w:t xml:space="preserve">menospreciar </w:t>
      </w:r>
      <w:r w:rsidR="009C0C4D" w:rsidRPr="00062065">
        <w:rPr>
          <w:rFonts w:ascii="Arial" w:hAnsi="Arial" w:cs="Arial"/>
          <w:sz w:val="26"/>
          <w:szCs w:val="26"/>
          <w:lang w:val="es-ES"/>
        </w:rPr>
        <w:t>un reclamo con el que las quejosas pretendían hacer respetar su identidad de género.</w:t>
      </w:r>
    </w:p>
    <w:p w14:paraId="53D6A412" w14:textId="77777777" w:rsidR="00115D93" w:rsidRPr="00062065" w:rsidRDefault="00115D93" w:rsidP="001A476B">
      <w:pPr>
        <w:pStyle w:val="corte4fondo"/>
        <w:ind w:right="51" w:hanging="567"/>
        <w:rPr>
          <w:b/>
          <w:bCs/>
          <w:color w:val="000000" w:themeColor="text1"/>
          <w:sz w:val="26"/>
          <w:szCs w:val="26"/>
        </w:rPr>
      </w:pPr>
    </w:p>
    <w:p w14:paraId="1E82071E" w14:textId="13DC0969" w:rsidR="00902BF6" w:rsidRPr="00062065" w:rsidRDefault="00D31898" w:rsidP="001A476B">
      <w:pPr>
        <w:pStyle w:val="Prrafodelista"/>
        <w:numPr>
          <w:ilvl w:val="0"/>
          <w:numId w:val="2"/>
        </w:numPr>
        <w:spacing w:line="360" w:lineRule="auto"/>
        <w:ind w:left="0" w:hanging="567"/>
        <w:contextualSpacing/>
        <w:jc w:val="both"/>
        <w:rPr>
          <w:rFonts w:ascii="Arial" w:hAnsi="Arial" w:cs="Arial"/>
          <w:b/>
          <w:sz w:val="26"/>
          <w:szCs w:val="26"/>
          <w:lang w:val="es-ES"/>
        </w:rPr>
      </w:pPr>
      <w:r w:rsidRPr="00062065">
        <w:rPr>
          <w:rFonts w:ascii="Arial" w:hAnsi="Arial" w:cs="Arial"/>
          <w:sz w:val="26"/>
          <w:szCs w:val="26"/>
          <w:lang w:val="es-ES"/>
        </w:rPr>
        <w:t xml:space="preserve">Como punto de partida, esta Primera Sala advierte que no es materia de controversia que la señora </w:t>
      </w:r>
      <w:r w:rsidRPr="00062065">
        <w:rPr>
          <w:rFonts w:ascii="Arial" w:hAnsi="Arial" w:cs="Arial"/>
          <w:color w:val="FF0000"/>
          <w:sz w:val="26"/>
          <w:szCs w:val="26"/>
          <w:lang w:val="es-ES"/>
        </w:rPr>
        <w:t xml:space="preserve">GB </w:t>
      </w:r>
      <w:r w:rsidRPr="00062065">
        <w:rPr>
          <w:rFonts w:ascii="Arial" w:hAnsi="Arial" w:cs="Arial"/>
          <w:sz w:val="26"/>
          <w:szCs w:val="26"/>
          <w:lang w:val="es-ES"/>
        </w:rPr>
        <w:t xml:space="preserve">no estuvo presente cuando </w:t>
      </w:r>
      <w:r w:rsidR="00885800" w:rsidRPr="00062065">
        <w:rPr>
          <w:rFonts w:ascii="Arial" w:hAnsi="Arial" w:cs="Arial"/>
          <w:sz w:val="26"/>
          <w:szCs w:val="26"/>
          <w:lang w:val="es-ES"/>
        </w:rPr>
        <w:t xml:space="preserve">el personal negó </w:t>
      </w:r>
      <w:r w:rsidR="00947B25" w:rsidRPr="00062065">
        <w:rPr>
          <w:rFonts w:ascii="Arial" w:hAnsi="Arial" w:cs="Arial"/>
          <w:sz w:val="26"/>
          <w:szCs w:val="26"/>
          <w:lang w:val="es-ES"/>
        </w:rPr>
        <w:t xml:space="preserve">a </w:t>
      </w:r>
      <w:r w:rsidR="00885800" w:rsidRPr="00062065">
        <w:rPr>
          <w:rFonts w:ascii="Arial" w:hAnsi="Arial" w:cs="Arial"/>
          <w:sz w:val="26"/>
          <w:szCs w:val="26"/>
          <w:lang w:val="es-ES"/>
        </w:rPr>
        <w:t xml:space="preserve">las señoras </w:t>
      </w:r>
      <w:r w:rsidR="00885800" w:rsidRPr="00062065">
        <w:rPr>
          <w:rFonts w:ascii="Arial" w:hAnsi="Arial" w:cs="Arial"/>
          <w:color w:val="FF0000"/>
          <w:sz w:val="26"/>
          <w:szCs w:val="26"/>
          <w:lang w:val="es-ES"/>
        </w:rPr>
        <w:t xml:space="preserve">DF </w:t>
      </w:r>
      <w:r w:rsidR="00885800" w:rsidRPr="00062065">
        <w:rPr>
          <w:rFonts w:ascii="Arial" w:hAnsi="Arial" w:cs="Arial"/>
          <w:sz w:val="26"/>
          <w:szCs w:val="26"/>
          <w:lang w:val="es-ES"/>
        </w:rPr>
        <w:t xml:space="preserve">y </w:t>
      </w:r>
      <w:r w:rsidR="00885800" w:rsidRPr="00062065">
        <w:rPr>
          <w:rFonts w:ascii="Arial" w:hAnsi="Arial" w:cs="Arial"/>
          <w:color w:val="FF0000"/>
          <w:sz w:val="26"/>
          <w:szCs w:val="26"/>
          <w:lang w:val="es-ES"/>
        </w:rPr>
        <w:t>MF</w:t>
      </w:r>
      <w:r w:rsidR="00885800" w:rsidRPr="00062065" w:rsidDel="00885800">
        <w:rPr>
          <w:rFonts w:ascii="Arial" w:hAnsi="Arial" w:cs="Arial"/>
          <w:sz w:val="26"/>
          <w:szCs w:val="26"/>
          <w:lang w:val="es-ES"/>
        </w:rPr>
        <w:t xml:space="preserve"> </w:t>
      </w:r>
      <w:r w:rsidR="00947B25" w:rsidRPr="00062065">
        <w:rPr>
          <w:rFonts w:ascii="Arial" w:hAnsi="Arial" w:cs="Arial"/>
          <w:sz w:val="26"/>
          <w:szCs w:val="26"/>
          <w:lang w:val="es-ES"/>
        </w:rPr>
        <w:t xml:space="preserve">el acceso a los </w:t>
      </w:r>
      <w:r w:rsidR="00885800" w:rsidRPr="00062065">
        <w:rPr>
          <w:rFonts w:ascii="Arial" w:hAnsi="Arial" w:cs="Arial"/>
          <w:sz w:val="26"/>
          <w:szCs w:val="26"/>
          <w:lang w:val="es-ES"/>
        </w:rPr>
        <w:t>sanitarios</w:t>
      </w:r>
      <w:r w:rsidR="00024EBD" w:rsidRPr="00062065">
        <w:rPr>
          <w:rFonts w:ascii="Arial" w:hAnsi="Arial" w:cs="Arial"/>
          <w:sz w:val="26"/>
          <w:szCs w:val="26"/>
          <w:lang w:val="es-ES"/>
        </w:rPr>
        <w:t xml:space="preserve">. En ese sentido, </w:t>
      </w:r>
      <w:r w:rsidR="00D72C86" w:rsidRPr="00062065">
        <w:rPr>
          <w:rFonts w:ascii="Arial" w:hAnsi="Arial" w:cs="Arial"/>
          <w:sz w:val="26"/>
          <w:szCs w:val="26"/>
          <w:lang w:val="es-ES"/>
        </w:rPr>
        <w:t xml:space="preserve">lo sucedido </w:t>
      </w:r>
      <w:r w:rsidR="00024EBD" w:rsidRPr="00062065">
        <w:rPr>
          <w:rFonts w:ascii="Arial" w:hAnsi="Arial" w:cs="Arial"/>
          <w:sz w:val="26"/>
          <w:szCs w:val="26"/>
          <w:lang w:val="es-ES"/>
        </w:rPr>
        <w:t>en los sanitarios</w:t>
      </w:r>
      <w:r w:rsidR="00226C93" w:rsidRPr="00062065">
        <w:rPr>
          <w:rFonts w:ascii="Arial" w:hAnsi="Arial" w:cs="Arial"/>
          <w:sz w:val="26"/>
          <w:szCs w:val="26"/>
          <w:lang w:val="es-ES"/>
        </w:rPr>
        <w:t xml:space="preserve"> </w:t>
      </w:r>
      <w:r w:rsidR="005533F7" w:rsidRPr="00062065">
        <w:rPr>
          <w:rFonts w:ascii="Arial" w:hAnsi="Arial" w:cs="Arial"/>
          <w:sz w:val="26"/>
          <w:szCs w:val="26"/>
          <w:lang w:val="es-ES"/>
        </w:rPr>
        <w:t>no podría reputarse como un acto discriminatorio en contra de esta quejosa.</w:t>
      </w:r>
      <w:r w:rsidR="00C42ED3" w:rsidRPr="00062065">
        <w:rPr>
          <w:rFonts w:ascii="Arial" w:hAnsi="Arial" w:cs="Arial"/>
          <w:sz w:val="26"/>
          <w:szCs w:val="26"/>
          <w:lang w:val="es-ES"/>
        </w:rPr>
        <w:t xml:space="preserve"> </w:t>
      </w:r>
      <w:r w:rsidR="007148E2">
        <w:rPr>
          <w:rFonts w:ascii="Arial" w:hAnsi="Arial" w:cs="Arial"/>
          <w:sz w:val="26"/>
          <w:szCs w:val="26"/>
          <w:lang w:val="es-ES"/>
        </w:rPr>
        <w:t>Ahora, n</w:t>
      </w:r>
      <w:r w:rsidR="00C42ED3" w:rsidRPr="00062065">
        <w:rPr>
          <w:rFonts w:ascii="Arial" w:hAnsi="Arial" w:cs="Arial"/>
          <w:sz w:val="26"/>
          <w:szCs w:val="26"/>
          <w:lang w:val="es-ES"/>
        </w:rPr>
        <w:t xml:space="preserve">o se desconoce </w:t>
      </w:r>
      <w:r w:rsidR="006F0C83" w:rsidRPr="00062065">
        <w:rPr>
          <w:rFonts w:ascii="Arial" w:hAnsi="Arial" w:cs="Arial"/>
          <w:sz w:val="26"/>
          <w:szCs w:val="26"/>
          <w:lang w:val="es-ES"/>
        </w:rPr>
        <w:t xml:space="preserve">que </w:t>
      </w:r>
      <w:r w:rsidR="00D453EE" w:rsidRPr="00062065">
        <w:rPr>
          <w:rFonts w:ascii="Arial" w:hAnsi="Arial" w:cs="Arial"/>
          <w:sz w:val="26"/>
          <w:szCs w:val="26"/>
          <w:lang w:val="es-ES"/>
        </w:rPr>
        <w:t>la</w:t>
      </w:r>
      <w:r w:rsidR="006F0C83" w:rsidRPr="00062065">
        <w:rPr>
          <w:rFonts w:ascii="Arial" w:hAnsi="Arial" w:cs="Arial"/>
          <w:sz w:val="26"/>
          <w:szCs w:val="26"/>
          <w:lang w:val="es-ES"/>
        </w:rPr>
        <w:t xml:space="preserve"> quejosa </w:t>
      </w:r>
      <w:r w:rsidR="005A6A14" w:rsidRPr="00062065">
        <w:rPr>
          <w:rFonts w:ascii="Arial" w:hAnsi="Arial" w:cs="Arial"/>
          <w:sz w:val="26"/>
          <w:szCs w:val="26"/>
          <w:lang w:val="es-ES"/>
        </w:rPr>
        <w:t>comparte</w:t>
      </w:r>
      <w:r w:rsidR="006F0C83" w:rsidRPr="00062065">
        <w:rPr>
          <w:rFonts w:ascii="Arial" w:hAnsi="Arial" w:cs="Arial"/>
          <w:sz w:val="26"/>
          <w:szCs w:val="26"/>
          <w:lang w:val="es-ES"/>
        </w:rPr>
        <w:t xml:space="preserve"> la identidad de género de las señoras </w:t>
      </w:r>
      <w:r w:rsidR="00902BF6" w:rsidRPr="00062065">
        <w:rPr>
          <w:rFonts w:ascii="Arial" w:hAnsi="Arial" w:cs="Arial"/>
          <w:color w:val="FF0000"/>
          <w:sz w:val="26"/>
          <w:szCs w:val="26"/>
          <w:lang w:val="es-ES"/>
        </w:rPr>
        <w:t xml:space="preserve">DF </w:t>
      </w:r>
      <w:r w:rsidR="00902BF6" w:rsidRPr="00062065">
        <w:rPr>
          <w:rFonts w:ascii="Arial" w:hAnsi="Arial" w:cs="Arial"/>
          <w:sz w:val="26"/>
          <w:szCs w:val="26"/>
          <w:lang w:val="es-ES"/>
        </w:rPr>
        <w:t xml:space="preserve">y </w:t>
      </w:r>
      <w:r w:rsidR="00902BF6" w:rsidRPr="00062065">
        <w:rPr>
          <w:rFonts w:ascii="Arial" w:hAnsi="Arial" w:cs="Arial"/>
          <w:color w:val="FF0000"/>
          <w:sz w:val="26"/>
          <w:szCs w:val="26"/>
          <w:lang w:val="es-ES"/>
        </w:rPr>
        <w:t>MF</w:t>
      </w:r>
      <w:r w:rsidR="00D453EE" w:rsidRPr="00062065">
        <w:rPr>
          <w:rFonts w:ascii="Arial" w:hAnsi="Arial" w:cs="Arial"/>
          <w:color w:val="000000" w:themeColor="text1"/>
          <w:sz w:val="26"/>
          <w:szCs w:val="26"/>
          <w:lang w:val="es-ES"/>
        </w:rPr>
        <w:t xml:space="preserve">, </w:t>
      </w:r>
      <w:r w:rsidR="0000698F" w:rsidRPr="00062065">
        <w:rPr>
          <w:rFonts w:ascii="Arial" w:hAnsi="Arial" w:cs="Arial"/>
          <w:color w:val="000000" w:themeColor="text1"/>
          <w:sz w:val="26"/>
          <w:szCs w:val="26"/>
          <w:lang w:val="es-ES"/>
        </w:rPr>
        <w:t xml:space="preserve">y </w:t>
      </w:r>
      <w:r w:rsidR="00D453EE" w:rsidRPr="00062065">
        <w:rPr>
          <w:rFonts w:ascii="Arial" w:hAnsi="Arial" w:cs="Arial"/>
          <w:color w:val="000000" w:themeColor="text1"/>
          <w:sz w:val="26"/>
          <w:szCs w:val="26"/>
          <w:lang w:val="es-ES"/>
        </w:rPr>
        <w:t xml:space="preserve">que </w:t>
      </w:r>
      <w:r w:rsidR="00987C77" w:rsidRPr="00062065">
        <w:rPr>
          <w:rFonts w:ascii="Arial" w:hAnsi="Arial" w:cs="Arial"/>
          <w:color w:val="000000" w:themeColor="text1"/>
          <w:sz w:val="26"/>
          <w:szCs w:val="26"/>
          <w:lang w:val="es-ES"/>
        </w:rPr>
        <w:t xml:space="preserve">entre ellas </w:t>
      </w:r>
      <w:r w:rsidR="00896367" w:rsidRPr="00062065">
        <w:rPr>
          <w:rFonts w:ascii="Arial" w:hAnsi="Arial" w:cs="Arial"/>
          <w:color w:val="000000" w:themeColor="text1"/>
          <w:sz w:val="26"/>
          <w:szCs w:val="26"/>
          <w:lang w:val="es-ES"/>
        </w:rPr>
        <w:t>tenía</w:t>
      </w:r>
      <w:r w:rsidR="0000698F" w:rsidRPr="00062065">
        <w:rPr>
          <w:rFonts w:ascii="Arial" w:hAnsi="Arial" w:cs="Arial"/>
          <w:color w:val="000000" w:themeColor="text1"/>
          <w:sz w:val="26"/>
          <w:szCs w:val="26"/>
          <w:lang w:val="es-ES"/>
        </w:rPr>
        <w:t>n</w:t>
      </w:r>
      <w:r w:rsidR="00D453EE" w:rsidRPr="00062065">
        <w:rPr>
          <w:rFonts w:ascii="Arial" w:hAnsi="Arial" w:cs="Arial"/>
          <w:color w:val="000000" w:themeColor="text1"/>
          <w:sz w:val="26"/>
          <w:szCs w:val="26"/>
          <w:lang w:val="es-ES"/>
        </w:rPr>
        <w:t xml:space="preserve"> una relación de amistad, </w:t>
      </w:r>
      <w:r w:rsidR="00175DA6" w:rsidRPr="00062065">
        <w:rPr>
          <w:rFonts w:ascii="Arial" w:hAnsi="Arial" w:cs="Arial"/>
          <w:color w:val="000000" w:themeColor="text1"/>
          <w:sz w:val="26"/>
          <w:szCs w:val="26"/>
          <w:lang w:val="es-ES"/>
        </w:rPr>
        <w:t xml:space="preserve">lo que </w:t>
      </w:r>
      <w:r w:rsidR="00D453EE" w:rsidRPr="00062065">
        <w:rPr>
          <w:rFonts w:ascii="Arial" w:hAnsi="Arial" w:cs="Arial"/>
          <w:color w:val="000000" w:themeColor="text1"/>
          <w:sz w:val="26"/>
          <w:szCs w:val="26"/>
          <w:lang w:val="es-ES"/>
        </w:rPr>
        <w:t>pudo generar</w:t>
      </w:r>
      <w:r w:rsidR="00B448E9" w:rsidRPr="00062065">
        <w:rPr>
          <w:rFonts w:ascii="Arial" w:hAnsi="Arial" w:cs="Arial"/>
          <w:color w:val="000000" w:themeColor="text1"/>
          <w:sz w:val="26"/>
          <w:szCs w:val="26"/>
          <w:lang w:val="es-ES"/>
        </w:rPr>
        <w:t xml:space="preserve"> en </w:t>
      </w:r>
      <w:r w:rsidR="00987C77" w:rsidRPr="00062065">
        <w:rPr>
          <w:rFonts w:ascii="Arial" w:hAnsi="Arial" w:cs="Arial"/>
          <w:color w:val="000000" w:themeColor="text1"/>
          <w:sz w:val="26"/>
          <w:szCs w:val="26"/>
          <w:lang w:val="es-ES"/>
        </w:rPr>
        <w:t xml:space="preserve">la quejosa </w:t>
      </w:r>
      <w:r w:rsidR="00B448E9" w:rsidRPr="00062065">
        <w:rPr>
          <w:rFonts w:ascii="Arial" w:hAnsi="Arial" w:cs="Arial"/>
          <w:color w:val="000000" w:themeColor="text1"/>
          <w:sz w:val="26"/>
          <w:szCs w:val="26"/>
          <w:lang w:val="es-ES"/>
        </w:rPr>
        <w:t xml:space="preserve">indignación </w:t>
      </w:r>
      <w:r w:rsidR="00390097" w:rsidRPr="00062065">
        <w:rPr>
          <w:rFonts w:ascii="Arial" w:hAnsi="Arial" w:cs="Arial"/>
          <w:color w:val="000000" w:themeColor="text1"/>
          <w:sz w:val="26"/>
          <w:szCs w:val="26"/>
          <w:lang w:val="es-ES"/>
        </w:rPr>
        <w:t xml:space="preserve">y </w:t>
      </w:r>
      <w:r w:rsidR="00175DA6" w:rsidRPr="00062065">
        <w:rPr>
          <w:rFonts w:ascii="Arial" w:hAnsi="Arial" w:cs="Arial"/>
          <w:color w:val="000000" w:themeColor="text1"/>
          <w:sz w:val="26"/>
          <w:szCs w:val="26"/>
          <w:lang w:val="es-ES"/>
        </w:rPr>
        <w:t>empatía</w:t>
      </w:r>
      <w:r w:rsidR="00390097" w:rsidRPr="00062065">
        <w:rPr>
          <w:rFonts w:ascii="Arial" w:hAnsi="Arial" w:cs="Arial"/>
          <w:color w:val="000000" w:themeColor="text1"/>
          <w:sz w:val="26"/>
          <w:szCs w:val="26"/>
          <w:lang w:val="es-ES"/>
        </w:rPr>
        <w:t xml:space="preserve"> </w:t>
      </w:r>
      <w:r w:rsidR="0012493B" w:rsidRPr="00062065">
        <w:rPr>
          <w:rFonts w:ascii="Arial" w:hAnsi="Arial" w:cs="Arial"/>
          <w:color w:val="000000" w:themeColor="text1"/>
          <w:sz w:val="26"/>
          <w:szCs w:val="26"/>
          <w:lang w:val="es-ES"/>
        </w:rPr>
        <w:t xml:space="preserve">por </w:t>
      </w:r>
      <w:r w:rsidR="00390097" w:rsidRPr="00062065">
        <w:rPr>
          <w:rFonts w:ascii="Arial" w:hAnsi="Arial" w:cs="Arial"/>
          <w:color w:val="000000" w:themeColor="text1"/>
          <w:sz w:val="26"/>
          <w:szCs w:val="26"/>
          <w:lang w:val="es-ES"/>
        </w:rPr>
        <w:t>la situación</w:t>
      </w:r>
      <w:r w:rsidR="00987C77" w:rsidRPr="00062065">
        <w:rPr>
          <w:rFonts w:ascii="Arial" w:hAnsi="Arial" w:cs="Arial"/>
          <w:color w:val="000000" w:themeColor="text1"/>
          <w:sz w:val="26"/>
          <w:szCs w:val="26"/>
          <w:lang w:val="es-ES"/>
        </w:rPr>
        <w:t xml:space="preserve"> sufrida por sus amigas</w:t>
      </w:r>
      <w:r w:rsidR="00D5692A" w:rsidRPr="00062065">
        <w:rPr>
          <w:rFonts w:ascii="Arial" w:hAnsi="Arial" w:cs="Arial"/>
          <w:color w:val="000000" w:themeColor="text1"/>
          <w:sz w:val="26"/>
          <w:szCs w:val="26"/>
          <w:lang w:val="es-ES"/>
        </w:rPr>
        <w:t>,</w:t>
      </w:r>
      <w:r w:rsidR="00390097" w:rsidRPr="00062065">
        <w:rPr>
          <w:rFonts w:ascii="Arial" w:hAnsi="Arial" w:cs="Arial"/>
          <w:color w:val="000000" w:themeColor="text1"/>
          <w:sz w:val="26"/>
          <w:szCs w:val="26"/>
          <w:lang w:val="es-ES"/>
        </w:rPr>
        <w:t xml:space="preserve"> al grado de sentir </w:t>
      </w:r>
      <w:r w:rsidR="007E4E31" w:rsidRPr="00062065">
        <w:rPr>
          <w:rFonts w:ascii="Arial" w:hAnsi="Arial" w:cs="Arial"/>
          <w:color w:val="000000" w:themeColor="text1"/>
          <w:sz w:val="26"/>
          <w:szCs w:val="26"/>
          <w:lang w:val="es-ES"/>
        </w:rPr>
        <w:t xml:space="preserve">que ella misma la experimentó. Sin embargo, contrario a lo que sostienen las quejosas, esta </w:t>
      </w:r>
      <w:r w:rsidR="004203D5" w:rsidRPr="00062065">
        <w:rPr>
          <w:rFonts w:ascii="Arial" w:hAnsi="Arial" w:cs="Arial"/>
          <w:color w:val="000000" w:themeColor="text1"/>
          <w:sz w:val="26"/>
          <w:szCs w:val="26"/>
          <w:lang w:val="es-ES"/>
        </w:rPr>
        <w:t xml:space="preserve">vinculación entre las </w:t>
      </w:r>
      <w:r w:rsidR="00D962E7" w:rsidRPr="00062065">
        <w:rPr>
          <w:rFonts w:ascii="Arial" w:hAnsi="Arial" w:cs="Arial"/>
          <w:color w:val="000000" w:themeColor="text1"/>
          <w:sz w:val="26"/>
          <w:szCs w:val="26"/>
          <w:lang w:val="es-ES"/>
        </w:rPr>
        <w:t>señoras</w:t>
      </w:r>
      <w:r w:rsidR="007E4E31" w:rsidRPr="00062065">
        <w:rPr>
          <w:rFonts w:ascii="Arial" w:hAnsi="Arial" w:cs="Arial"/>
          <w:color w:val="000000" w:themeColor="text1"/>
          <w:sz w:val="26"/>
          <w:szCs w:val="26"/>
          <w:lang w:val="es-ES"/>
        </w:rPr>
        <w:t xml:space="preserve"> </w:t>
      </w:r>
      <w:r w:rsidR="00896367" w:rsidRPr="00062065">
        <w:rPr>
          <w:rFonts w:ascii="Arial" w:hAnsi="Arial" w:cs="Arial"/>
          <w:color w:val="000000" w:themeColor="text1"/>
          <w:sz w:val="26"/>
          <w:szCs w:val="26"/>
          <w:lang w:val="es-ES"/>
        </w:rPr>
        <w:t xml:space="preserve">no permite </w:t>
      </w:r>
      <w:r w:rsidR="00833F3F" w:rsidRPr="00062065">
        <w:rPr>
          <w:rFonts w:ascii="Arial" w:hAnsi="Arial" w:cs="Arial"/>
          <w:color w:val="000000" w:themeColor="text1"/>
          <w:sz w:val="26"/>
          <w:szCs w:val="26"/>
          <w:lang w:val="es-ES"/>
        </w:rPr>
        <w:t>entender que el acto discriminatorio</w:t>
      </w:r>
      <w:r w:rsidR="00D962E7" w:rsidRPr="00062065">
        <w:rPr>
          <w:rFonts w:ascii="Arial" w:hAnsi="Arial" w:cs="Arial"/>
          <w:color w:val="000000" w:themeColor="text1"/>
          <w:sz w:val="26"/>
          <w:szCs w:val="26"/>
          <w:lang w:val="es-ES"/>
        </w:rPr>
        <w:t xml:space="preserve"> de los sanitarios</w:t>
      </w:r>
      <w:r w:rsidR="00833F3F" w:rsidRPr="00062065">
        <w:rPr>
          <w:rFonts w:ascii="Arial" w:hAnsi="Arial" w:cs="Arial"/>
          <w:color w:val="000000" w:themeColor="text1"/>
          <w:sz w:val="26"/>
          <w:szCs w:val="26"/>
          <w:lang w:val="es-ES"/>
        </w:rPr>
        <w:t xml:space="preserve"> </w:t>
      </w:r>
      <w:r w:rsidR="007E4E31" w:rsidRPr="00062065">
        <w:rPr>
          <w:rFonts w:ascii="Arial" w:hAnsi="Arial" w:cs="Arial"/>
          <w:color w:val="000000" w:themeColor="text1"/>
          <w:sz w:val="26"/>
          <w:szCs w:val="26"/>
          <w:lang w:val="es-ES"/>
        </w:rPr>
        <w:t>también se realizó en contra de</w:t>
      </w:r>
      <w:r w:rsidR="004203D5" w:rsidRPr="00062065">
        <w:rPr>
          <w:rFonts w:ascii="Arial" w:hAnsi="Arial" w:cs="Arial"/>
          <w:color w:val="000000" w:themeColor="text1"/>
          <w:sz w:val="26"/>
          <w:szCs w:val="26"/>
          <w:lang w:val="es-ES"/>
        </w:rPr>
        <w:t xml:space="preserve"> la señora </w:t>
      </w:r>
      <w:r w:rsidR="004203D5" w:rsidRPr="00062065">
        <w:rPr>
          <w:rFonts w:ascii="Arial" w:hAnsi="Arial" w:cs="Arial"/>
          <w:color w:val="FF0000"/>
          <w:sz w:val="26"/>
          <w:szCs w:val="26"/>
          <w:lang w:val="es-ES"/>
        </w:rPr>
        <w:t>GB</w:t>
      </w:r>
      <w:r w:rsidR="00833F3F" w:rsidRPr="00062065">
        <w:rPr>
          <w:rFonts w:ascii="Arial" w:hAnsi="Arial" w:cs="Arial"/>
          <w:color w:val="000000" w:themeColor="text1"/>
          <w:sz w:val="26"/>
          <w:szCs w:val="26"/>
          <w:lang w:val="es-ES"/>
        </w:rPr>
        <w:t xml:space="preserve">, en </w:t>
      </w:r>
      <w:r w:rsidR="00534F7E" w:rsidRPr="00062065">
        <w:rPr>
          <w:rFonts w:ascii="Arial" w:hAnsi="Arial" w:cs="Arial"/>
          <w:color w:val="000000" w:themeColor="text1"/>
          <w:sz w:val="26"/>
          <w:szCs w:val="26"/>
          <w:lang w:val="es-ES"/>
        </w:rPr>
        <w:t>el</w:t>
      </w:r>
      <w:r w:rsidR="00A4615D" w:rsidRPr="00062065">
        <w:rPr>
          <w:rFonts w:ascii="Arial" w:hAnsi="Arial" w:cs="Arial"/>
          <w:color w:val="000000" w:themeColor="text1"/>
          <w:sz w:val="26"/>
          <w:szCs w:val="26"/>
          <w:lang w:val="es-ES"/>
        </w:rPr>
        <w:t xml:space="preserve"> marco</w:t>
      </w:r>
      <w:r w:rsidR="00833F3F" w:rsidRPr="00062065">
        <w:rPr>
          <w:rFonts w:ascii="Arial" w:hAnsi="Arial" w:cs="Arial"/>
          <w:color w:val="000000" w:themeColor="text1"/>
          <w:sz w:val="26"/>
          <w:szCs w:val="26"/>
          <w:lang w:val="es-ES"/>
        </w:rPr>
        <w:t xml:space="preserve"> de un juicio civil por daño moral.</w:t>
      </w:r>
    </w:p>
    <w:p w14:paraId="7BC959E4" w14:textId="77777777" w:rsidR="00C42ED3" w:rsidRPr="00062065" w:rsidRDefault="00C42ED3" w:rsidP="001A476B">
      <w:pPr>
        <w:pStyle w:val="corte4fondo"/>
        <w:ind w:right="51" w:hanging="567"/>
        <w:rPr>
          <w:rFonts w:cs="Arial"/>
          <w:sz w:val="26"/>
          <w:szCs w:val="26"/>
        </w:rPr>
      </w:pPr>
    </w:p>
    <w:p w14:paraId="146EE37C" w14:textId="7EDDEDA4" w:rsidR="0064271D" w:rsidRPr="008D494D" w:rsidRDefault="00D5692A" w:rsidP="001A476B">
      <w:pPr>
        <w:pStyle w:val="Prrafodelista"/>
        <w:numPr>
          <w:ilvl w:val="0"/>
          <w:numId w:val="2"/>
        </w:numPr>
        <w:spacing w:line="360" w:lineRule="auto"/>
        <w:ind w:left="0" w:hanging="567"/>
        <w:contextualSpacing/>
        <w:jc w:val="both"/>
        <w:rPr>
          <w:rFonts w:ascii="Arial" w:hAnsi="Arial" w:cs="Arial"/>
          <w:b/>
          <w:sz w:val="26"/>
          <w:szCs w:val="26"/>
          <w:lang w:val="es-ES"/>
        </w:rPr>
      </w:pPr>
      <w:r w:rsidRPr="00062065">
        <w:rPr>
          <w:rFonts w:ascii="Arial" w:hAnsi="Arial" w:cs="Arial"/>
          <w:sz w:val="26"/>
          <w:szCs w:val="26"/>
        </w:rPr>
        <w:lastRenderedPageBreak/>
        <w:t>A pesar de l</w:t>
      </w:r>
      <w:r w:rsidR="00BB0E51" w:rsidRPr="00062065">
        <w:rPr>
          <w:rFonts w:ascii="Arial" w:hAnsi="Arial" w:cs="Arial"/>
          <w:sz w:val="26"/>
          <w:szCs w:val="26"/>
        </w:rPr>
        <w:t>o anterior</w:t>
      </w:r>
      <w:r w:rsidR="005533F7" w:rsidRPr="00062065">
        <w:rPr>
          <w:rFonts w:ascii="Arial" w:hAnsi="Arial" w:cs="Arial"/>
          <w:sz w:val="26"/>
          <w:szCs w:val="26"/>
        </w:rPr>
        <w:t>,</w:t>
      </w:r>
      <w:r w:rsidR="00BB0E51" w:rsidRPr="00062065">
        <w:rPr>
          <w:rFonts w:ascii="Arial" w:hAnsi="Arial" w:cs="Arial"/>
          <w:sz w:val="26"/>
          <w:szCs w:val="26"/>
        </w:rPr>
        <w:t xml:space="preserve"> </w:t>
      </w:r>
      <w:r w:rsidR="00C020E4" w:rsidRPr="00062065">
        <w:rPr>
          <w:rFonts w:ascii="Arial" w:hAnsi="Arial" w:cs="Arial"/>
          <w:sz w:val="26"/>
          <w:szCs w:val="26"/>
        </w:rPr>
        <w:t xml:space="preserve">este Tribunal estima </w:t>
      </w:r>
      <w:r w:rsidR="007951EF" w:rsidRPr="00062065">
        <w:rPr>
          <w:rFonts w:ascii="Arial" w:hAnsi="Arial" w:cs="Arial"/>
          <w:sz w:val="26"/>
          <w:szCs w:val="26"/>
        </w:rPr>
        <w:t>que</w:t>
      </w:r>
      <w:r w:rsidR="00BB0E51" w:rsidRPr="00062065">
        <w:rPr>
          <w:rFonts w:ascii="Arial" w:hAnsi="Arial" w:cs="Arial"/>
          <w:sz w:val="26"/>
          <w:szCs w:val="26"/>
        </w:rPr>
        <w:t xml:space="preserve"> asiste la razón a las quejosas, en cuanto a que</w:t>
      </w:r>
      <w:r w:rsidR="005533F7" w:rsidRPr="00062065">
        <w:rPr>
          <w:rFonts w:ascii="Arial" w:hAnsi="Arial" w:cs="Arial"/>
          <w:sz w:val="26"/>
          <w:szCs w:val="26"/>
        </w:rPr>
        <w:t xml:space="preserve"> l</w:t>
      </w:r>
      <w:r w:rsidR="009C0C4D" w:rsidRPr="00062065">
        <w:rPr>
          <w:rFonts w:ascii="Arial" w:hAnsi="Arial" w:cs="Arial"/>
          <w:sz w:val="26"/>
          <w:szCs w:val="26"/>
        </w:rPr>
        <w:t xml:space="preserve">a </w:t>
      </w:r>
      <w:r w:rsidR="00BB0E51" w:rsidRPr="00062065">
        <w:rPr>
          <w:rFonts w:ascii="Arial" w:hAnsi="Arial" w:cs="Arial"/>
          <w:sz w:val="26"/>
          <w:szCs w:val="26"/>
        </w:rPr>
        <w:t>s</w:t>
      </w:r>
      <w:r w:rsidR="009C0C4D" w:rsidRPr="00062065">
        <w:rPr>
          <w:rFonts w:ascii="Arial" w:hAnsi="Arial" w:cs="Arial"/>
          <w:sz w:val="26"/>
          <w:szCs w:val="26"/>
        </w:rPr>
        <w:t>ala responsable debió valorar</w:t>
      </w:r>
      <w:r w:rsidR="006554A1" w:rsidRPr="00062065">
        <w:rPr>
          <w:rFonts w:ascii="Arial" w:hAnsi="Arial" w:cs="Arial"/>
          <w:b/>
          <w:bCs/>
          <w:sz w:val="26"/>
          <w:szCs w:val="26"/>
        </w:rPr>
        <w:t xml:space="preserve"> </w:t>
      </w:r>
      <w:r w:rsidR="009C0C4D" w:rsidRPr="00062065">
        <w:rPr>
          <w:rFonts w:ascii="Arial" w:hAnsi="Arial" w:cs="Arial"/>
          <w:sz w:val="26"/>
          <w:szCs w:val="26"/>
        </w:rPr>
        <w:t xml:space="preserve">que </w:t>
      </w:r>
      <w:r w:rsidR="003C54B3" w:rsidRPr="00062065">
        <w:rPr>
          <w:rFonts w:ascii="Arial" w:hAnsi="Arial" w:cs="Arial"/>
          <w:sz w:val="26"/>
          <w:szCs w:val="26"/>
        </w:rPr>
        <w:t>los hechos resentidos por</w:t>
      </w:r>
      <w:r w:rsidR="00D26E81">
        <w:rPr>
          <w:rFonts w:ascii="Arial" w:hAnsi="Arial" w:cs="Arial"/>
          <w:sz w:val="26"/>
          <w:szCs w:val="26"/>
        </w:rPr>
        <w:t xml:space="preserve"> ellas </w:t>
      </w:r>
      <w:r w:rsidR="003C54B3" w:rsidRPr="00062065">
        <w:rPr>
          <w:rFonts w:ascii="Arial" w:hAnsi="Arial" w:cs="Arial"/>
          <w:sz w:val="26"/>
          <w:szCs w:val="26"/>
        </w:rPr>
        <w:t xml:space="preserve">en el módulo de quejas </w:t>
      </w:r>
      <w:r w:rsidR="003C54B3" w:rsidRPr="00062065">
        <w:rPr>
          <w:rFonts w:ascii="Arial" w:hAnsi="Arial" w:cs="Arial"/>
          <w:color w:val="4D5156"/>
          <w:sz w:val="26"/>
          <w:szCs w:val="26"/>
          <w:shd w:val="clear" w:color="auto" w:fill="FFFFFF"/>
        </w:rPr>
        <w:t>—</w:t>
      </w:r>
      <w:r w:rsidR="003C54B3" w:rsidRPr="00062065">
        <w:rPr>
          <w:rFonts w:ascii="Arial" w:hAnsi="Arial" w:cs="Arial"/>
          <w:sz w:val="26"/>
          <w:szCs w:val="26"/>
        </w:rPr>
        <w:t>entre ellos, los resentidos por la señora</w:t>
      </w:r>
      <w:r w:rsidR="003C54B3" w:rsidRPr="00062065">
        <w:rPr>
          <w:rFonts w:ascii="Arial" w:hAnsi="Arial" w:cs="Arial"/>
          <w:color w:val="FF0000"/>
          <w:sz w:val="26"/>
          <w:szCs w:val="26"/>
        </w:rPr>
        <w:t xml:space="preserve"> GB</w:t>
      </w:r>
      <w:r w:rsidR="003C54B3" w:rsidRPr="00062065">
        <w:rPr>
          <w:rFonts w:ascii="Arial" w:hAnsi="Arial" w:cs="Arial"/>
          <w:color w:val="4D5156"/>
          <w:sz w:val="26"/>
          <w:szCs w:val="26"/>
          <w:shd w:val="clear" w:color="auto" w:fill="FFFFFF"/>
        </w:rPr>
        <w:t>—</w:t>
      </w:r>
      <w:r w:rsidR="000420BB" w:rsidRPr="00062065">
        <w:rPr>
          <w:rFonts w:ascii="Arial" w:hAnsi="Arial" w:cs="Arial"/>
          <w:color w:val="000000" w:themeColor="text1"/>
          <w:sz w:val="26"/>
          <w:szCs w:val="26"/>
        </w:rPr>
        <w:t xml:space="preserve"> no debían </w:t>
      </w:r>
      <w:r w:rsidR="005C40C9">
        <w:rPr>
          <w:rFonts w:ascii="Arial" w:hAnsi="Arial" w:cs="Arial"/>
          <w:color w:val="000000" w:themeColor="text1"/>
          <w:sz w:val="26"/>
          <w:szCs w:val="26"/>
        </w:rPr>
        <w:t>analizarse</w:t>
      </w:r>
      <w:r w:rsidR="000420BB" w:rsidRPr="00062065">
        <w:rPr>
          <w:rFonts w:ascii="Arial" w:hAnsi="Arial" w:cs="Arial"/>
          <w:color w:val="000000" w:themeColor="text1"/>
          <w:sz w:val="26"/>
          <w:szCs w:val="26"/>
        </w:rPr>
        <w:t xml:space="preserve"> de forma aislada, pues </w:t>
      </w:r>
      <w:r w:rsidR="009D6B67" w:rsidRPr="00062065">
        <w:rPr>
          <w:rFonts w:ascii="Arial" w:hAnsi="Arial" w:cs="Arial"/>
          <w:color w:val="000000" w:themeColor="text1"/>
          <w:sz w:val="26"/>
          <w:szCs w:val="26"/>
        </w:rPr>
        <w:t>e</w:t>
      </w:r>
      <w:r w:rsidR="009D6B67" w:rsidRPr="00062065">
        <w:rPr>
          <w:rFonts w:ascii="Arial" w:hAnsi="Arial" w:cs="Arial"/>
          <w:sz w:val="26"/>
          <w:szCs w:val="26"/>
        </w:rPr>
        <w:t xml:space="preserve">staban íntimamente vinculados con </w:t>
      </w:r>
      <w:r w:rsidR="007E3D06" w:rsidRPr="00062065">
        <w:rPr>
          <w:rFonts w:ascii="Arial" w:hAnsi="Arial" w:cs="Arial"/>
          <w:sz w:val="26"/>
          <w:szCs w:val="26"/>
        </w:rPr>
        <w:t xml:space="preserve">los hechos </w:t>
      </w:r>
      <w:r w:rsidR="00BC4C9D" w:rsidRPr="00062065">
        <w:rPr>
          <w:rFonts w:ascii="Arial" w:hAnsi="Arial" w:cs="Arial"/>
          <w:sz w:val="26"/>
          <w:szCs w:val="26"/>
        </w:rPr>
        <w:t xml:space="preserve">que sufrieron </w:t>
      </w:r>
      <w:r w:rsidR="00AD38CB" w:rsidRPr="00062065">
        <w:rPr>
          <w:rFonts w:ascii="Arial" w:hAnsi="Arial" w:cs="Arial"/>
          <w:sz w:val="26"/>
          <w:szCs w:val="26"/>
        </w:rPr>
        <w:t xml:space="preserve">las señoras </w:t>
      </w:r>
      <w:r w:rsidR="00AD38CB" w:rsidRPr="00062065">
        <w:rPr>
          <w:rFonts w:ascii="Arial" w:hAnsi="Arial" w:cs="Arial"/>
          <w:color w:val="FF0000"/>
          <w:sz w:val="26"/>
          <w:szCs w:val="26"/>
        </w:rPr>
        <w:t>DF</w:t>
      </w:r>
      <w:r w:rsidR="00AD38CB" w:rsidRPr="00062065">
        <w:rPr>
          <w:rFonts w:ascii="Arial" w:hAnsi="Arial" w:cs="Arial"/>
          <w:sz w:val="26"/>
          <w:szCs w:val="26"/>
        </w:rPr>
        <w:t xml:space="preserve"> y </w:t>
      </w:r>
      <w:r w:rsidR="00AD38CB" w:rsidRPr="00062065">
        <w:rPr>
          <w:rFonts w:ascii="Arial" w:hAnsi="Arial" w:cs="Arial"/>
          <w:color w:val="FF0000"/>
          <w:sz w:val="26"/>
          <w:szCs w:val="26"/>
        </w:rPr>
        <w:t>MF</w:t>
      </w:r>
      <w:r w:rsidR="00AD38CB" w:rsidRPr="00062065">
        <w:rPr>
          <w:rFonts w:ascii="Arial" w:hAnsi="Arial" w:cs="Arial"/>
          <w:sz w:val="26"/>
          <w:szCs w:val="26"/>
        </w:rPr>
        <w:t xml:space="preserve"> </w:t>
      </w:r>
      <w:r w:rsidR="008D494D">
        <w:rPr>
          <w:rFonts w:ascii="Arial" w:hAnsi="Arial" w:cs="Arial"/>
          <w:sz w:val="26"/>
          <w:szCs w:val="26"/>
        </w:rPr>
        <w:t>anteriormente</w:t>
      </w:r>
      <w:r w:rsidR="00990B52" w:rsidRPr="00062065">
        <w:rPr>
          <w:rFonts w:ascii="Arial" w:hAnsi="Arial" w:cs="Arial"/>
          <w:sz w:val="26"/>
          <w:szCs w:val="26"/>
        </w:rPr>
        <w:t xml:space="preserve">. </w:t>
      </w:r>
      <w:r w:rsidR="000B7076" w:rsidRPr="00062065">
        <w:rPr>
          <w:rFonts w:ascii="Arial" w:hAnsi="Arial" w:cs="Arial"/>
          <w:sz w:val="26"/>
          <w:szCs w:val="26"/>
        </w:rPr>
        <w:t>Estos actos discriminatorios fueron precisamente el motivo de la queja que buscaban pre</w:t>
      </w:r>
      <w:r w:rsidR="000B7076" w:rsidRPr="008D494D">
        <w:rPr>
          <w:rFonts w:ascii="Arial" w:hAnsi="Arial" w:cs="Arial"/>
          <w:sz w:val="26"/>
          <w:szCs w:val="26"/>
        </w:rPr>
        <w:t xml:space="preserve">sentar. </w:t>
      </w:r>
    </w:p>
    <w:p w14:paraId="18933D54" w14:textId="77777777" w:rsidR="00A20948" w:rsidRPr="008D494D" w:rsidRDefault="00A20948" w:rsidP="001A476B">
      <w:pPr>
        <w:pStyle w:val="corte4fondo"/>
        <w:ind w:right="51" w:hanging="567"/>
        <w:rPr>
          <w:sz w:val="26"/>
          <w:szCs w:val="26"/>
        </w:rPr>
      </w:pPr>
    </w:p>
    <w:p w14:paraId="4D213A50" w14:textId="4C4B23A4" w:rsidR="001A0C2A" w:rsidRPr="00DC1845" w:rsidRDefault="00C020E4" w:rsidP="001A476B">
      <w:pPr>
        <w:pStyle w:val="corte4fondo"/>
        <w:numPr>
          <w:ilvl w:val="0"/>
          <w:numId w:val="2"/>
        </w:numPr>
        <w:ind w:left="0" w:right="51" w:hanging="567"/>
        <w:rPr>
          <w:rFonts w:cs="Arial"/>
          <w:color w:val="000000" w:themeColor="text1"/>
          <w:sz w:val="26"/>
          <w:szCs w:val="26"/>
          <w:lang w:val="es-ES"/>
        </w:rPr>
      </w:pPr>
      <w:r w:rsidRPr="008D494D">
        <w:rPr>
          <w:rFonts w:cs="Arial"/>
          <w:sz w:val="26"/>
          <w:szCs w:val="26"/>
          <w:lang w:val="es-ES"/>
        </w:rPr>
        <w:t>En ese sentido,</w:t>
      </w:r>
      <w:r w:rsidR="008F0683" w:rsidRPr="008D494D">
        <w:rPr>
          <w:rFonts w:cs="Arial"/>
          <w:sz w:val="26"/>
          <w:szCs w:val="26"/>
          <w:lang w:val="es-ES"/>
        </w:rPr>
        <w:t xml:space="preserve"> </w:t>
      </w:r>
      <w:r w:rsidRPr="008D494D">
        <w:rPr>
          <w:rFonts w:cs="Arial"/>
          <w:sz w:val="26"/>
          <w:szCs w:val="26"/>
          <w:lang w:val="es-ES"/>
        </w:rPr>
        <w:t>p</w:t>
      </w:r>
      <w:r w:rsidR="00812730" w:rsidRPr="008D494D">
        <w:rPr>
          <w:rFonts w:cs="Arial"/>
          <w:sz w:val="26"/>
          <w:szCs w:val="26"/>
          <w:lang w:val="es-ES"/>
        </w:rPr>
        <w:t>ara analizar la</w:t>
      </w:r>
      <w:r w:rsidR="0064271D" w:rsidRPr="008D494D">
        <w:rPr>
          <w:rFonts w:cs="Arial"/>
          <w:sz w:val="26"/>
          <w:szCs w:val="26"/>
          <w:lang w:val="es-ES"/>
        </w:rPr>
        <w:t xml:space="preserve"> conducta</w:t>
      </w:r>
      <w:r w:rsidR="007C16A7" w:rsidRPr="008D494D">
        <w:rPr>
          <w:rFonts w:cs="Arial"/>
          <w:sz w:val="26"/>
          <w:szCs w:val="26"/>
          <w:lang w:val="es-ES"/>
        </w:rPr>
        <w:t xml:space="preserve"> reclamada</w:t>
      </w:r>
      <w:r w:rsidR="00C26350" w:rsidRPr="008D494D">
        <w:rPr>
          <w:rFonts w:cs="Arial"/>
          <w:sz w:val="26"/>
          <w:szCs w:val="26"/>
          <w:lang w:val="es-ES"/>
        </w:rPr>
        <w:t xml:space="preserve">, la sala </w:t>
      </w:r>
      <w:r w:rsidR="00261D69">
        <w:rPr>
          <w:rFonts w:cs="Arial"/>
          <w:sz w:val="26"/>
          <w:szCs w:val="26"/>
          <w:lang w:val="es-ES"/>
        </w:rPr>
        <w:t xml:space="preserve">responsable </w:t>
      </w:r>
      <w:r w:rsidR="00812730" w:rsidRPr="008D494D">
        <w:rPr>
          <w:rFonts w:cs="Arial"/>
          <w:sz w:val="26"/>
          <w:szCs w:val="26"/>
          <w:lang w:val="es-ES"/>
        </w:rPr>
        <w:t>debió dimensionar</w:t>
      </w:r>
      <w:r w:rsidR="0064271D" w:rsidRPr="008D494D">
        <w:rPr>
          <w:rFonts w:cs="Arial"/>
          <w:sz w:val="26"/>
          <w:szCs w:val="26"/>
          <w:lang w:val="es-ES"/>
        </w:rPr>
        <w:t xml:space="preserve"> </w:t>
      </w:r>
      <w:r w:rsidR="001A5231" w:rsidRPr="008D494D">
        <w:rPr>
          <w:rFonts w:cs="Arial"/>
          <w:sz w:val="26"/>
          <w:szCs w:val="26"/>
          <w:lang w:val="es-ES"/>
        </w:rPr>
        <w:t>el contexto general de vulnerabilidad que enfrentan las personas trans que hacen valer su identidad de género</w:t>
      </w:r>
      <w:r w:rsidR="00A20948" w:rsidRPr="008D494D">
        <w:rPr>
          <w:rFonts w:cs="Arial"/>
          <w:sz w:val="26"/>
          <w:szCs w:val="26"/>
          <w:lang w:val="es-ES"/>
        </w:rPr>
        <w:t xml:space="preserve">, </w:t>
      </w:r>
      <w:r w:rsidR="001E2D13" w:rsidRPr="008D494D">
        <w:rPr>
          <w:rFonts w:cs="Arial"/>
          <w:sz w:val="26"/>
          <w:szCs w:val="26"/>
          <w:lang w:val="es-ES"/>
        </w:rPr>
        <w:t>y, sobre todo, que</w:t>
      </w:r>
      <w:r w:rsidR="00AF3444" w:rsidRPr="008D494D">
        <w:rPr>
          <w:rFonts w:cs="Arial"/>
          <w:sz w:val="26"/>
          <w:szCs w:val="26"/>
          <w:lang w:val="es-ES"/>
        </w:rPr>
        <w:t xml:space="preserve"> en el caso</w:t>
      </w:r>
      <w:r w:rsidR="001E2D13" w:rsidRPr="008D494D">
        <w:rPr>
          <w:rFonts w:cs="Arial"/>
          <w:sz w:val="26"/>
          <w:szCs w:val="26"/>
          <w:lang w:val="es-ES"/>
        </w:rPr>
        <w:t xml:space="preserve"> dos mujeres trans </w:t>
      </w:r>
      <w:r w:rsidR="001E2D13" w:rsidRPr="008D494D">
        <w:rPr>
          <w:rFonts w:cs="Arial"/>
          <w:color w:val="4D5156"/>
          <w:sz w:val="26"/>
          <w:szCs w:val="26"/>
          <w:shd w:val="clear" w:color="auto" w:fill="FFFFFF"/>
        </w:rPr>
        <w:t>—</w:t>
      </w:r>
      <w:r w:rsidR="001E2D13" w:rsidRPr="008D494D">
        <w:rPr>
          <w:rFonts w:cs="Arial"/>
          <w:sz w:val="26"/>
          <w:szCs w:val="26"/>
        </w:rPr>
        <w:t>amigas de la señora</w:t>
      </w:r>
      <w:r w:rsidR="001E2D13" w:rsidRPr="008D494D">
        <w:rPr>
          <w:rFonts w:cs="Arial"/>
          <w:color w:val="FF0000"/>
          <w:sz w:val="26"/>
          <w:szCs w:val="26"/>
        </w:rPr>
        <w:t xml:space="preserve"> GB</w:t>
      </w:r>
      <w:r w:rsidR="009768DE" w:rsidRPr="008D494D">
        <w:rPr>
          <w:rFonts w:cs="Arial"/>
          <w:color w:val="000000" w:themeColor="text1"/>
          <w:sz w:val="26"/>
          <w:szCs w:val="26"/>
        </w:rPr>
        <w:t>, quienes también acudieron a presentar la queja</w:t>
      </w:r>
      <w:r w:rsidR="001E2D13" w:rsidRPr="008D494D">
        <w:rPr>
          <w:rFonts w:cs="Arial"/>
          <w:color w:val="000000" w:themeColor="text1"/>
          <w:sz w:val="26"/>
          <w:szCs w:val="26"/>
          <w:shd w:val="clear" w:color="auto" w:fill="FFFFFF"/>
        </w:rPr>
        <w:t xml:space="preserve">— </w:t>
      </w:r>
      <w:r w:rsidR="00A20948" w:rsidRPr="008D494D">
        <w:rPr>
          <w:rFonts w:cs="Arial"/>
          <w:color w:val="000000" w:themeColor="text1"/>
          <w:sz w:val="26"/>
          <w:szCs w:val="26"/>
          <w:lang w:val="es-ES"/>
        </w:rPr>
        <w:t>ya habían sufrido</w:t>
      </w:r>
      <w:r w:rsidR="001E2D13" w:rsidRPr="008D494D">
        <w:rPr>
          <w:rFonts w:cs="Arial"/>
          <w:color w:val="000000" w:themeColor="text1"/>
          <w:sz w:val="26"/>
          <w:szCs w:val="26"/>
          <w:lang w:val="es-ES"/>
        </w:rPr>
        <w:t xml:space="preserve"> actos d</w:t>
      </w:r>
      <w:r w:rsidR="001E2D13" w:rsidRPr="008D494D">
        <w:rPr>
          <w:rFonts w:cs="Arial"/>
          <w:sz w:val="26"/>
          <w:szCs w:val="26"/>
          <w:lang w:val="es-ES"/>
        </w:rPr>
        <w:t>e</w:t>
      </w:r>
      <w:r w:rsidR="00A20948" w:rsidRPr="008D494D">
        <w:rPr>
          <w:rFonts w:cs="Arial"/>
          <w:sz w:val="26"/>
          <w:szCs w:val="26"/>
          <w:lang w:val="es-ES"/>
        </w:rPr>
        <w:t xml:space="preserve"> discriminación por los agentes de seguridad del centro comercial.</w:t>
      </w:r>
      <w:r w:rsidR="00062065" w:rsidRPr="008D494D">
        <w:rPr>
          <w:rFonts w:cs="Arial"/>
          <w:color w:val="000000" w:themeColor="text1"/>
          <w:sz w:val="26"/>
          <w:szCs w:val="26"/>
        </w:rPr>
        <w:t xml:space="preserve"> </w:t>
      </w:r>
      <w:r w:rsidR="008D494D" w:rsidRPr="008D494D">
        <w:rPr>
          <w:rFonts w:cs="Arial"/>
          <w:color w:val="000000" w:themeColor="text1"/>
          <w:sz w:val="26"/>
          <w:szCs w:val="26"/>
        </w:rPr>
        <w:t>Por ello</w:t>
      </w:r>
      <w:r w:rsidR="00062065" w:rsidRPr="008D494D">
        <w:rPr>
          <w:rFonts w:cs="Arial"/>
          <w:color w:val="000000" w:themeColor="text1"/>
          <w:sz w:val="26"/>
          <w:szCs w:val="26"/>
        </w:rPr>
        <w:t>, s</w:t>
      </w:r>
      <w:r w:rsidR="0008623A" w:rsidRPr="008D494D">
        <w:rPr>
          <w:rFonts w:cs="Arial"/>
          <w:color w:val="000000" w:themeColor="text1"/>
          <w:sz w:val="26"/>
          <w:szCs w:val="26"/>
          <w:lang w:val="es-ES"/>
        </w:rPr>
        <w:t xml:space="preserve">i bien no hay </w:t>
      </w:r>
      <w:r w:rsidR="00F804E6" w:rsidRPr="008D494D">
        <w:rPr>
          <w:rFonts w:cs="Arial"/>
          <w:color w:val="000000" w:themeColor="text1"/>
          <w:sz w:val="26"/>
          <w:szCs w:val="26"/>
          <w:lang w:val="es-ES"/>
        </w:rPr>
        <w:t xml:space="preserve">algún </w:t>
      </w:r>
      <w:r w:rsidR="0008623A" w:rsidRPr="008D494D">
        <w:rPr>
          <w:rFonts w:cs="Arial"/>
          <w:color w:val="000000" w:themeColor="text1"/>
          <w:sz w:val="26"/>
          <w:szCs w:val="26"/>
          <w:lang w:val="es-ES"/>
        </w:rPr>
        <w:t xml:space="preserve">elemento que </w:t>
      </w:r>
      <w:r w:rsidR="00337F2D" w:rsidRPr="008D494D">
        <w:rPr>
          <w:rFonts w:cs="Arial"/>
          <w:color w:val="000000" w:themeColor="text1"/>
          <w:sz w:val="26"/>
          <w:szCs w:val="26"/>
          <w:lang w:val="es-ES"/>
        </w:rPr>
        <w:t xml:space="preserve">permitiera a la </w:t>
      </w:r>
      <w:r w:rsidR="003A2326" w:rsidRPr="008D494D">
        <w:rPr>
          <w:rFonts w:cs="Arial"/>
          <w:color w:val="000000" w:themeColor="text1"/>
          <w:sz w:val="26"/>
          <w:szCs w:val="26"/>
          <w:lang w:val="es-ES"/>
        </w:rPr>
        <w:t>s</w:t>
      </w:r>
      <w:r w:rsidR="00337F2D" w:rsidRPr="008D494D">
        <w:rPr>
          <w:rFonts w:cs="Arial"/>
          <w:color w:val="000000" w:themeColor="text1"/>
          <w:sz w:val="26"/>
          <w:szCs w:val="26"/>
          <w:lang w:val="es-ES"/>
        </w:rPr>
        <w:t xml:space="preserve">ala </w:t>
      </w:r>
      <w:r w:rsidR="0008623A" w:rsidRPr="008D494D">
        <w:rPr>
          <w:rFonts w:cs="Arial"/>
          <w:color w:val="000000" w:themeColor="text1"/>
          <w:sz w:val="26"/>
          <w:szCs w:val="26"/>
          <w:lang w:val="es-ES"/>
        </w:rPr>
        <w:t>tener por demostrado directa</w:t>
      </w:r>
      <w:r w:rsidR="007075FA">
        <w:rPr>
          <w:rFonts w:cs="Arial"/>
          <w:color w:val="000000" w:themeColor="text1"/>
          <w:sz w:val="26"/>
          <w:szCs w:val="26"/>
          <w:lang w:val="es-ES"/>
        </w:rPr>
        <w:t>mente</w:t>
      </w:r>
      <w:r w:rsidR="0008623A" w:rsidRPr="008D494D">
        <w:rPr>
          <w:rFonts w:cs="Arial"/>
          <w:color w:val="000000" w:themeColor="text1"/>
          <w:sz w:val="26"/>
          <w:szCs w:val="26"/>
          <w:lang w:val="es-ES"/>
        </w:rPr>
        <w:t xml:space="preserve"> que el trato recibido en el módulo de quejas </w:t>
      </w:r>
      <w:r w:rsidR="00D43E2E" w:rsidRPr="008D494D">
        <w:rPr>
          <w:rFonts w:cs="Arial"/>
          <w:color w:val="000000" w:themeColor="text1"/>
          <w:sz w:val="26"/>
          <w:szCs w:val="26"/>
          <w:lang w:val="es-ES"/>
        </w:rPr>
        <w:t>obedeció a la identidad y expresión de género de la</w:t>
      </w:r>
      <w:r w:rsidR="00442A75" w:rsidRPr="008D494D">
        <w:rPr>
          <w:rFonts w:cs="Arial"/>
          <w:color w:val="000000" w:themeColor="text1"/>
          <w:sz w:val="26"/>
          <w:szCs w:val="26"/>
          <w:lang w:val="es-ES"/>
        </w:rPr>
        <w:t>s</w:t>
      </w:r>
      <w:r w:rsidR="00D43E2E" w:rsidRPr="008D494D">
        <w:rPr>
          <w:rFonts w:cs="Arial"/>
          <w:color w:val="000000" w:themeColor="text1"/>
          <w:sz w:val="26"/>
          <w:szCs w:val="26"/>
          <w:lang w:val="es-ES"/>
        </w:rPr>
        <w:t xml:space="preserve"> quejosa</w:t>
      </w:r>
      <w:r w:rsidR="00442A75" w:rsidRPr="008D494D">
        <w:rPr>
          <w:rFonts w:cs="Arial"/>
          <w:color w:val="000000" w:themeColor="text1"/>
          <w:sz w:val="26"/>
          <w:szCs w:val="26"/>
          <w:lang w:val="es-ES"/>
        </w:rPr>
        <w:t>s</w:t>
      </w:r>
      <w:r w:rsidR="0008623A" w:rsidRPr="008D494D">
        <w:rPr>
          <w:rFonts w:cs="Arial"/>
          <w:color w:val="000000" w:themeColor="text1"/>
          <w:sz w:val="26"/>
          <w:szCs w:val="26"/>
          <w:lang w:val="es-ES"/>
        </w:rPr>
        <w:t>, una valoración contextual</w:t>
      </w:r>
      <w:r w:rsidR="00337F2D" w:rsidRPr="008D494D">
        <w:rPr>
          <w:rFonts w:cs="Arial"/>
          <w:color w:val="000000" w:themeColor="text1"/>
          <w:sz w:val="26"/>
          <w:szCs w:val="26"/>
          <w:lang w:val="es-ES"/>
        </w:rPr>
        <w:t xml:space="preserve"> le</w:t>
      </w:r>
      <w:r w:rsidR="0008623A" w:rsidRPr="008D494D">
        <w:rPr>
          <w:rFonts w:cs="Arial"/>
          <w:color w:val="000000" w:themeColor="text1"/>
          <w:sz w:val="26"/>
          <w:szCs w:val="26"/>
          <w:lang w:val="es-ES"/>
        </w:rPr>
        <w:t xml:space="preserve"> hubiese permitido </w:t>
      </w:r>
      <w:r w:rsidR="00007AD5">
        <w:rPr>
          <w:rFonts w:cs="Arial"/>
          <w:color w:val="000000" w:themeColor="text1"/>
          <w:sz w:val="26"/>
          <w:szCs w:val="26"/>
          <w:lang w:val="es-ES"/>
        </w:rPr>
        <w:t>concebir</w:t>
      </w:r>
      <w:r w:rsidR="00007AD5" w:rsidRPr="008D494D">
        <w:rPr>
          <w:rFonts w:cs="Arial"/>
          <w:color w:val="000000" w:themeColor="text1"/>
          <w:sz w:val="26"/>
          <w:szCs w:val="26"/>
          <w:lang w:val="es-ES"/>
        </w:rPr>
        <w:t xml:space="preserve"> </w:t>
      </w:r>
      <w:r w:rsidR="00477C45" w:rsidRPr="008D494D">
        <w:rPr>
          <w:rFonts w:cs="Arial"/>
          <w:color w:val="000000" w:themeColor="text1"/>
          <w:sz w:val="26"/>
          <w:szCs w:val="26"/>
          <w:lang w:val="es-ES"/>
        </w:rPr>
        <w:t>dicha situación</w:t>
      </w:r>
      <w:r w:rsidR="009F2F98" w:rsidRPr="008D494D">
        <w:rPr>
          <w:rFonts w:cs="Arial"/>
          <w:color w:val="000000" w:themeColor="text1"/>
          <w:sz w:val="26"/>
          <w:szCs w:val="26"/>
          <w:lang w:val="es-ES"/>
        </w:rPr>
        <w:t xml:space="preserve"> como</w:t>
      </w:r>
      <w:r w:rsidR="00477C45" w:rsidRPr="008D494D">
        <w:rPr>
          <w:rFonts w:cs="Arial"/>
          <w:color w:val="000000" w:themeColor="text1"/>
          <w:sz w:val="26"/>
          <w:szCs w:val="26"/>
          <w:lang w:val="es-ES"/>
        </w:rPr>
        <w:t xml:space="preserve"> una continuación de</w:t>
      </w:r>
      <w:r w:rsidR="007B74C3">
        <w:rPr>
          <w:rFonts w:cs="Arial"/>
          <w:color w:val="000000" w:themeColor="text1"/>
          <w:sz w:val="26"/>
          <w:szCs w:val="26"/>
          <w:lang w:val="es-ES"/>
        </w:rPr>
        <w:t xml:space="preserve"> los actos previos</w:t>
      </w:r>
      <w:r w:rsidR="00477C45" w:rsidRPr="008D494D">
        <w:rPr>
          <w:rFonts w:cs="Arial"/>
          <w:color w:val="000000" w:themeColor="text1"/>
          <w:sz w:val="26"/>
          <w:szCs w:val="26"/>
          <w:lang w:val="es-ES"/>
        </w:rPr>
        <w:t>.</w:t>
      </w:r>
      <w:r w:rsidR="006555EC" w:rsidRPr="008D494D">
        <w:rPr>
          <w:rFonts w:cs="Arial"/>
          <w:color w:val="000000" w:themeColor="text1"/>
          <w:sz w:val="26"/>
          <w:szCs w:val="26"/>
          <w:lang w:val="es-ES"/>
        </w:rPr>
        <w:t xml:space="preserve"> A</w:t>
      </w:r>
      <w:r w:rsidR="006555EC" w:rsidRPr="00DC1845">
        <w:rPr>
          <w:rFonts w:cs="Arial"/>
          <w:color w:val="000000" w:themeColor="text1"/>
          <w:sz w:val="26"/>
          <w:szCs w:val="26"/>
          <w:lang w:val="es-ES"/>
        </w:rPr>
        <w:t xml:space="preserve">mbos eventos se dieron </w:t>
      </w:r>
      <w:r w:rsidR="00FE3104" w:rsidRPr="00DC1845">
        <w:rPr>
          <w:rFonts w:cs="Arial"/>
          <w:color w:val="000000" w:themeColor="text1"/>
          <w:sz w:val="26"/>
          <w:szCs w:val="26"/>
          <w:lang w:val="es-ES"/>
        </w:rPr>
        <w:t>de forma sucesiva</w:t>
      </w:r>
      <w:r w:rsidR="006555EC" w:rsidRPr="00DC1845">
        <w:rPr>
          <w:rFonts w:cs="Arial"/>
          <w:color w:val="000000" w:themeColor="text1"/>
          <w:sz w:val="26"/>
          <w:szCs w:val="26"/>
          <w:lang w:val="es-ES"/>
        </w:rPr>
        <w:t xml:space="preserve"> en un contexto de</w:t>
      </w:r>
      <w:r w:rsidR="00A00842" w:rsidRPr="00DC1845">
        <w:rPr>
          <w:rFonts w:cs="Arial"/>
          <w:color w:val="000000" w:themeColor="text1"/>
          <w:sz w:val="26"/>
          <w:szCs w:val="26"/>
          <w:lang w:val="es-ES"/>
        </w:rPr>
        <w:t xml:space="preserve"> rechazo y</w:t>
      </w:r>
      <w:r w:rsidR="006555EC" w:rsidRPr="00DC1845">
        <w:rPr>
          <w:rFonts w:cs="Arial"/>
          <w:color w:val="000000" w:themeColor="text1"/>
          <w:sz w:val="26"/>
          <w:szCs w:val="26"/>
          <w:lang w:val="es-ES"/>
        </w:rPr>
        <w:t xml:space="preserve"> trato hostil </w:t>
      </w:r>
      <w:r w:rsidR="00D43E2E" w:rsidRPr="00DC1845">
        <w:rPr>
          <w:rFonts w:cs="Arial"/>
          <w:color w:val="000000" w:themeColor="text1"/>
          <w:sz w:val="26"/>
          <w:szCs w:val="26"/>
          <w:lang w:val="es-ES"/>
        </w:rPr>
        <w:t>por parte de los elementos de seguridad del centro comercial</w:t>
      </w:r>
      <w:r w:rsidR="00D1206A" w:rsidRPr="00DC1845">
        <w:rPr>
          <w:rFonts w:cs="Arial"/>
          <w:color w:val="000000" w:themeColor="text1"/>
          <w:sz w:val="26"/>
          <w:szCs w:val="26"/>
          <w:lang w:val="es-ES"/>
        </w:rPr>
        <w:t xml:space="preserve"> respecto </w:t>
      </w:r>
      <w:r w:rsidR="00927BBD" w:rsidRPr="00DC1845">
        <w:rPr>
          <w:rFonts w:cs="Arial"/>
          <w:color w:val="000000" w:themeColor="text1"/>
          <w:sz w:val="26"/>
          <w:szCs w:val="26"/>
          <w:lang w:val="es-ES"/>
        </w:rPr>
        <w:t>de las</w:t>
      </w:r>
      <w:r w:rsidR="00D1206A" w:rsidRPr="00DC1845">
        <w:rPr>
          <w:rFonts w:cs="Arial"/>
          <w:color w:val="000000" w:themeColor="text1"/>
          <w:sz w:val="26"/>
          <w:szCs w:val="26"/>
          <w:lang w:val="es-ES"/>
        </w:rPr>
        <w:t xml:space="preserve"> mujeres trans, derivado del conflicto </w:t>
      </w:r>
      <w:r w:rsidR="0083052F">
        <w:rPr>
          <w:rFonts w:cs="Arial"/>
          <w:color w:val="000000" w:themeColor="text1"/>
          <w:sz w:val="26"/>
          <w:szCs w:val="26"/>
          <w:lang w:val="es-ES"/>
        </w:rPr>
        <w:t xml:space="preserve">generado </w:t>
      </w:r>
      <w:r w:rsidR="00402EE2">
        <w:rPr>
          <w:rFonts w:cs="Arial"/>
          <w:color w:val="000000" w:themeColor="text1"/>
          <w:sz w:val="26"/>
          <w:szCs w:val="26"/>
          <w:lang w:val="es-ES"/>
        </w:rPr>
        <w:t xml:space="preserve">cuando se les negó </w:t>
      </w:r>
      <w:r w:rsidR="00337F2D" w:rsidRPr="00DC1845">
        <w:rPr>
          <w:rFonts w:cs="Arial"/>
          <w:color w:val="000000" w:themeColor="text1"/>
          <w:sz w:val="26"/>
          <w:szCs w:val="26"/>
          <w:lang w:val="es-ES"/>
        </w:rPr>
        <w:t>a dos de ellas</w:t>
      </w:r>
      <w:r w:rsidR="001A0C2A" w:rsidRPr="00DC1845">
        <w:rPr>
          <w:rFonts w:cs="Arial"/>
          <w:color w:val="000000" w:themeColor="text1"/>
          <w:sz w:val="26"/>
          <w:szCs w:val="26"/>
          <w:lang w:val="es-ES"/>
        </w:rPr>
        <w:t xml:space="preserve"> </w:t>
      </w:r>
      <w:r w:rsidR="00AA3924" w:rsidRPr="00DC1845">
        <w:rPr>
          <w:rFonts w:cs="Arial"/>
          <w:color w:val="000000" w:themeColor="text1"/>
          <w:sz w:val="26"/>
          <w:szCs w:val="26"/>
          <w:lang w:val="es-ES"/>
        </w:rPr>
        <w:t>el ingreso</w:t>
      </w:r>
      <w:r w:rsidR="001A0C2A" w:rsidRPr="00DC1845">
        <w:rPr>
          <w:rFonts w:cs="Arial"/>
          <w:color w:val="000000" w:themeColor="text1"/>
          <w:sz w:val="26"/>
          <w:szCs w:val="26"/>
          <w:lang w:val="es-ES"/>
        </w:rPr>
        <w:t xml:space="preserve"> a los sanitarios </w:t>
      </w:r>
      <w:r w:rsidR="00A00842" w:rsidRPr="00DC1845">
        <w:rPr>
          <w:rFonts w:cs="Arial"/>
          <w:color w:val="000000" w:themeColor="text1"/>
          <w:sz w:val="26"/>
          <w:szCs w:val="26"/>
          <w:lang w:val="es-ES"/>
        </w:rPr>
        <w:t>del género con el que se identifican</w:t>
      </w:r>
      <w:r w:rsidR="001A0C2A" w:rsidRPr="00DC1845">
        <w:rPr>
          <w:rFonts w:cs="Arial"/>
          <w:color w:val="000000" w:themeColor="text1"/>
          <w:sz w:val="26"/>
          <w:szCs w:val="26"/>
          <w:lang w:val="es-ES"/>
        </w:rPr>
        <w:t xml:space="preserve"> y, una vez que lograron</w:t>
      </w:r>
      <w:r w:rsidR="0083052F">
        <w:rPr>
          <w:rFonts w:cs="Arial"/>
          <w:color w:val="000000" w:themeColor="text1"/>
          <w:sz w:val="26"/>
          <w:szCs w:val="26"/>
          <w:lang w:val="es-ES"/>
        </w:rPr>
        <w:t xml:space="preserve"> ingresar</w:t>
      </w:r>
      <w:r w:rsidR="00147176" w:rsidRPr="00DC1845">
        <w:rPr>
          <w:rFonts w:cs="Arial"/>
          <w:color w:val="000000" w:themeColor="text1"/>
          <w:sz w:val="26"/>
          <w:szCs w:val="26"/>
          <w:lang w:val="es-ES"/>
        </w:rPr>
        <w:t xml:space="preserve">, se </w:t>
      </w:r>
      <w:r w:rsidR="00A00842" w:rsidRPr="00DC1845">
        <w:rPr>
          <w:rFonts w:cs="Arial"/>
          <w:color w:val="000000" w:themeColor="text1"/>
          <w:sz w:val="26"/>
          <w:szCs w:val="26"/>
          <w:lang w:val="es-ES"/>
        </w:rPr>
        <w:t xml:space="preserve">impidió </w:t>
      </w:r>
      <w:r w:rsidR="0031644C" w:rsidRPr="00DC1845">
        <w:rPr>
          <w:rFonts w:cs="Arial"/>
          <w:color w:val="000000" w:themeColor="text1"/>
          <w:sz w:val="26"/>
          <w:szCs w:val="26"/>
          <w:lang w:val="es-ES"/>
        </w:rPr>
        <w:t>que</w:t>
      </w:r>
      <w:r w:rsidR="00A00842" w:rsidRPr="00DC1845">
        <w:rPr>
          <w:rFonts w:cs="Arial"/>
          <w:color w:val="000000" w:themeColor="text1"/>
          <w:sz w:val="26"/>
          <w:szCs w:val="26"/>
          <w:lang w:val="es-ES"/>
        </w:rPr>
        <w:t xml:space="preserve"> otras mujeres</w:t>
      </w:r>
      <w:r w:rsidR="0031644C" w:rsidRPr="00DC1845">
        <w:rPr>
          <w:rFonts w:cs="Arial"/>
          <w:color w:val="000000" w:themeColor="text1"/>
          <w:sz w:val="26"/>
          <w:szCs w:val="26"/>
          <w:lang w:val="es-ES"/>
        </w:rPr>
        <w:t xml:space="preserve"> accedieran</w:t>
      </w:r>
      <w:r w:rsidR="0083052F">
        <w:rPr>
          <w:rFonts w:cs="Arial"/>
          <w:color w:val="000000" w:themeColor="text1"/>
          <w:sz w:val="26"/>
          <w:szCs w:val="26"/>
          <w:lang w:val="es-ES"/>
        </w:rPr>
        <w:t>,</w:t>
      </w:r>
      <w:r w:rsidR="00A00842" w:rsidRPr="00DC1845">
        <w:rPr>
          <w:rFonts w:cs="Arial"/>
          <w:color w:val="000000" w:themeColor="text1"/>
          <w:sz w:val="26"/>
          <w:szCs w:val="26"/>
          <w:lang w:val="es-ES"/>
        </w:rPr>
        <w:t xml:space="preserve"> bajo la explicación de que había </w:t>
      </w:r>
      <w:r w:rsidR="00F34A2E">
        <w:rPr>
          <w:rFonts w:cs="Arial"/>
          <w:color w:val="000000" w:themeColor="text1"/>
          <w:sz w:val="26"/>
          <w:szCs w:val="26"/>
          <w:lang w:val="es-ES"/>
        </w:rPr>
        <w:t>“</w:t>
      </w:r>
      <w:r w:rsidR="00A00842" w:rsidRPr="00DC1845">
        <w:rPr>
          <w:rFonts w:cs="Arial"/>
          <w:color w:val="000000" w:themeColor="text1"/>
          <w:sz w:val="26"/>
          <w:szCs w:val="26"/>
          <w:lang w:val="es-ES"/>
        </w:rPr>
        <w:t>dos hombres</w:t>
      </w:r>
      <w:r w:rsidR="00F34A2E">
        <w:rPr>
          <w:rFonts w:cs="Arial"/>
          <w:color w:val="000000" w:themeColor="text1"/>
          <w:sz w:val="26"/>
          <w:szCs w:val="26"/>
          <w:lang w:val="es-ES"/>
        </w:rPr>
        <w:t>”</w:t>
      </w:r>
      <w:r w:rsidR="00A00842" w:rsidRPr="00DC1845">
        <w:rPr>
          <w:rFonts w:cs="Arial"/>
          <w:color w:val="000000" w:themeColor="text1"/>
          <w:sz w:val="26"/>
          <w:szCs w:val="26"/>
          <w:lang w:val="es-ES"/>
        </w:rPr>
        <w:t xml:space="preserve"> en el </w:t>
      </w:r>
      <w:r w:rsidR="00F34A2E">
        <w:rPr>
          <w:rFonts w:cs="Arial"/>
          <w:color w:val="000000" w:themeColor="text1"/>
          <w:sz w:val="26"/>
          <w:szCs w:val="26"/>
          <w:lang w:val="es-ES"/>
        </w:rPr>
        <w:t>sanitario.</w:t>
      </w:r>
    </w:p>
    <w:p w14:paraId="763B6949" w14:textId="77777777" w:rsidR="00A00842" w:rsidRPr="00062065" w:rsidRDefault="00A00842" w:rsidP="001A476B">
      <w:pPr>
        <w:pStyle w:val="corte4fondo"/>
        <w:ind w:right="51" w:hanging="567"/>
        <w:rPr>
          <w:rFonts w:cs="Arial"/>
          <w:color w:val="000000" w:themeColor="text1"/>
          <w:sz w:val="26"/>
          <w:szCs w:val="26"/>
        </w:rPr>
      </w:pPr>
    </w:p>
    <w:p w14:paraId="44CAB079" w14:textId="4EA66633" w:rsidR="00042ABD" w:rsidRPr="00062065" w:rsidRDefault="00E355BB" w:rsidP="001A476B">
      <w:pPr>
        <w:pStyle w:val="corte4fondo"/>
        <w:numPr>
          <w:ilvl w:val="0"/>
          <w:numId w:val="2"/>
        </w:numPr>
        <w:ind w:left="0" w:right="51" w:hanging="567"/>
        <w:rPr>
          <w:rFonts w:cs="Arial"/>
          <w:color w:val="000000" w:themeColor="text1"/>
          <w:sz w:val="26"/>
          <w:szCs w:val="26"/>
          <w:lang w:val="es-ES"/>
        </w:rPr>
      </w:pPr>
      <w:r>
        <w:rPr>
          <w:rFonts w:cs="Arial"/>
          <w:color w:val="000000" w:themeColor="text1"/>
          <w:sz w:val="26"/>
          <w:szCs w:val="26"/>
          <w:lang w:val="es-ES"/>
        </w:rPr>
        <w:t>Entonces</w:t>
      </w:r>
      <w:r w:rsidR="00B239EE">
        <w:rPr>
          <w:rFonts w:cs="Arial"/>
          <w:color w:val="000000" w:themeColor="text1"/>
          <w:sz w:val="26"/>
          <w:szCs w:val="26"/>
          <w:lang w:val="es-ES"/>
        </w:rPr>
        <w:t>, la sala</w:t>
      </w:r>
      <w:r w:rsidR="0009370D">
        <w:rPr>
          <w:rFonts w:cs="Arial"/>
          <w:color w:val="000000" w:themeColor="text1"/>
          <w:sz w:val="26"/>
          <w:szCs w:val="26"/>
          <w:lang w:val="es-ES"/>
        </w:rPr>
        <w:t xml:space="preserve"> responsable</w:t>
      </w:r>
      <w:r w:rsidR="00B239EE">
        <w:rPr>
          <w:rFonts w:cs="Arial"/>
          <w:color w:val="000000" w:themeColor="text1"/>
          <w:sz w:val="26"/>
          <w:szCs w:val="26"/>
          <w:lang w:val="es-ES"/>
        </w:rPr>
        <w:t xml:space="preserve"> debió </w:t>
      </w:r>
      <w:r w:rsidR="0035559D">
        <w:rPr>
          <w:rFonts w:cs="Arial"/>
          <w:color w:val="000000" w:themeColor="text1"/>
          <w:sz w:val="26"/>
          <w:szCs w:val="26"/>
          <w:lang w:val="es-ES"/>
        </w:rPr>
        <w:t xml:space="preserve">inferir que, </w:t>
      </w:r>
      <w:r w:rsidR="00AA3924" w:rsidRPr="00062065">
        <w:rPr>
          <w:rFonts w:cs="Arial"/>
          <w:color w:val="000000" w:themeColor="text1"/>
          <w:sz w:val="26"/>
          <w:szCs w:val="26"/>
          <w:lang w:val="es-ES"/>
        </w:rPr>
        <w:t>con</w:t>
      </w:r>
      <w:r w:rsidR="00267E32" w:rsidRPr="00062065">
        <w:rPr>
          <w:rFonts w:cs="Arial"/>
          <w:color w:val="000000" w:themeColor="text1"/>
          <w:sz w:val="26"/>
          <w:szCs w:val="26"/>
          <w:lang w:val="es-ES"/>
        </w:rPr>
        <w:t xml:space="preserve"> la conducta </w:t>
      </w:r>
      <w:r w:rsidR="0035559D">
        <w:rPr>
          <w:rFonts w:cs="Arial"/>
          <w:color w:val="000000" w:themeColor="text1"/>
          <w:sz w:val="26"/>
          <w:szCs w:val="26"/>
          <w:lang w:val="es-ES"/>
        </w:rPr>
        <w:t>del personal del centro comercial en el módulo de quejas, se</w:t>
      </w:r>
      <w:r w:rsidR="0035559D" w:rsidRPr="00062065">
        <w:rPr>
          <w:rFonts w:cs="Arial"/>
          <w:color w:val="000000" w:themeColor="text1"/>
          <w:sz w:val="26"/>
          <w:szCs w:val="26"/>
          <w:lang w:val="es-ES"/>
        </w:rPr>
        <w:t xml:space="preserve"> </w:t>
      </w:r>
      <w:r w:rsidR="00AA3924" w:rsidRPr="00062065">
        <w:rPr>
          <w:rFonts w:cs="Arial"/>
          <w:color w:val="000000" w:themeColor="text1"/>
          <w:sz w:val="26"/>
          <w:szCs w:val="26"/>
          <w:lang w:val="es-ES"/>
        </w:rPr>
        <w:t xml:space="preserve">pretendió </w:t>
      </w:r>
      <w:r w:rsidR="00BB05F3" w:rsidRPr="00062065">
        <w:rPr>
          <w:rFonts w:cs="Arial"/>
          <w:color w:val="000000" w:themeColor="text1"/>
          <w:sz w:val="26"/>
          <w:szCs w:val="26"/>
          <w:lang w:val="es-ES"/>
        </w:rPr>
        <w:t>minimizar</w:t>
      </w:r>
      <w:r w:rsidR="00042ABD" w:rsidRPr="00062065">
        <w:rPr>
          <w:rFonts w:cs="Arial"/>
          <w:color w:val="000000" w:themeColor="text1"/>
          <w:sz w:val="26"/>
          <w:szCs w:val="26"/>
          <w:lang w:val="es-ES"/>
        </w:rPr>
        <w:t xml:space="preserve"> </w:t>
      </w:r>
      <w:r w:rsidR="00AA3924" w:rsidRPr="00062065">
        <w:rPr>
          <w:rFonts w:cs="Arial"/>
          <w:color w:val="000000" w:themeColor="text1"/>
          <w:sz w:val="26"/>
          <w:szCs w:val="26"/>
          <w:lang w:val="es-ES"/>
        </w:rPr>
        <w:t xml:space="preserve">los hechos que sustentaban el reclamo </w:t>
      </w:r>
      <w:r w:rsidR="0035559D">
        <w:rPr>
          <w:rFonts w:cs="Arial"/>
          <w:color w:val="000000" w:themeColor="text1"/>
          <w:sz w:val="26"/>
          <w:szCs w:val="26"/>
          <w:lang w:val="es-ES"/>
        </w:rPr>
        <w:t xml:space="preserve">de las quejosas </w:t>
      </w:r>
      <w:r w:rsidR="00AA3924" w:rsidRPr="00062065">
        <w:rPr>
          <w:rFonts w:cs="Arial"/>
          <w:color w:val="000000" w:themeColor="text1"/>
          <w:sz w:val="26"/>
          <w:szCs w:val="26"/>
          <w:lang w:val="es-ES"/>
        </w:rPr>
        <w:t xml:space="preserve">y obstaculizar </w:t>
      </w:r>
      <w:r w:rsidR="00C90FE1">
        <w:rPr>
          <w:rFonts w:cs="Arial"/>
          <w:color w:val="000000" w:themeColor="text1"/>
          <w:sz w:val="26"/>
          <w:szCs w:val="26"/>
          <w:lang w:val="es-ES"/>
        </w:rPr>
        <w:t>la</w:t>
      </w:r>
      <w:r w:rsidR="00C90FE1" w:rsidRPr="00062065">
        <w:rPr>
          <w:rFonts w:cs="Arial"/>
          <w:color w:val="000000" w:themeColor="text1"/>
          <w:sz w:val="26"/>
          <w:szCs w:val="26"/>
          <w:lang w:val="es-ES"/>
        </w:rPr>
        <w:t xml:space="preserve"> </w:t>
      </w:r>
      <w:r w:rsidR="00AA3924" w:rsidRPr="00062065">
        <w:rPr>
          <w:rFonts w:cs="Arial"/>
          <w:color w:val="000000" w:themeColor="text1"/>
          <w:sz w:val="26"/>
          <w:szCs w:val="26"/>
          <w:lang w:val="es-ES"/>
        </w:rPr>
        <w:t>presentación</w:t>
      </w:r>
      <w:r w:rsidR="00C90FE1">
        <w:rPr>
          <w:rFonts w:cs="Arial"/>
          <w:color w:val="000000" w:themeColor="text1"/>
          <w:sz w:val="26"/>
          <w:szCs w:val="26"/>
          <w:lang w:val="es-ES"/>
        </w:rPr>
        <w:t xml:space="preserve"> de la queja</w:t>
      </w:r>
      <w:r w:rsidR="00AA3924" w:rsidRPr="00062065">
        <w:rPr>
          <w:rFonts w:cs="Arial"/>
          <w:color w:val="000000" w:themeColor="text1"/>
          <w:sz w:val="26"/>
          <w:szCs w:val="26"/>
          <w:lang w:val="es-ES"/>
        </w:rPr>
        <w:t xml:space="preserve">, </w:t>
      </w:r>
      <w:r w:rsidR="00C90FE1">
        <w:rPr>
          <w:rFonts w:cs="Arial"/>
          <w:color w:val="000000" w:themeColor="text1"/>
          <w:sz w:val="26"/>
          <w:szCs w:val="26"/>
          <w:lang w:val="es-ES"/>
        </w:rPr>
        <w:t>como una forma de</w:t>
      </w:r>
      <w:r w:rsidR="00AA3924" w:rsidRPr="00062065">
        <w:rPr>
          <w:rFonts w:cs="Arial"/>
          <w:color w:val="000000" w:themeColor="text1"/>
          <w:sz w:val="26"/>
          <w:szCs w:val="26"/>
          <w:lang w:val="es-ES"/>
        </w:rPr>
        <w:t xml:space="preserve"> </w:t>
      </w:r>
      <w:r w:rsidR="00042ABD" w:rsidRPr="00062065">
        <w:rPr>
          <w:rFonts w:cs="Arial"/>
          <w:color w:val="000000" w:themeColor="text1"/>
          <w:sz w:val="26"/>
          <w:szCs w:val="26"/>
          <w:lang w:val="es-ES"/>
        </w:rPr>
        <w:t xml:space="preserve">convalidar </w:t>
      </w:r>
      <w:r w:rsidR="00AA3924" w:rsidRPr="00062065">
        <w:rPr>
          <w:rFonts w:cs="Arial"/>
          <w:color w:val="000000" w:themeColor="text1"/>
          <w:sz w:val="26"/>
          <w:szCs w:val="26"/>
          <w:lang w:val="es-ES"/>
        </w:rPr>
        <w:t>el</w:t>
      </w:r>
      <w:r w:rsidR="00042ABD" w:rsidRPr="00062065">
        <w:rPr>
          <w:rFonts w:cs="Arial"/>
          <w:color w:val="000000" w:themeColor="text1"/>
          <w:sz w:val="26"/>
          <w:szCs w:val="26"/>
          <w:lang w:val="es-ES"/>
        </w:rPr>
        <w:t xml:space="preserve"> actuar de los elementos de seguridad del centro comercial.</w:t>
      </w:r>
      <w:r w:rsidR="00EB2604">
        <w:rPr>
          <w:rFonts w:cs="Arial"/>
          <w:color w:val="000000" w:themeColor="text1"/>
          <w:sz w:val="26"/>
          <w:szCs w:val="26"/>
          <w:lang w:val="es-ES"/>
        </w:rPr>
        <w:t xml:space="preserve"> </w:t>
      </w:r>
      <w:r w:rsidR="00972A6E">
        <w:rPr>
          <w:rFonts w:cs="Arial"/>
          <w:color w:val="000000" w:themeColor="text1"/>
          <w:sz w:val="26"/>
          <w:szCs w:val="26"/>
          <w:lang w:val="es-ES"/>
        </w:rPr>
        <w:t>Asimismo,</w:t>
      </w:r>
      <w:r w:rsidR="00EB2604" w:rsidRPr="001D1CE3">
        <w:rPr>
          <w:rFonts w:cs="Arial"/>
          <w:color w:val="000000" w:themeColor="text1"/>
          <w:sz w:val="26"/>
          <w:szCs w:val="26"/>
          <w:lang w:val="es-ES"/>
        </w:rPr>
        <w:t xml:space="preserve"> dado que e</w:t>
      </w:r>
      <w:r w:rsidR="00847E8F" w:rsidRPr="001D1CE3">
        <w:rPr>
          <w:rFonts w:cs="Arial"/>
          <w:color w:val="000000" w:themeColor="text1"/>
          <w:sz w:val="26"/>
          <w:szCs w:val="26"/>
          <w:lang w:val="es-ES"/>
        </w:rPr>
        <w:t xml:space="preserve">l trato por parte del personal se tradujo en un impedimento para que la señora </w:t>
      </w:r>
      <w:r w:rsidR="00847E8F" w:rsidRPr="001D1CE3">
        <w:rPr>
          <w:rFonts w:cs="Arial"/>
          <w:color w:val="FF0000"/>
          <w:sz w:val="26"/>
          <w:szCs w:val="26"/>
          <w:lang w:val="es-ES"/>
        </w:rPr>
        <w:t>GB</w:t>
      </w:r>
      <w:r w:rsidR="00847E8F" w:rsidRPr="001D1CE3">
        <w:rPr>
          <w:rFonts w:cs="Arial"/>
          <w:color w:val="000000" w:themeColor="text1"/>
          <w:sz w:val="26"/>
          <w:szCs w:val="26"/>
          <w:lang w:val="es-ES"/>
        </w:rPr>
        <w:t xml:space="preserve"> </w:t>
      </w:r>
      <w:r w:rsidR="00EB2604" w:rsidRPr="001D1CE3">
        <w:rPr>
          <w:rFonts w:cs="Arial"/>
          <w:color w:val="000000" w:themeColor="text1"/>
          <w:sz w:val="26"/>
          <w:szCs w:val="26"/>
          <w:lang w:val="es-ES"/>
        </w:rPr>
        <w:t>y sus compañera</w:t>
      </w:r>
      <w:r w:rsidR="001D1CE3" w:rsidRPr="001D1CE3">
        <w:rPr>
          <w:rFonts w:cs="Arial"/>
          <w:color w:val="000000" w:themeColor="text1"/>
          <w:sz w:val="26"/>
          <w:szCs w:val="26"/>
          <w:lang w:val="es-ES"/>
        </w:rPr>
        <w:t>s</w:t>
      </w:r>
      <w:r w:rsidR="00EB2604" w:rsidRPr="001D1CE3">
        <w:rPr>
          <w:rFonts w:cs="Arial"/>
          <w:color w:val="000000" w:themeColor="text1"/>
          <w:sz w:val="26"/>
          <w:szCs w:val="26"/>
          <w:lang w:val="es-ES"/>
        </w:rPr>
        <w:t xml:space="preserve"> de denunciar </w:t>
      </w:r>
      <w:r w:rsidR="001D1CE3" w:rsidRPr="001D1CE3">
        <w:rPr>
          <w:rFonts w:cs="Arial"/>
          <w:color w:val="000000" w:themeColor="text1"/>
          <w:sz w:val="26"/>
          <w:szCs w:val="26"/>
          <w:lang w:val="es-ES"/>
        </w:rPr>
        <w:t>los</w:t>
      </w:r>
      <w:r w:rsidR="00847E8F" w:rsidRPr="001D1CE3">
        <w:rPr>
          <w:rFonts w:cs="Arial"/>
          <w:color w:val="000000" w:themeColor="text1"/>
          <w:sz w:val="26"/>
          <w:szCs w:val="26"/>
          <w:lang w:val="es-ES"/>
        </w:rPr>
        <w:t xml:space="preserve"> </w:t>
      </w:r>
      <w:r w:rsidR="001D1CE3" w:rsidRPr="001D1CE3">
        <w:rPr>
          <w:rFonts w:cs="Arial"/>
          <w:color w:val="000000" w:themeColor="text1"/>
          <w:sz w:val="26"/>
          <w:szCs w:val="26"/>
          <w:lang w:val="es-ES"/>
        </w:rPr>
        <w:t>actos</w:t>
      </w:r>
      <w:r w:rsidR="00847E8F" w:rsidRPr="001D1CE3">
        <w:rPr>
          <w:rFonts w:cs="Arial"/>
          <w:color w:val="000000" w:themeColor="text1"/>
          <w:sz w:val="26"/>
          <w:szCs w:val="26"/>
          <w:lang w:val="es-ES"/>
        </w:rPr>
        <w:t xml:space="preserve"> de discriminación</w:t>
      </w:r>
      <w:r w:rsidR="00EB2604" w:rsidRPr="001D1CE3">
        <w:rPr>
          <w:rFonts w:cs="Arial"/>
          <w:color w:val="000000" w:themeColor="text1"/>
          <w:sz w:val="26"/>
          <w:szCs w:val="26"/>
          <w:lang w:val="es-ES"/>
        </w:rPr>
        <w:t xml:space="preserve"> previ</w:t>
      </w:r>
      <w:r w:rsidR="001D1CE3" w:rsidRPr="001D1CE3">
        <w:rPr>
          <w:rFonts w:cs="Arial"/>
          <w:color w:val="000000" w:themeColor="text1"/>
          <w:sz w:val="26"/>
          <w:szCs w:val="26"/>
          <w:lang w:val="es-ES"/>
        </w:rPr>
        <w:t>os</w:t>
      </w:r>
      <w:r w:rsidR="00847E8F" w:rsidRPr="001D1CE3">
        <w:rPr>
          <w:rFonts w:cs="Arial"/>
          <w:color w:val="000000" w:themeColor="text1"/>
          <w:sz w:val="26"/>
          <w:szCs w:val="26"/>
          <w:lang w:val="es-ES"/>
        </w:rPr>
        <w:t xml:space="preserve">, </w:t>
      </w:r>
      <w:r w:rsidR="00F10450">
        <w:rPr>
          <w:rFonts w:cs="Arial"/>
          <w:color w:val="000000" w:themeColor="text1"/>
          <w:sz w:val="26"/>
          <w:szCs w:val="26"/>
          <w:lang w:val="es-ES"/>
        </w:rPr>
        <w:t xml:space="preserve">se presume que </w:t>
      </w:r>
      <w:r w:rsidR="001D1CE3" w:rsidRPr="00DC1845">
        <w:rPr>
          <w:rFonts w:cs="Arial"/>
          <w:color w:val="000000" w:themeColor="text1"/>
          <w:sz w:val="26"/>
          <w:szCs w:val="26"/>
          <w:lang w:val="es-ES"/>
        </w:rPr>
        <w:t xml:space="preserve">el personal buscó </w:t>
      </w:r>
      <w:r w:rsidR="0031644C" w:rsidRPr="001D1CE3">
        <w:rPr>
          <w:rFonts w:cs="Arial"/>
          <w:color w:val="000000" w:themeColor="text1"/>
          <w:sz w:val="26"/>
          <w:szCs w:val="26"/>
          <w:lang w:val="es-ES"/>
        </w:rPr>
        <w:t>invisibiliza</w:t>
      </w:r>
      <w:r w:rsidR="001D1CE3" w:rsidRPr="00DC1845">
        <w:rPr>
          <w:rFonts w:cs="Arial"/>
          <w:color w:val="000000" w:themeColor="text1"/>
          <w:sz w:val="26"/>
          <w:szCs w:val="26"/>
          <w:lang w:val="es-ES"/>
        </w:rPr>
        <w:t>r</w:t>
      </w:r>
      <w:r w:rsidR="0031644C" w:rsidRPr="001D1CE3">
        <w:rPr>
          <w:rFonts w:cs="Arial"/>
          <w:color w:val="000000" w:themeColor="text1"/>
          <w:sz w:val="26"/>
          <w:szCs w:val="26"/>
          <w:lang w:val="es-ES"/>
        </w:rPr>
        <w:t xml:space="preserve"> la violencia y discriminación que sufrieron </w:t>
      </w:r>
      <w:r w:rsidR="001D1CE3" w:rsidRPr="00DC1845">
        <w:rPr>
          <w:rFonts w:cs="Arial"/>
          <w:color w:val="000000" w:themeColor="text1"/>
          <w:sz w:val="26"/>
          <w:szCs w:val="26"/>
          <w:lang w:val="es-ES"/>
        </w:rPr>
        <w:t xml:space="preserve">las quejosas </w:t>
      </w:r>
      <w:r w:rsidR="0031644C" w:rsidRPr="00BE050F">
        <w:rPr>
          <w:rFonts w:cs="Arial"/>
          <w:color w:val="000000" w:themeColor="text1"/>
          <w:sz w:val="26"/>
          <w:szCs w:val="26"/>
          <w:lang w:val="es-ES"/>
        </w:rPr>
        <w:t xml:space="preserve">como </w:t>
      </w:r>
      <w:r w:rsidR="0031644C" w:rsidRPr="00DC1845">
        <w:rPr>
          <w:rFonts w:cs="Arial"/>
          <w:color w:val="000000" w:themeColor="text1"/>
          <w:sz w:val="26"/>
          <w:szCs w:val="26"/>
          <w:lang w:val="es-ES"/>
        </w:rPr>
        <w:t>mujeres trans</w:t>
      </w:r>
      <w:r w:rsidR="0031644C" w:rsidRPr="00BE050F">
        <w:rPr>
          <w:rFonts w:cs="Arial"/>
          <w:color w:val="000000" w:themeColor="text1"/>
          <w:sz w:val="26"/>
          <w:szCs w:val="26"/>
          <w:lang w:val="es-ES"/>
        </w:rPr>
        <w:t>.</w:t>
      </w:r>
    </w:p>
    <w:p w14:paraId="0B61979C" w14:textId="77777777" w:rsidR="00267E32" w:rsidRPr="00062065" w:rsidRDefault="00267E32" w:rsidP="001A476B">
      <w:pPr>
        <w:pStyle w:val="corte4fondo"/>
        <w:ind w:right="51" w:hanging="567"/>
        <w:rPr>
          <w:rFonts w:cs="Arial"/>
          <w:color w:val="000000" w:themeColor="text1"/>
          <w:sz w:val="26"/>
          <w:szCs w:val="26"/>
        </w:rPr>
      </w:pPr>
    </w:p>
    <w:p w14:paraId="2092859D" w14:textId="7655B31A" w:rsidR="00A91559" w:rsidRPr="00062065" w:rsidRDefault="00BE050F" w:rsidP="001A476B">
      <w:pPr>
        <w:pStyle w:val="corte4fondo"/>
        <w:numPr>
          <w:ilvl w:val="0"/>
          <w:numId w:val="2"/>
        </w:numPr>
        <w:ind w:left="0" w:right="51" w:hanging="567"/>
        <w:rPr>
          <w:rFonts w:cs="Arial"/>
          <w:color w:val="000000" w:themeColor="text1"/>
          <w:sz w:val="26"/>
          <w:szCs w:val="26"/>
          <w:lang w:val="es-ES"/>
        </w:rPr>
      </w:pPr>
      <w:r>
        <w:rPr>
          <w:rFonts w:cs="Arial"/>
          <w:color w:val="000000" w:themeColor="text1"/>
          <w:sz w:val="26"/>
          <w:szCs w:val="26"/>
          <w:lang w:val="es-ES"/>
        </w:rPr>
        <w:t>De esta forma, un</w:t>
      </w:r>
      <w:r w:rsidR="00D04FF7" w:rsidRPr="00062065">
        <w:rPr>
          <w:rFonts w:cs="Arial"/>
          <w:color w:val="000000" w:themeColor="text1"/>
          <w:sz w:val="26"/>
          <w:szCs w:val="26"/>
          <w:lang w:val="es-ES"/>
        </w:rPr>
        <w:t xml:space="preserve"> </w:t>
      </w:r>
      <w:r w:rsidR="00FB17B8" w:rsidRPr="00062065">
        <w:rPr>
          <w:rFonts w:cs="Arial"/>
          <w:color w:val="000000" w:themeColor="text1"/>
          <w:sz w:val="26"/>
          <w:szCs w:val="26"/>
          <w:lang w:val="es-ES"/>
        </w:rPr>
        <w:t>estudio</w:t>
      </w:r>
      <w:r w:rsidR="002E08EA" w:rsidRPr="00062065">
        <w:rPr>
          <w:rFonts w:cs="Arial"/>
          <w:color w:val="000000" w:themeColor="text1"/>
          <w:sz w:val="26"/>
          <w:szCs w:val="26"/>
          <w:lang w:val="es-ES"/>
        </w:rPr>
        <w:t xml:space="preserve"> </w:t>
      </w:r>
      <w:r>
        <w:rPr>
          <w:rFonts w:cs="Arial"/>
          <w:color w:val="000000" w:themeColor="text1"/>
          <w:sz w:val="26"/>
          <w:szCs w:val="26"/>
          <w:lang w:val="es-ES"/>
        </w:rPr>
        <w:t>con perspectiva de</w:t>
      </w:r>
      <w:r w:rsidR="002E08EA" w:rsidRPr="00062065">
        <w:rPr>
          <w:rFonts w:cs="Arial"/>
          <w:color w:val="000000" w:themeColor="text1"/>
          <w:sz w:val="26"/>
          <w:szCs w:val="26"/>
          <w:lang w:val="es-ES"/>
        </w:rPr>
        <w:t xml:space="preserve"> género </w:t>
      </w:r>
      <w:r w:rsidR="00D04FF7">
        <w:rPr>
          <w:rFonts w:cs="Arial"/>
          <w:color w:val="000000" w:themeColor="text1"/>
          <w:sz w:val="26"/>
          <w:szCs w:val="26"/>
          <w:lang w:val="es-ES"/>
        </w:rPr>
        <w:t>hubiera permitido a la</w:t>
      </w:r>
      <w:r w:rsidR="00D04FF7" w:rsidRPr="00062065">
        <w:rPr>
          <w:rFonts w:cs="Arial"/>
          <w:color w:val="000000" w:themeColor="text1"/>
          <w:sz w:val="26"/>
          <w:szCs w:val="26"/>
          <w:lang w:val="es-ES"/>
        </w:rPr>
        <w:t xml:space="preserve"> </w:t>
      </w:r>
      <w:r w:rsidR="00D04FF7">
        <w:rPr>
          <w:rFonts w:cs="Arial"/>
          <w:color w:val="000000" w:themeColor="text1"/>
          <w:sz w:val="26"/>
          <w:szCs w:val="26"/>
          <w:lang w:val="es-ES"/>
        </w:rPr>
        <w:t>sala responsable</w:t>
      </w:r>
      <w:r w:rsidR="000A706C" w:rsidRPr="00062065">
        <w:rPr>
          <w:rFonts w:cs="Arial"/>
          <w:color w:val="000000" w:themeColor="text1"/>
          <w:sz w:val="26"/>
          <w:szCs w:val="26"/>
          <w:lang w:val="es-ES"/>
        </w:rPr>
        <w:t xml:space="preserve"> evidenciar las implicaciones que conductas aparentemente neutrales</w:t>
      </w:r>
      <w:r w:rsidR="005430FF">
        <w:rPr>
          <w:rFonts w:cs="Arial"/>
          <w:color w:val="000000" w:themeColor="text1"/>
          <w:sz w:val="26"/>
          <w:szCs w:val="26"/>
          <w:lang w:val="es-ES"/>
        </w:rPr>
        <w:t xml:space="preserve"> </w:t>
      </w:r>
      <w:r w:rsidR="000A706C" w:rsidRPr="00062065">
        <w:rPr>
          <w:rFonts w:cs="Arial"/>
          <w:color w:val="000000" w:themeColor="text1"/>
          <w:sz w:val="26"/>
          <w:szCs w:val="26"/>
          <w:lang w:val="es-ES"/>
        </w:rPr>
        <w:t xml:space="preserve">tienen para las </w:t>
      </w:r>
      <w:r w:rsidR="000A706C" w:rsidRPr="00062065" w:rsidDel="002812A7">
        <w:rPr>
          <w:rFonts w:cs="Arial"/>
          <w:color w:val="000000" w:themeColor="text1"/>
          <w:sz w:val="26"/>
          <w:szCs w:val="26"/>
          <w:lang w:val="es-ES"/>
        </w:rPr>
        <w:t xml:space="preserve">personas </w:t>
      </w:r>
      <w:r w:rsidR="005E0D71" w:rsidRPr="00DC1845">
        <w:rPr>
          <w:rFonts w:cs="Arial"/>
          <w:color w:val="000000" w:themeColor="text1"/>
          <w:sz w:val="26"/>
          <w:szCs w:val="26"/>
          <w:lang w:val="es-ES"/>
        </w:rPr>
        <w:t>trans</w:t>
      </w:r>
      <w:r w:rsidR="005E0D71" w:rsidRPr="00D04FF7">
        <w:rPr>
          <w:rFonts w:cs="Arial"/>
          <w:color w:val="000000" w:themeColor="text1"/>
          <w:sz w:val="26"/>
          <w:szCs w:val="26"/>
          <w:lang w:val="es-ES"/>
        </w:rPr>
        <w:t>.</w:t>
      </w:r>
      <w:r w:rsidR="00AA6D7B">
        <w:rPr>
          <w:rFonts w:cs="Arial"/>
          <w:color w:val="000000" w:themeColor="text1"/>
          <w:sz w:val="26"/>
          <w:szCs w:val="26"/>
          <w:lang w:val="es-ES"/>
        </w:rPr>
        <w:t xml:space="preserve"> Dado </w:t>
      </w:r>
      <w:r w:rsidR="00956504" w:rsidRPr="00062065">
        <w:rPr>
          <w:rFonts w:cs="Arial"/>
          <w:color w:val="000000" w:themeColor="text1"/>
          <w:sz w:val="26"/>
          <w:szCs w:val="26"/>
          <w:lang w:val="es-ES"/>
        </w:rPr>
        <w:t>que lo sucedido en el módulo de atención</w:t>
      </w:r>
      <w:r w:rsidR="00531D6C" w:rsidRPr="00062065">
        <w:rPr>
          <w:rFonts w:cs="Arial"/>
          <w:color w:val="000000" w:themeColor="text1"/>
          <w:sz w:val="26"/>
          <w:szCs w:val="26"/>
          <w:lang w:val="es-ES"/>
        </w:rPr>
        <w:t xml:space="preserve"> </w:t>
      </w:r>
      <w:r w:rsidR="00956504" w:rsidRPr="00062065">
        <w:rPr>
          <w:rFonts w:cs="Arial"/>
          <w:color w:val="000000" w:themeColor="text1"/>
          <w:sz w:val="26"/>
          <w:szCs w:val="26"/>
          <w:lang w:val="es-ES"/>
        </w:rPr>
        <w:t>obstruyó</w:t>
      </w:r>
      <w:r w:rsidR="008E2CEF">
        <w:rPr>
          <w:rFonts w:cs="Arial"/>
          <w:color w:val="000000" w:themeColor="text1"/>
          <w:sz w:val="26"/>
          <w:szCs w:val="26"/>
          <w:lang w:val="es-ES"/>
        </w:rPr>
        <w:t xml:space="preserve"> la presentación </w:t>
      </w:r>
      <w:r w:rsidR="00D300A0" w:rsidRPr="00062065">
        <w:rPr>
          <w:rFonts w:cs="Arial"/>
          <w:color w:val="000000" w:themeColor="text1"/>
          <w:sz w:val="26"/>
          <w:szCs w:val="26"/>
          <w:lang w:val="es-ES"/>
        </w:rPr>
        <w:t xml:space="preserve">de </w:t>
      </w:r>
      <w:r w:rsidR="008E2CEF">
        <w:rPr>
          <w:rFonts w:cs="Arial"/>
          <w:color w:val="000000" w:themeColor="text1"/>
          <w:sz w:val="26"/>
          <w:szCs w:val="26"/>
          <w:lang w:val="es-ES"/>
        </w:rPr>
        <w:t>la</w:t>
      </w:r>
      <w:r w:rsidR="008E2CEF" w:rsidRPr="00062065">
        <w:rPr>
          <w:rFonts w:cs="Arial"/>
          <w:color w:val="000000" w:themeColor="text1"/>
          <w:sz w:val="26"/>
          <w:szCs w:val="26"/>
          <w:lang w:val="es-ES"/>
        </w:rPr>
        <w:t xml:space="preserve"> </w:t>
      </w:r>
      <w:r w:rsidR="00D300A0" w:rsidRPr="00062065">
        <w:rPr>
          <w:rFonts w:cs="Arial"/>
          <w:color w:val="000000" w:themeColor="text1"/>
          <w:sz w:val="26"/>
          <w:szCs w:val="26"/>
          <w:lang w:val="es-ES"/>
        </w:rPr>
        <w:t xml:space="preserve">queja, </w:t>
      </w:r>
      <w:r w:rsidR="0092712C">
        <w:rPr>
          <w:rFonts w:cs="Arial"/>
          <w:color w:val="000000" w:themeColor="text1"/>
          <w:sz w:val="26"/>
          <w:szCs w:val="26"/>
          <w:lang w:val="es-ES"/>
        </w:rPr>
        <w:t xml:space="preserve">implícitamente se reforzó </w:t>
      </w:r>
      <w:r w:rsidR="009943A1" w:rsidRPr="00062065">
        <w:rPr>
          <w:rFonts w:cs="Arial"/>
          <w:color w:val="000000" w:themeColor="text1"/>
          <w:sz w:val="26"/>
          <w:szCs w:val="26"/>
          <w:lang w:val="es-ES"/>
        </w:rPr>
        <w:t xml:space="preserve">el </w:t>
      </w:r>
      <w:r w:rsidR="001E7C91" w:rsidRPr="00062065">
        <w:rPr>
          <w:rFonts w:cs="Arial"/>
          <w:color w:val="000000" w:themeColor="text1"/>
          <w:sz w:val="26"/>
          <w:szCs w:val="26"/>
          <w:lang w:val="es-ES"/>
        </w:rPr>
        <w:t>prejuicio</w:t>
      </w:r>
      <w:r w:rsidR="009943A1" w:rsidRPr="00062065">
        <w:rPr>
          <w:rFonts w:cs="Arial"/>
          <w:color w:val="000000" w:themeColor="text1"/>
          <w:sz w:val="26"/>
          <w:szCs w:val="26"/>
          <w:lang w:val="es-ES"/>
        </w:rPr>
        <w:t xml:space="preserve"> de que las personas trans deben tolerar los cuestionamientos sobre su identidad de género</w:t>
      </w:r>
      <w:r w:rsidR="00ED7048" w:rsidRPr="00062065">
        <w:rPr>
          <w:rFonts w:cs="Arial"/>
          <w:color w:val="000000" w:themeColor="text1"/>
          <w:sz w:val="26"/>
          <w:szCs w:val="26"/>
          <w:lang w:val="es-ES"/>
        </w:rPr>
        <w:t>.</w:t>
      </w:r>
      <w:r w:rsidR="009266F2">
        <w:rPr>
          <w:rFonts w:cs="Arial"/>
          <w:color w:val="000000" w:themeColor="text1"/>
          <w:sz w:val="26"/>
          <w:szCs w:val="26"/>
          <w:lang w:val="es-ES"/>
        </w:rPr>
        <w:t xml:space="preserve"> </w:t>
      </w:r>
      <w:r w:rsidR="00433DA9">
        <w:rPr>
          <w:rFonts w:cs="Arial"/>
          <w:color w:val="000000" w:themeColor="text1"/>
          <w:sz w:val="26"/>
          <w:szCs w:val="26"/>
          <w:lang w:val="es-ES"/>
        </w:rPr>
        <w:t xml:space="preserve">Incluso, </w:t>
      </w:r>
      <w:r w:rsidR="00C76674" w:rsidRPr="00062065">
        <w:rPr>
          <w:rFonts w:cs="Arial"/>
          <w:color w:val="000000" w:themeColor="text1"/>
          <w:sz w:val="26"/>
          <w:szCs w:val="26"/>
          <w:lang w:val="es-ES"/>
        </w:rPr>
        <w:t>es plausible presumir que</w:t>
      </w:r>
      <w:r w:rsidR="005430FF">
        <w:rPr>
          <w:rFonts w:cs="Arial"/>
          <w:color w:val="000000" w:themeColor="text1"/>
          <w:sz w:val="26"/>
          <w:szCs w:val="26"/>
          <w:lang w:val="es-ES"/>
        </w:rPr>
        <w:t xml:space="preserve">, con su </w:t>
      </w:r>
      <w:r w:rsidR="00E20830" w:rsidRPr="00062065">
        <w:rPr>
          <w:rFonts w:cs="Arial"/>
          <w:color w:val="000000" w:themeColor="text1"/>
          <w:sz w:val="26"/>
          <w:szCs w:val="26"/>
          <w:lang w:val="es-ES"/>
        </w:rPr>
        <w:t>conducta</w:t>
      </w:r>
      <w:r w:rsidR="005430FF">
        <w:rPr>
          <w:rFonts w:cs="Arial"/>
          <w:color w:val="000000" w:themeColor="text1"/>
          <w:sz w:val="26"/>
          <w:szCs w:val="26"/>
          <w:lang w:val="es-ES"/>
        </w:rPr>
        <w:t>, el personal</w:t>
      </w:r>
      <w:r w:rsidR="005430FF" w:rsidRPr="00062065">
        <w:rPr>
          <w:rFonts w:cs="Arial"/>
          <w:color w:val="000000" w:themeColor="text1"/>
          <w:sz w:val="26"/>
          <w:szCs w:val="26"/>
          <w:lang w:val="es-ES"/>
        </w:rPr>
        <w:t xml:space="preserve"> </w:t>
      </w:r>
      <w:r w:rsidR="00B07AFD">
        <w:rPr>
          <w:rFonts w:cs="Arial"/>
          <w:color w:val="000000" w:themeColor="text1"/>
          <w:sz w:val="26"/>
          <w:szCs w:val="26"/>
          <w:lang w:val="es-ES"/>
        </w:rPr>
        <w:t xml:space="preserve">del centro comercial </w:t>
      </w:r>
      <w:r w:rsidR="00D16E4A">
        <w:rPr>
          <w:rFonts w:cs="Arial"/>
          <w:color w:val="000000" w:themeColor="text1"/>
          <w:sz w:val="26"/>
          <w:szCs w:val="26"/>
          <w:lang w:val="es-ES"/>
        </w:rPr>
        <w:t>pretendió</w:t>
      </w:r>
      <w:r w:rsidR="00D16E4A" w:rsidRPr="00062065">
        <w:rPr>
          <w:rFonts w:cs="Arial"/>
          <w:color w:val="000000" w:themeColor="text1"/>
          <w:sz w:val="26"/>
          <w:szCs w:val="26"/>
          <w:lang w:val="es-ES"/>
        </w:rPr>
        <w:t xml:space="preserve"> </w:t>
      </w:r>
      <w:r w:rsidR="00E20830" w:rsidRPr="00062065">
        <w:rPr>
          <w:rFonts w:cs="Arial"/>
          <w:color w:val="000000" w:themeColor="text1"/>
          <w:sz w:val="26"/>
          <w:szCs w:val="26"/>
          <w:lang w:val="es-ES"/>
        </w:rPr>
        <w:t xml:space="preserve">que </w:t>
      </w:r>
      <w:r w:rsidR="00AF75BD" w:rsidRPr="00062065">
        <w:rPr>
          <w:rFonts w:cs="Arial"/>
          <w:color w:val="000000" w:themeColor="text1"/>
          <w:sz w:val="26"/>
          <w:szCs w:val="26"/>
          <w:lang w:val="es-ES"/>
        </w:rPr>
        <w:t>el</w:t>
      </w:r>
      <w:r w:rsidR="00E20830" w:rsidRPr="00062065">
        <w:rPr>
          <w:rFonts w:cs="Arial"/>
          <w:color w:val="000000" w:themeColor="text1"/>
          <w:sz w:val="26"/>
          <w:szCs w:val="26"/>
          <w:lang w:val="es-ES"/>
        </w:rPr>
        <w:t xml:space="preserve"> acto de discriminación quedara </w:t>
      </w:r>
      <w:r w:rsidR="00D16E4A">
        <w:rPr>
          <w:rFonts w:cs="Arial"/>
          <w:color w:val="000000" w:themeColor="text1"/>
          <w:sz w:val="26"/>
          <w:szCs w:val="26"/>
          <w:lang w:val="es-ES"/>
        </w:rPr>
        <w:t xml:space="preserve">sin registro o </w:t>
      </w:r>
      <w:r w:rsidR="00E20830" w:rsidRPr="00062065">
        <w:rPr>
          <w:rFonts w:cs="Arial"/>
          <w:color w:val="000000" w:themeColor="text1"/>
          <w:sz w:val="26"/>
          <w:szCs w:val="26"/>
          <w:lang w:val="es-ES"/>
        </w:rPr>
        <w:t>impune</w:t>
      </w:r>
      <w:r w:rsidR="00AF75BD" w:rsidRPr="00062065">
        <w:rPr>
          <w:rFonts w:cs="Arial"/>
          <w:color w:val="000000" w:themeColor="text1"/>
          <w:sz w:val="26"/>
          <w:szCs w:val="26"/>
          <w:lang w:val="es-ES"/>
        </w:rPr>
        <w:t xml:space="preserve">, lo cual es particularmente agraviante para las personas </w:t>
      </w:r>
      <w:r w:rsidR="00943566">
        <w:rPr>
          <w:rFonts w:cs="Arial"/>
          <w:color w:val="000000" w:themeColor="text1"/>
          <w:sz w:val="26"/>
          <w:szCs w:val="26"/>
          <w:lang w:val="es-ES"/>
        </w:rPr>
        <w:t>de</w:t>
      </w:r>
      <w:r w:rsidR="00AF75BD" w:rsidRPr="00062065">
        <w:rPr>
          <w:rFonts w:cs="Arial"/>
          <w:color w:val="000000" w:themeColor="text1"/>
          <w:sz w:val="26"/>
          <w:szCs w:val="26"/>
          <w:lang w:val="es-ES"/>
        </w:rPr>
        <w:t xml:space="preserve"> la </w:t>
      </w:r>
      <w:r w:rsidR="006C422B">
        <w:rPr>
          <w:rFonts w:cs="Arial"/>
          <w:color w:val="000000" w:themeColor="text1"/>
          <w:sz w:val="26"/>
          <w:szCs w:val="26"/>
          <w:lang w:val="es-ES"/>
        </w:rPr>
        <w:t>población</w:t>
      </w:r>
      <w:r w:rsidR="00AF75BD" w:rsidRPr="00062065">
        <w:rPr>
          <w:rFonts w:cs="Arial"/>
          <w:color w:val="000000" w:themeColor="text1"/>
          <w:sz w:val="26"/>
          <w:szCs w:val="26"/>
          <w:lang w:val="es-ES"/>
        </w:rPr>
        <w:t xml:space="preserve"> LGBTI</w:t>
      </w:r>
      <w:r w:rsidR="004A3B3F">
        <w:rPr>
          <w:rFonts w:cs="Arial"/>
          <w:color w:val="000000" w:themeColor="text1"/>
          <w:sz w:val="26"/>
          <w:szCs w:val="26"/>
          <w:lang w:val="es-ES"/>
        </w:rPr>
        <w:t>Q</w:t>
      </w:r>
      <w:r w:rsidR="00AF75BD" w:rsidRPr="00062065">
        <w:rPr>
          <w:rFonts w:cs="Arial"/>
          <w:color w:val="000000" w:themeColor="text1"/>
          <w:sz w:val="26"/>
          <w:szCs w:val="26"/>
          <w:lang w:val="es-ES"/>
        </w:rPr>
        <w:t>+</w:t>
      </w:r>
      <w:r w:rsidR="004E2258" w:rsidRPr="00062065">
        <w:rPr>
          <w:rFonts w:cs="Arial"/>
          <w:color w:val="000000" w:themeColor="text1"/>
          <w:sz w:val="26"/>
          <w:szCs w:val="26"/>
          <w:lang w:val="es-ES"/>
        </w:rPr>
        <w:t xml:space="preserve">, </w:t>
      </w:r>
      <w:r w:rsidR="00B07AFD">
        <w:rPr>
          <w:rFonts w:cs="Arial"/>
          <w:color w:val="000000" w:themeColor="text1"/>
          <w:sz w:val="26"/>
          <w:szCs w:val="26"/>
          <w:lang w:val="es-ES"/>
        </w:rPr>
        <w:t>ante</w:t>
      </w:r>
      <w:r w:rsidR="0008592B" w:rsidRPr="00062065">
        <w:rPr>
          <w:rFonts w:cs="Arial"/>
          <w:color w:val="000000" w:themeColor="text1"/>
          <w:sz w:val="26"/>
          <w:szCs w:val="26"/>
          <w:lang w:val="es-ES"/>
        </w:rPr>
        <w:t xml:space="preserve"> la recurrencia con la que deben enfrentarse a ese tipo de conductas,</w:t>
      </w:r>
      <w:r w:rsidR="004E2258" w:rsidRPr="00062065">
        <w:rPr>
          <w:rFonts w:cs="Arial"/>
          <w:color w:val="000000" w:themeColor="text1"/>
          <w:sz w:val="26"/>
          <w:szCs w:val="26"/>
          <w:lang w:val="es-ES"/>
        </w:rPr>
        <w:t xml:space="preserve"> </w:t>
      </w:r>
      <w:r w:rsidR="00330A34" w:rsidRPr="00062065">
        <w:rPr>
          <w:rFonts w:cs="Arial"/>
          <w:color w:val="000000" w:themeColor="text1"/>
          <w:sz w:val="26"/>
          <w:szCs w:val="26"/>
          <w:lang w:val="es-ES"/>
        </w:rPr>
        <w:t xml:space="preserve">así como a su normalización </w:t>
      </w:r>
      <w:r w:rsidR="00952733">
        <w:rPr>
          <w:rFonts w:cs="Arial"/>
          <w:color w:val="000000" w:themeColor="text1"/>
          <w:sz w:val="26"/>
          <w:szCs w:val="26"/>
          <w:lang w:val="es-ES"/>
        </w:rPr>
        <w:t xml:space="preserve">o </w:t>
      </w:r>
      <w:r w:rsidR="00330A34" w:rsidRPr="00062065">
        <w:rPr>
          <w:rFonts w:cs="Arial"/>
          <w:color w:val="000000" w:themeColor="text1"/>
          <w:sz w:val="26"/>
          <w:szCs w:val="26"/>
          <w:lang w:val="es-ES"/>
        </w:rPr>
        <w:t>tolerancia por parte de la sociedad</w:t>
      </w:r>
      <w:r w:rsidR="0008592B" w:rsidRPr="00062065">
        <w:rPr>
          <w:rFonts w:cs="Arial"/>
          <w:color w:val="000000" w:themeColor="text1"/>
          <w:sz w:val="26"/>
          <w:szCs w:val="26"/>
          <w:lang w:val="es-ES"/>
        </w:rPr>
        <w:t>.</w:t>
      </w:r>
    </w:p>
    <w:p w14:paraId="4EDB4228" w14:textId="77777777" w:rsidR="002E08EA" w:rsidRPr="00DC1845" w:rsidRDefault="002E08EA" w:rsidP="001A476B">
      <w:pPr>
        <w:spacing w:line="360" w:lineRule="auto"/>
        <w:ind w:hanging="567"/>
        <w:rPr>
          <w:rFonts w:ascii="Arial" w:hAnsi="Arial" w:cs="Arial"/>
          <w:color w:val="000000" w:themeColor="text1"/>
          <w:sz w:val="26"/>
          <w:szCs w:val="26"/>
          <w:lang w:val="es-ES"/>
        </w:rPr>
      </w:pPr>
    </w:p>
    <w:p w14:paraId="2B80DD55" w14:textId="0E7D78D0" w:rsidR="00062065" w:rsidRPr="00DC1845" w:rsidRDefault="00330A34" w:rsidP="001A476B">
      <w:pPr>
        <w:pStyle w:val="corte4fondo"/>
        <w:numPr>
          <w:ilvl w:val="0"/>
          <w:numId w:val="2"/>
        </w:numPr>
        <w:ind w:left="0" w:right="51" w:hanging="567"/>
        <w:rPr>
          <w:rFonts w:cs="Arial"/>
          <w:sz w:val="26"/>
          <w:szCs w:val="26"/>
        </w:rPr>
      </w:pPr>
      <w:r w:rsidRPr="00062065">
        <w:rPr>
          <w:rFonts w:cs="Arial"/>
          <w:color w:val="000000" w:themeColor="text1"/>
          <w:sz w:val="26"/>
          <w:szCs w:val="26"/>
        </w:rPr>
        <w:t xml:space="preserve">Lo expuesto evidencia que la </w:t>
      </w:r>
      <w:r w:rsidR="00C7531E">
        <w:rPr>
          <w:rFonts w:cs="Arial"/>
          <w:color w:val="000000" w:themeColor="text1"/>
          <w:sz w:val="26"/>
          <w:szCs w:val="26"/>
        </w:rPr>
        <w:t>s</w:t>
      </w:r>
      <w:r w:rsidRPr="00062065">
        <w:rPr>
          <w:rFonts w:cs="Arial"/>
          <w:color w:val="000000" w:themeColor="text1"/>
          <w:sz w:val="26"/>
          <w:szCs w:val="26"/>
        </w:rPr>
        <w:t xml:space="preserve">ala responsable </w:t>
      </w:r>
      <w:r w:rsidR="00BB65CB" w:rsidRPr="00062065">
        <w:rPr>
          <w:rFonts w:cs="Arial"/>
          <w:color w:val="000000" w:themeColor="text1"/>
          <w:sz w:val="26"/>
          <w:szCs w:val="26"/>
        </w:rPr>
        <w:t xml:space="preserve">omitió </w:t>
      </w:r>
      <w:r w:rsidR="00A539BD" w:rsidRPr="00062065">
        <w:rPr>
          <w:rFonts w:cs="Arial"/>
          <w:color w:val="000000" w:themeColor="text1"/>
          <w:sz w:val="26"/>
          <w:szCs w:val="26"/>
        </w:rPr>
        <w:t>un estudio contextual de la conducta</w:t>
      </w:r>
      <w:r w:rsidR="00055BA3" w:rsidRPr="00062065">
        <w:rPr>
          <w:rFonts w:cs="Arial"/>
          <w:color w:val="000000" w:themeColor="text1"/>
          <w:sz w:val="26"/>
          <w:szCs w:val="26"/>
        </w:rPr>
        <w:t xml:space="preserve"> </w:t>
      </w:r>
      <w:r w:rsidR="001D5238">
        <w:rPr>
          <w:rFonts w:cs="Arial"/>
          <w:color w:val="000000" w:themeColor="text1"/>
          <w:sz w:val="26"/>
          <w:szCs w:val="26"/>
        </w:rPr>
        <w:t xml:space="preserve">del personal del centro comercial </w:t>
      </w:r>
      <w:r w:rsidR="00A539BD" w:rsidRPr="00062065">
        <w:rPr>
          <w:rFonts w:cs="Arial"/>
          <w:color w:val="000000" w:themeColor="text1"/>
          <w:sz w:val="26"/>
          <w:szCs w:val="26"/>
        </w:rPr>
        <w:t>en el módulo de quejas</w:t>
      </w:r>
      <w:r w:rsidR="0088218F" w:rsidRPr="00062065">
        <w:rPr>
          <w:rFonts w:cs="Arial"/>
          <w:color w:val="000000" w:themeColor="text1"/>
          <w:sz w:val="26"/>
          <w:szCs w:val="26"/>
        </w:rPr>
        <w:t>, lo cual supuso que incumpliera su deber de juzgar con una perspectiva de género.</w:t>
      </w:r>
      <w:r w:rsidR="003E1B03" w:rsidRPr="00062065">
        <w:rPr>
          <w:rFonts w:cs="Arial"/>
          <w:color w:val="000000" w:themeColor="text1"/>
          <w:sz w:val="26"/>
          <w:szCs w:val="26"/>
        </w:rPr>
        <w:t xml:space="preserve"> Esa deficiencia le llevó a calificar que </w:t>
      </w:r>
      <w:r w:rsidR="00231823">
        <w:rPr>
          <w:rFonts w:cs="Arial"/>
          <w:color w:val="000000" w:themeColor="text1"/>
          <w:sz w:val="26"/>
          <w:szCs w:val="26"/>
        </w:rPr>
        <w:t>la</w:t>
      </w:r>
      <w:r w:rsidR="00231823" w:rsidRPr="00062065">
        <w:rPr>
          <w:rFonts w:cs="Arial"/>
          <w:color w:val="000000" w:themeColor="text1"/>
          <w:sz w:val="26"/>
          <w:szCs w:val="26"/>
        </w:rPr>
        <w:t xml:space="preserve"> </w:t>
      </w:r>
      <w:r w:rsidR="003E1B03" w:rsidRPr="00062065">
        <w:rPr>
          <w:rFonts w:cs="Arial"/>
          <w:color w:val="000000" w:themeColor="text1"/>
          <w:sz w:val="26"/>
          <w:szCs w:val="26"/>
        </w:rPr>
        <w:t>conducta</w:t>
      </w:r>
      <w:r w:rsidR="00231823">
        <w:rPr>
          <w:rFonts w:cs="Arial"/>
          <w:color w:val="000000" w:themeColor="text1"/>
          <w:sz w:val="26"/>
          <w:szCs w:val="26"/>
        </w:rPr>
        <w:t xml:space="preserve"> del personal</w:t>
      </w:r>
      <w:r w:rsidR="003E1B03" w:rsidRPr="00062065">
        <w:rPr>
          <w:rFonts w:cs="Arial"/>
          <w:color w:val="000000" w:themeColor="text1"/>
          <w:sz w:val="26"/>
          <w:szCs w:val="26"/>
        </w:rPr>
        <w:t xml:space="preserve"> no implicaba un acto de discriminación constitutivo de un hecho ilícito. </w:t>
      </w:r>
      <w:r w:rsidR="00BE32ED">
        <w:rPr>
          <w:rFonts w:cs="Arial"/>
          <w:color w:val="000000" w:themeColor="text1"/>
          <w:sz w:val="26"/>
          <w:szCs w:val="26"/>
        </w:rPr>
        <w:t>Contrario a lo resuelto por la sala de</w:t>
      </w:r>
      <w:r w:rsidR="00BF27B3">
        <w:rPr>
          <w:rFonts w:cs="Arial"/>
          <w:color w:val="000000" w:themeColor="text1"/>
          <w:sz w:val="26"/>
          <w:szCs w:val="26"/>
        </w:rPr>
        <w:t xml:space="preserve"> apelación</w:t>
      </w:r>
      <w:r w:rsidR="00BE32ED">
        <w:rPr>
          <w:rFonts w:cs="Arial"/>
          <w:color w:val="000000" w:themeColor="text1"/>
          <w:sz w:val="26"/>
          <w:szCs w:val="26"/>
        </w:rPr>
        <w:t>, esta Primera Sala considera que</w:t>
      </w:r>
      <w:r w:rsidR="00BF27B3">
        <w:rPr>
          <w:rFonts w:cs="Arial"/>
          <w:color w:val="000000" w:themeColor="text1"/>
          <w:sz w:val="26"/>
          <w:szCs w:val="26"/>
        </w:rPr>
        <w:t xml:space="preserve"> </w:t>
      </w:r>
      <w:r w:rsidR="00062065" w:rsidRPr="00DC1845">
        <w:rPr>
          <w:rFonts w:cs="Arial"/>
          <w:sz w:val="26"/>
          <w:szCs w:val="26"/>
        </w:rPr>
        <w:t xml:space="preserve">el </w:t>
      </w:r>
      <w:r w:rsidR="003D1CB6">
        <w:rPr>
          <w:rFonts w:cs="Arial"/>
          <w:sz w:val="26"/>
          <w:szCs w:val="26"/>
        </w:rPr>
        <w:t>trato indiferente y agresivo</w:t>
      </w:r>
      <w:r w:rsidR="00062065" w:rsidRPr="00DC1845">
        <w:rPr>
          <w:rFonts w:cs="Arial"/>
          <w:sz w:val="26"/>
          <w:szCs w:val="26"/>
        </w:rPr>
        <w:t xml:space="preserve"> recibido por las quejosas </w:t>
      </w:r>
      <w:r w:rsidR="001E00D4" w:rsidRPr="00062065">
        <w:rPr>
          <w:rFonts w:cs="Arial"/>
          <w:color w:val="FF0000"/>
          <w:sz w:val="26"/>
          <w:szCs w:val="26"/>
          <w:lang w:val="es-ES"/>
        </w:rPr>
        <w:t>DF</w:t>
      </w:r>
      <w:r w:rsidR="001E00D4">
        <w:rPr>
          <w:rFonts w:cs="Arial"/>
          <w:sz w:val="26"/>
          <w:szCs w:val="26"/>
          <w:lang w:val="es-ES"/>
        </w:rPr>
        <w:t>,</w:t>
      </w:r>
      <w:r w:rsidR="001E00D4" w:rsidRPr="00062065">
        <w:rPr>
          <w:rFonts w:cs="Arial"/>
          <w:sz w:val="26"/>
          <w:szCs w:val="26"/>
          <w:lang w:val="es-ES"/>
        </w:rPr>
        <w:t xml:space="preserve"> </w:t>
      </w:r>
      <w:r w:rsidR="001E00D4" w:rsidRPr="00062065">
        <w:rPr>
          <w:rFonts w:cs="Arial"/>
          <w:color w:val="FF0000"/>
          <w:sz w:val="26"/>
          <w:szCs w:val="26"/>
          <w:lang w:val="es-ES"/>
        </w:rPr>
        <w:t>MF</w:t>
      </w:r>
      <w:r w:rsidR="001E00D4" w:rsidRPr="00062065" w:rsidDel="00885800">
        <w:rPr>
          <w:rFonts w:cs="Arial"/>
          <w:sz w:val="26"/>
          <w:szCs w:val="26"/>
          <w:lang w:val="es-ES"/>
        </w:rPr>
        <w:t xml:space="preserve"> </w:t>
      </w:r>
      <w:r w:rsidR="001E00D4">
        <w:rPr>
          <w:rFonts w:cs="Arial"/>
          <w:sz w:val="26"/>
          <w:szCs w:val="26"/>
          <w:lang w:val="es-ES"/>
        </w:rPr>
        <w:t xml:space="preserve">y </w:t>
      </w:r>
      <w:r w:rsidR="001E00D4" w:rsidRPr="00062065">
        <w:rPr>
          <w:rFonts w:cs="Arial"/>
          <w:color w:val="FF0000"/>
          <w:sz w:val="26"/>
          <w:szCs w:val="26"/>
          <w:lang w:val="es-ES"/>
        </w:rPr>
        <w:t>GB</w:t>
      </w:r>
      <w:r w:rsidR="001E00D4">
        <w:rPr>
          <w:rFonts w:cs="Arial"/>
          <w:sz w:val="26"/>
          <w:szCs w:val="26"/>
          <w:lang w:val="es-ES"/>
        </w:rPr>
        <w:t xml:space="preserve"> </w:t>
      </w:r>
      <w:r w:rsidR="00062065" w:rsidRPr="00DC1845">
        <w:rPr>
          <w:rFonts w:cs="Arial"/>
          <w:sz w:val="26"/>
          <w:szCs w:val="26"/>
        </w:rPr>
        <w:t>al intentar presentar la queja</w:t>
      </w:r>
      <w:r w:rsidR="001E00D4">
        <w:rPr>
          <w:rFonts w:cs="Arial"/>
          <w:sz w:val="26"/>
          <w:szCs w:val="26"/>
        </w:rPr>
        <w:t>,</w:t>
      </w:r>
      <w:r w:rsidR="00062065" w:rsidRPr="00DC1845">
        <w:rPr>
          <w:rFonts w:cs="Arial"/>
          <w:sz w:val="26"/>
          <w:szCs w:val="26"/>
        </w:rPr>
        <w:t xml:space="preserve"> también </w:t>
      </w:r>
      <w:r w:rsidR="008B1189">
        <w:rPr>
          <w:rFonts w:cs="Arial"/>
          <w:sz w:val="26"/>
          <w:szCs w:val="26"/>
        </w:rPr>
        <w:t>derivó de un rechazo a</w:t>
      </w:r>
      <w:r w:rsidR="00062065" w:rsidRPr="00DC1845">
        <w:rPr>
          <w:rFonts w:cs="Arial"/>
          <w:sz w:val="26"/>
          <w:szCs w:val="26"/>
        </w:rPr>
        <w:t xml:space="preserve"> su identidad </w:t>
      </w:r>
      <w:r w:rsidR="00BF27B3" w:rsidRPr="00DC1845">
        <w:rPr>
          <w:rFonts w:cs="Arial"/>
          <w:sz w:val="26"/>
          <w:szCs w:val="26"/>
        </w:rPr>
        <w:t xml:space="preserve">y </w:t>
      </w:r>
      <w:r w:rsidR="00062065" w:rsidRPr="00DC1845">
        <w:rPr>
          <w:rFonts w:cs="Arial"/>
          <w:sz w:val="26"/>
          <w:szCs w:val="26"/>
        </w:rPr>
        <w:t>expresión</w:t>
      </w:r>
      <w:r w:rsidR="00787002">
        <w:rPr>
          <w:rFonts w:cs="Arial"/>
          <w:sz w:val="26"/>
          <w:szCs w:val="26"/>
        </w:rPr>
        <w:t xml:space="preserve"> de género</w:t>
      </w:r>
      <w:r w:rsidR="00C7531E">
        <w:rPr>
          <w:rFonts w:cs="Arial"/>
          <w:sz w:val="26"/>
          <w:szCs w:val="26"/>
        </w:rPr>
        <w:t xml:space="preserve">. Esto </w:t>
      </w:r>
      <w:r w:rsidR="001E00D4" w:rsidRPr="00DC1845">
        <w:rPr>
          <w:rFonts w:cs="Arial"/>
          <w:sz w:val="26"/>
          <w:szCs w:val="26"/>
        </w:rPr>
        <w:t>constituyó un acto de discriminación en contra</w:t>
      </w:r>
      <w:r w:rsidR="00C7531E">
        <w:rPr>
          <w:rFonts w:cs="Arial"/>
          <w:sz w:val="26"/>
          <w:szCs w:val="26"/>
        </w:rPr>
        <w:t xml:space="preserve"> de las quejosas</w:t>
      </w:r>
      <w:r w:rsidR="00787002">
        <w:rPr>
          <w:rFonts w:cs="Arial"/>
          <w:sz w:val="26"/>
          <w:szCs w:val="26"/>
        </w:rPr>
        <w:t xml:space="preserve"> </w:t>
      </w:r>
      <w:r w:rsidR="00C7531E">
        <w:rPr>
          <w:rFonts w:cs="Arial"/>
          <w:sz w:val="26"/>
          <w:szCs w:val="26"/>
        </w:rPr>
        <w:t xml:space="preserve">y, </w:t>
      </w:r>
      <w:r w:rsidR="0012181F">
        <w:rPr>
          <w:rFonts w:cs="Arial"/>
          <w:sz w:val="26"/>
          <w:szCs w:val="26"/>
        </w:rPr>
        <w:t>consecuentemente</w:t>
      </w:r>
      <w:r w:rsidR="00C7531E">
        <w:rPr>
          <w:rFonts w:cs="Arial"/>
          <w:sz w:val="26"/>
          <w:szCs w:val="26"/>
        </w:rPr>
        <w:t xml:space="preserve">, </w:t>
      </w:r>
      <w:r w:rsidR="0012181F">
        <w:rPr>
          <w:rFonts w:cs="Arial"/>
          <w:sz w:val="26"/>
          <w:szCs w:val="26"/>
        </w:rPr>
        <w:t xml:space="preserve">también </w:t>
      </w:r>
      <w:r w:rsidR="001D38D9">
        <w:rPr>
          <w:rFonts w:cs="Arial"/>
          <w:color w:val="000000" w:themeColor="text1"/>
          <w:sz w:val="26"/>
          <w:szCs w:val="26"/>
        </w:rPr>
        <w:t>se erige como</w:t>
      </w:r>
      <w:r w:rsidR="00C7531E" w:rsidRPr="00062065">
        <w:rPr>
          <w:rFonts w:cs="Arial"/>
          <w:color w:val="000000" w:themeColor="text1"/>
          <w:sz w:val="26"/>
          <w:szCs w:val="26"/>
        </w:rPr>
        <w:t xml:space="preserve"> un hecho ilícito en el marco de la acción civil por daño moral.</w:t>
      </w:r>
    </w:p>
    <w:p w14:paraId="511DFC3D" w14:textId="77777777" w:rsidR="00787002" w:rsidRPr="00DC1845" w:rsidRDefault="00787002" w:rsidP="001A476B">
      <w:pPr>
        <w:pStyle w:val="corte4fondo"/>
        <w:ind w:right="51" w:hanging="567"/>
        <w:rPr>
          <w:rFonts w:cs="Arial"/>
          <w:sz w:val="26"/>
          <w:szCs w:val="26"/>
        </w:rPr>
      </w:pPr>
    </w:p>
    <w:p w14:paraId="527C1BBF" w14:textId="35721E59" w:rsidR="00787002" w:rsidRDefault="002B0EA1" w:rsidP="001A476B">
      <w:pPr>
        <w:pStyle w:val="corte4fondo"/>
        <w:numPr>
          <w:ilvl w:val="0"/>
          <w:numId w:val="2"/>
        </w:numPr>
        <w:ind w:left="0" w:right="51" w:hanging="567"/>
        <w:rPr>
          <w:rFonts w:cs="Arial"/>
          <w:sz w:val="26"/>
          <w:szCs w:val="26"/>
        </w:rPr>
      </w:pPr>
      <w:r>
        <w:rPr>
          <w:rFonts w:cs="Arial"/>
          <w:sz w:val="26"/>
          <w:szCs w:val="26"/>
        </w:rPr>
        <w:t>Una vez acreditado que</w:t>
      </w:r>
      <w:r w:rsidR="00422165">
        <w:rPr>
          <w:rFonts w:cs="Arial"/>
          <w:sz w:val="26"/>
          <w:szCs w:val="26"/>
        </w:rPr>
        <w:t>,</w:t>
      </w:r>
      <w:r>
        <w:rPr>
          <w:rFonts w:cs="Arial"/>
          <w:sz w:val="26"/>
          <w:szCs w:val="26"/>
        </w:rPr>
        <w:t xml:space="preserve"> </w:t>
      </w:r>
      <w:r w:rsidR="00F05FEA">
        <w:rPr>
          <w:rFonts w:cs="Arial"/>
          <w:sz w:val="26"/>
          <w:szCs w:val="26"/>
        </w:rPr>
        <w:t>como sostienen las quejosas,</w:t>
      </w:r>
      <w:r w:rsidR="00422165">
        <w:rPr>
          <w:rFonts w:cs="Arial"/>
          <w:sz w:val="26"/>
          <w:szCs w:val="26"/>
        </w:rPr>
        <w:t xml:space="preserve"> </w:t>
      </w:r>
      <w:r w:rsidR="00F5044A">
        <w:rPr>
          <w:rFonts w:cs="Arial"/>
          <w:sz w:val="26"/>
          <w:szCs w:val="26"/>
        </w:rPr>
        <w:t>el personal del centro comercial “</w:t>
      </w:r>
      <w:r w:rsidR="00F5044A" w:rsidRPr="00A36289">
        <w:rPr>
          <w:rFonts w:cs="Arial"/>
          <w:sz w:val="26"/>
          <w:szCs w:val="26"/>
        </w:rPr>
        <w:t xml:space="preserve">Reforma 222” cometió </w:t>
      </w:r>
      <w:r w:rsidR="00422165">
        <w:rPr>
          <w:rFonts w:cs="Arial"/>
          <w:sz w:val="26"/>
          <w:szCs w:val="26"/>
        </w:rPr>
        <w:t>actos discriminatorios</w:t>
      </w:r>
      <w:r w:rsidR="00125641">
        <w:rPr>
          <w:rFonts w:cs="Arial"/>
          <w:sz w:val="26"/>
          <w:szCs w:val="26"/>
        </w:rPr>
        <w:t xml:space="preserve"> </w:t>
      </w:r>
      <w:r w:rsidR="00DC53F2">
        <w:rPr>
          <w:rFonts w:cs="Arial"/>
          <w:sz w:val="26"/>
          <w:szCs w:val="26"/>
        </w:rPr>
        <w:t xml:space="preserve">tanto </w:t>
      </w:r>
      <w:r w:rsidR="00422165">
        <w:rPr>
          <w:rFonts w:cs="Arial"/>
          <w:sz w:val="26"/>
          <w:szCs w:val="26"/>
        </w:rPr>
        <w:t>en el área de sanitarios</w:t>
      </w:r>
      <w:r w:rsidR="00DC53F2">
        <w:rPr>
          <w:rFonts w:cs="Arial"/>
          <w:sz w:val="26"/>
          <w:szCs w:val="26"/>
        </w:rPr>
        <w:t xml:space="preserve"> </w:t>
      </w:r>
      <w:r w:rsidR="00DC53F2" w:rsidRPr="008D494D">
        <w:rPr>
          <w:rFonts w:cs="Arial"/>
          <w:color w:val="4D5156"/>
          <w:sz w:val="26"/>
          <w:szCs w:val="26"/>
          <w:shd w:val="clear" w:color="auto" w:fill="FFFFFF"/>
        </w:rPr>
        <w:t>—</w:t>
      </w:r>
      <w:r w:rsidR="00DC53F2">
        <w:rPr>
          <w:rFonts w:cs="Arial"/>
          <w:sz w:val="26"/>
          <w:szCs w:val="26"/>
        </w:rPr>
        <w:t xml:space="preserve">en perjuicio de las señoras </w:t>
      </w:r>
      <w:r w:rsidR="00DC53F2" w:rsidRPr="00062065">
        <w:rPr>
          <w:rFonts w:cs="Arial"/>
          <w:color w:val="FF0000"/>
          <w:sz w:val="26"/>
          <w:szCs w:val="26"/>
          <w:lang w:val="es-ES"/>
        </w:rPr>
        <w:t>DF</w:t>
      </w:r>
      <w:r w:rsidR="00DC53F2">
        <w:rPr>
          <w:rFonts w:cs="Arial"/>
          <w:sz w:val="26"/>
          <w:szCs w:val="26"/>
          <w:lang w:val="es-ES"/>
        </w:rPr>
        <w:t xml:space="preserve"> y</w:t>
      </w:r>
      <w:r w:rsidR="00DC53F2" w:rsidRPr="00062065">
        <w:rPr>
          <w:rFonts w:cs="Arial"/>
          <w:sz w:val="26"/>
          <w:szCs w:val="26"/>
          <w:lang w:val="es-ES"/>
        </w:rPr>
        <w:t xml:space="preserve"> </w:t>
      </w:r>
      <w:r w:rsidR="00DC53F2" w:rsidRPr="00062065">
        <w:rPr>
          <w:rFonts w:cs="Arial"/>
          <w:color w:val="FF0000"/>
          <w:sz w:val="26"/>
          <w:szCs w:val="26"/>
          <w:lang w:val="es-ES"/>
        </w:rPr>
        <w:t>MF</w:t>
      </w:r>
      <w:r w:rsidR="00DC53F2" w:rsidRPr="008D494D">
        <w:rPr>
          <w:rFonts w:cs="Arial"/>
          <w:color w:val="000000" w:themeColor="text1"/>
          <w:sz w:val="26"/>
          <w:szCs w:val="26"/>
          <w:shd w:val="clear" w:color="auto" w:fill="FFFFFF"/>
        </w:rPr>
        <w:t>—</w:t>
      </w:r>
      <w:r w:rsidR="00422165">
        <w:rPr>
          <w:rFonts w:cs="Arial"/>
          <w:sz w:val="26"/>
          <w:szCs w:val="26"/>
        </w:rPr>
        <w:t>, como en el módulo de atención a clientes</w:t>
      </w:r>
      <w:r w:rsidR="00F5044A">
        <w:rPr>
          <w:rFonts w:cs="Arial"/>
          <w:sz w:val="26"/>
          <w:szCs w:val="26"/>
        </w:rPr>
        <w:t xml:space="preserve"> </w:t>
      </w:r>
      <w:r w:rsidR="00DC53F2" w:rsidRPr="008D494D">
        <w:rPr>
          <w:rFonts w:cs="Arial"/>
          <w:color w:val="4D5156"/>
          <w:sz w:val="26"/>
          <w:szCs w:val="26"/>
          <w:shd w:val="clear" w:color="auto" w:fill="FFFFFF"/>
        </w:rPr>
        <w:t>—</w:t>
      </w:r>
      <w:r w:rsidR="00DC53F2">
        <w:rPr>
          <w:rFonts w:cs="Arial"/>
          <w:sz w:val="26"/>
          <w:szCs w:val="26"/>
        </w:rPr>
        <w:t xml:space="preserve">en </w:t>
      </w:r>
      <w:r w:rsidR="000457B9">
        <w:rPr>
          <w:rFonts w:cs="Arial"/>
          <w:sz w:val="26"/>
          <w:szCs w:val="26"/>
        </w:rPr>
        <w:t>contra</w:t>
      </w:r>
      <w:r w:rsidR="00DC53F2">
        <w:rPr>
          <w:rFonts w:cs="Arial"/>
          <w:sz w:val="26"/>
          <w:szCs w:val="26"/>
        </w:rPr>
        <w:t xml:space="preserve"> de las señoras </w:t>
      </w:r>
      <w:r w:rsidR="00DC53F2" w:rsidRPr="00062065">
        <w:rPr>
          <w:rFonts w:cs="Arial"/>
          <w:color w:val="FF0000"/>
          <w:sz w:val="26"/>
          <w:szCs w:val="26"/>
          <w:lang w:val="es-ES"/>
        </w:rPr>
        <w:t>DF</w:t>
      </w:r>
      <w:r w:rsidR="00DC53F2">
        <w:rPr>
          <w:rFonts w:cs="Arial"/>
          <w:sz w:val="26"/>
          <w:szCs w:val="26"/>
          <w:lang w:val="es-ES"/>
        </w:rPr>
        <w:t>,</w:t>
      </w:r>
      <w:r w:rsidR="00DC53F2" w:rsidRPr="00062065">
        <w:rPr>
          <w:rFonts w:cs="Arial"/>
          <w:sz w:val="26"/>
          <w:szCs w:val="26"/>
          <w:lang w:val="es-ES"/>
        </w:rPr>
        <w:t xml:space="preserve"> </w:t>
      </w:r>
      <w:r w:rsidR="00DC53F2" w:rsidRPr="00062065">
        <w:rPr>
          <w:rFonts w:cs="Arial"/>
          <w:color w:val="FF0000"/>
          <w:sz w:val="26"/>
          <w:szCs w:val="26"/>
          <w:lang w:val="es-ES"/>
        </w:rPr>
        <w:t>MF</w:t>
      </w:r>
      <w:r w:rsidR="00DC53F2" w:rsidRPr="00062065" w:rsidDel="00885800">
        <w:rPr>
          <w:rFonts w:cs="Arial"/>
          <w:sz w:val="26"/>
          <w:szCs w:val="26"/>
          <w:lang w:val="es-ES"/>
        </w:rPr>
        <w:t xml:space="preserve"> </w:t>
      </w:r>
      <w:r w:rsidR="00DC53F2">
        <w:rPr>
          <w:rFonts w:cs="Arial"/>
          <w:sz w:val="26"/>
          <w:szCs w:val="26"/>
          <w:lang w:val="es-ES"/>
        </w:rPr>
        <w:t xml:space="preserve">y </w:t>
      </w:r>
      <w:r w:rsidR="00DC53F2" w:rsidRPr="00062065">
        <w:rPr>
          <w:rFonts w:cs="Arial"/>
          <w:color w:val="FF0000"/>
          <w:sz w:val="26"/>
          <w:szCs w:val="26"/>
          <w:lang w:val="es-ES"/>
        </w:rPr>
        <w:t>GB</w:t>
      </w:r>
      <w:r w:rsidR="00DC53F2" w:rsidRPr="008D494D">
        <w:rPr>
          <w:rFonts w:cs="Arial"/>
          <w:color w:val="000000" w:themeColor="text1"/>
          <w:sz w:val="26"/>
          <w:szCs w:val="26"/>
          <w:shd w:val="clear" w:color="auto" w:fill="FFFFFF"/>
        </w:rPr>
        <w:t>—</w:t>
      </w:r>
      <w:r w:rsidR="00422165">
        <w:rPr>
          <w:rFonts w:cs="Arial"/>
          <w:sz w:val="26"/>
          <w:szCs w:val="26"/>
        </w:rPr>
        <w:t xml:space="preserve">, corresponde </w:t>
      </w:r>
      <w:r w:rsidR="00F05FEA">
        <w:rPr>
          <w:rFonts w:cs="Arial"/>
          <w:sz w:val="26"/>
          <w:szCs w:val="26"/>
        </w:rPr>
        <w:t xml:space="preserve">a esta Primera Sala atender los argumentos de </w:t>
      </w:r>
      <w:r w:rsidR="00FC5BB1">
        <w:rPr>
          <w:rFonts w:cs="Arial"/>
          <w:sz w:val="26"/>
          <w:szCs w:val="26"/>
        </w:rPr>
        <w:t xml:space="preserve">la demanda de amparo, relacionados con el indebido estudio del daño moral generado. </w:t>
      </w:r>
    </w:p>
    <w:p w14:paraId="7FC8BD3C" w14:textId="77777777" w:rsidR="0037146D" w:rsidRPr="00DC1845" w:rsidRDefault="0037146D" w:rsidP="00DC1845">
      <w:pPr>
        <w:rPr>
          <w:rFonts w:ascii="Arial" w:hAnsi="Arial" w:cs="Arial"/>
          <w:sz w:val="26"/>
          <w:szCs w:val="26"/>
        </w:rPr>
      </w:pPr>
    </w:p>
    <w:p w14:paraId="4C23EA60" w14:textId="37DA6E5A" w:rsidR="0061088B" w:rsidRPr="0099674F" w:rsidRDefault="0099674F" w:rsidP="001A476B">
      <w:pPr>
        <w:pStyle w:val="corte4fondo"/>
        <w:keepNext/>
        <w:ind w:right="51" w:firstLine="0"/>
        <w:jc w:val="center"/>
        <w:rPr>
          <w:rFonts w:cs="Arial"/>
          <w:b/>
          <w:bCs/>
          <w:color w:val="000000" w:themeColor="text1"/>
          <w:sz w:val="26"/>
          <w:szCs w:val="26"/>
        </w:rPr>
      </w:pPr>
      <w:r w:rsidRPr="0099674F">
        <w:rPr>
          <w:rFonts w:cs="Arial"/>
          <w:b/>
          <w:bCs/>
          <w:color w:val="000000" w:themeColor="text1"/>
          <w:sz w:val="26"/>
          <w:szCs w:val="26"/>
        </w:rPr>
        <w:t>ii</w:t>
      </w:r>
      <w:r w:rsidR="005F41A3" w:rsidRPr="0099674F">
        <w:rPr>
          <w:rFonts w:cs="Arial"/>
          <w:b/>
          <w:bCs/>
          <w:color w:val="000000" w:themeColor="text1"/>
          <w:sz w:val="26"/>
          <w:szCs w:val="26"/>
        </w:rPr>
        <w:t xml:space="preserve">) </w:t>
      </w:r>
      <w:r w:rsidR="00A5630C" w:rsidRPr="0099674F">
        <w:rPr>
          <w:rFonts w:cs="Arial"/>
          <w:b/>
          <w:bCs/>
          <w:color w:val="000000" w:themeColor="text1"/>
          <w:sz w:val="26"/>
          <w:szCs w:val="26"/>
        </w:rPr>
        <w:t>Conceptos de violación relacionados con la a</w:t>
      </w:r>
      <w:r w:rsidR="00AE0F60" w:rsidRPr="0099674F">
        <w:rPr>
          <w:rFonts w:cs="Arial"/>
          <w:b/>
          <w:bCs/>
          <w:color w:val="000000" w:themeColor="text1"/>
          <w:sz w:val="26"/>
          <w:szCs w:val="26"/>
        </w:rPr>
        <w:t>creditación de</w:t>
      </w:r>
      <w:r w:rsidR="004D702B" w:rsidRPr="0099674F">
        <w:rPr>
          <w:rFonts w:cs="Arial"/>
          <w:b/>
          <w:bCs/>
          <w:color w:val="000000" w:themeColor="text1"/>
          <w:sz w:val="26"/>
          <w:szCs w:val="26"/>
        </w:rPr>
        <w:t>l</w:t>
      </w:r>
      <w:r w:rsidR="00AE0F60" w:rsidRPr="0099674F">
        <w:rPr>
          <w:rFonts w:cs="Arial"/>
          <w:b/>
          <w:bCs/>
          <w:color w:val="000000" w:themeColor="text1"/>
          <w:sz w:val="26"/>
          <w:szCs w:val="26"/>
        </w:rPr>
        <w:t xml:space="preserve"> daño moral </w:t>
      </w:r>
      <w:r w:rsidR="00485788" w:rsidRPr="0099674F">
        <w:rPr>
          <w:rFonts w:cs="Arial"/>
          <w:b/>
          <w:bCs/>
          <w:color w:val="000000" w:themeColor="text1"/>
          <w:sz w:val="26"/>
          <w:szCs w:val="26"/>
        </w:rPr>
        <w:t>y el nexo causal</w:t>
      </w:r>
    </w:p>
    <w:p w14:paraId="5C1B6F8C" w14:textId="77777777" w:rsidR="00104A2A" w:rsidRPr="003F6B95" w:rsidRDefault="00104A2A" w:rsidP="00070BFC">
      <w:pPr>
        <w:ind w:hanging="567"/>
        <w:rPr>
          <w:rFonts w:ascii="Arial" w:hAnsi="Arial" w:cs="Arial"/>
          <w:sz w:val="26"/>
          <w:szCs w:val="26"/>
          <w:lang w:val="es-ES_tradnl"/>
        </w:rPr>
      </w:pPr>
    </w:p>
    <w:p w14:paraId="479B970D" w14:textId="3C9A8C74" w:rsidR="00966DFD" w:rsidRPr="0037624B" w:rsidRDefault="002316D5" w:rsidP="001A476B">
      <w:pPr>
        <w:pStyle w:val="corte4fondo"/>
        <w:numPr>
          <w:ilvl w:val="0"/>
          <w:numId w:val="2"/>
        </w:numPr>
        <w:ind w:left="0" w:right="51" w:hanging="567"/>
        <w:rPr>
          <w:rFonts w:cs="Arial"/>
          <w:sz w:val="26"/>
          <w:szCs w:val="26"/>
        </w:rPr>
      </w:pPr>
      <w:r w:rsidRPr="0037624B">
        <w:rPr>
          <w:rFonts w:cs="Arial"/>
          <w:sz w:val="26"/>
          <w:szCs w:val="26"/>
        </w:rPr>
        <w:lastRenderedPageBreak/>
        <w:t xml:space="preserve">En su tercer concepto de violación, las quejosas reclaman </w:t>
      </w:r>
      <w:r w:rsidR="00A3677D" w:rsidRPr="0037624B">
        <w:rPr>
          <w:rFonts w:cs="Arial"/>
          <w:sz w:val="26"/>
          <w:szCs w:val="26"/>
        </w:rPr>
        <w:t>que la sala responsable desestimó</w:t>
      </w:r>
      <w:r w:rsidRPr="0037624B">
        <w:rPr>
          <w:rFonts w:cs="Arial"/>
          <w:sz w:val="26"/>
          <w:szCs w:val="26"/>
        </w:rPr>
        <w:t xml:space="preserve"> la acción de responsabilidad civil</w:t>
      </w:r>
      <w:r w:rsidR="00E8240F" w:rsidRPr="0037624B">
        <w:rPr>
          <w:rFonts w:cs="Arial"/>
          <w:sz w:val="26"/>
          <w:szCs w:val="26"/>
        </w:rPr>
        <w:t xml:space="preserve">, </w:t>
      </w:r>
      <w:r w:rsidR="00A3677D" w:rsidRPr="0037624B">
        <w:rPr>
          <w:rFonts w:cs="Arial"/>
          <w:sz w:val="26"/>
          <w:szCs w:val="26"/>
        </w:rPr>
        <w:t>p</w:t>
      </w:r>
      <w:r w:rsidR="0033512D" w:rsidRPr="0037624B">
        <w:rPr>
          <w:rFonts w:cs="Arial"/>
          <w:sz w:val="26"/>
          <w:szCs w:val="26"/>
        </w:rPr>
        <w:t>or no actualizarse</w:t>
      </w:r>
      <w:r w:rsidR="00A3677D" w:rsidRPr="0037624B">
        <w:rPr>
          <w:rFonts w:cs="Arial"/>
          <w:sz w:val="26"/>
          <w:szCs w:val="26"/>
        </w:rPr>
        <w:t xml:space="preserve"> </w:t>
      </w:r>
      <w:r w:rsidR="00525595" w:rsidRPr="0037624B">
        <w:rPr>
          <w:rFonts w:cs="Arial"/>
          <w:sz w:val="26"/>
          <w:szCs w:val="26"/>
        </w:rPr>
        <w:t>el elemento de daño moral</w:t>
      </w:r>
      <w:r w:rsidR="00E8240F" w:rsidRPr="0037624B">
        <w:rPr>
          <w:rFonts w:cs="Arial"/>
          <w:sz w:val="26"/>
          <w:szCs w:val="26"/>
        </w:rPr>
        <w:t xml:space="preserve">. </w:t>
      </w:r>
      <w:r w:rsidR="0034744A" w:rsidRPr="0037624B">
        <w:rPr>
          <w:rFonts w:cs="Arial"/>
          <w:sz w:val="26"/>
          <w:szCs w:val="26"/>
        </w:rPr>
        <w:t>S</w:t>
      </w:r>
      <w:r w:rsidR="00453DDD" w:rsidRPr="0037624B">
        <w:rPr>
          <w:rFonts w:cs="Arial"/>
          <w:sz w:val="26"/>
          <w:szCs w:val="26"/>
        </w:rPr>
        <w:t>ostienen que, si la sala de apelación hubiere juzgado con perspectiva de género, habría estimado que en el caso se actualizaba la presunción de</w:t>
      </w:r>
      <w:r w:rsidR="00CD35D2" w:rsidRPr="0037624B">
        <w:rPr>
          <w:rFonts w:cs="Arial"/>
          <w:sz w:val="26"/>
          <w:szCs w:val="26"/>
        </w:rPr>
        <w:t>l</w:t>
      </w:r>
      <w:r w:rsidR="00453DDD" w:rsidRPr="0037624B">
        <w:rPr>
          <w:rFonts w:cs="Arial"/>
          <w:sz w:val="26"/>
          <w:szCs w:val="26"/>
        </w:rPr>
        <w:t xml:space="preserve"> daño moral prevista en el artículo 1916 del Código Civil para el Distrito Federal</w:t>
      </w:r>
      <w:r w:rsidR="00A1604E" w:rsidRPr="0037624B">
        <w:rPr>
          <w:rFonts w:cs="Arial"/>
          <w:sz w:val="26"/>
          <w:szCs w:val="26"/>
        </w:rPr>
        <w:t>,</w:t>
      </w:r>
      <w:r w:rsidR="009B3CB6" w:rsidRPr="0037624B">
        <w:rPr>
          <w:rFonts w:cs="Arial"/>
          <w:sz w:val="26"/>
          <w:szCs w:val="26"/>
        </w:rPr>
        <w:t xml:space="preserve"> conforme a la teoría de la prueba objetiva del daño moral,</w:t>
      </w:r>
      <w:r w:rsidR="0034744A" w:rsidRPr="0037624B">
        <w:rPr>
          <w:rFonts w:cs="Arial"/>
          <w:sz w:val="26"/>
          <w:szCs w:val="26"/>
        </w:rPr>
        <w:t xml:space="preserve"> ya que los actos discriminatorios resentidos afectaron la integridad psíquica de las quejosas</w:t>
      </w:r>
      <w:r w:rsidR="009816B4">
        <w:rPr>
          <w:rFonts w:cs="Arial"/>
          <w:sz w:val="26"/>
          <w:szCs w:val="26"/>
        </w:rPr>
        <w:t xml:space="preserve">. También sostienen que, de estimar lo anterior, la sala </w:t>
      </w:r>
      <w:r w:rsidR="0037624B" w:rsidRPr="0037624B">
        <w:rPr>
          <w:rFonts w:cs="Arial"/>
          <w:sz w:val="26"/>
          <w:szCs w:val="26"/>
        </w:rPr>
        <w:t>habría</w:t>
      </w:r>
      <w:r w:rsidR="009816B4">
        <w:rPr>
          <w:rFonts w:cs="Arial"/>
          <w:sz w:val="26"/>
          <w:szCs w:val="26"/>
        </w:rPr>
        <w:t xml:space="preserve"> tenido por acreditado</w:t>
      </w:r>
      <w:r w:rsidR="00CE1943" w:rsidRPr="0037624B">
        <w:rPr>
          <w:rFonts w:cs="Arial"/>
          <w:sz w:val="26"/>
          <w:szCs w:val="26"/>
        </w:rPr>
        <w:t xml:space="preserve"> el nexo causal entre el daño moral y los hechos ilícitos.</w:t>
      </w:r>
      <w:r w:rsidR="009816B4">
        <w:rPr>
          <w:rFonts w:cs="Arial"/>
          <w:sz w:val="26"/>
          <w:szCs w:val="26"/>
        </w:rPr>
        <w:t xml:space="preserve"> </w:t>
      </w:r>
      <w:r w:rsidR="00E50AAB" w:rsidRPr="0037624B">
        <w:rPr>
          <w:rFonts w:cs="Arial"/>
          <w:sz w:val="26"/>
          <w:szCs w:val="26"/>
        </w:rPr>
        <w:t xml:space="preserve">A </w:t>
      </w:r>
      <w:r w:rsidR="00EB14A8" w:rsidRPr="0037624B">
        <w:rPr>
          <w:rFonts w:cs="Arial"/>
          <w:sz w:val="26"/>
          <w:szCs w:val="26"/>
        </w:rPr>
        <w:t>continuación</w:t>
      </w:r>
      <w:r w:rsidR="00200E3C" w:rsidRPr="0037624B">
        <w:rPr>
          <w:rFonts w:cs="Arial"/>
          <w:sz w:val="26"/>
          <w:szCs w:val="26"/>
        </w:rPr>
        <w:t xml:space="preserve">, </w:t>
      </w:r>
      <w:r w:rsidR="00E50AAB" w:rsidRPr="0037624B">
        <w:rPr>
          <w:rFonts w:cs="Arial"/>
          <w:sz w:val="26"/>
          <w:szCs w:val="26"/>
        </w:rPr>
        <w:t>analizaremos</w:t>
      </w:r>
      <w:r w:rsidR="00200E3C" w:rsidRPr="0037624B">
        <w:rPr>
          <w:rFonts w:cs="Arial"/>
          <w:sz w:val="26"/>
          <w:szCs w:val="26"/>
        </w:rPr>
        <w:t xml:space="preserve"> </w:t>
      </w:r>
      <w:r w:rsidR="00D86386" w:rsidRPr="0037624B">
        <w:rPr>
          <w:rFonts w:cs="Arial"/>
          <w:sz w:val="26"/>
          <w:szCs w:val="26"/>
        </w:rPr>
        <w:t>las consideraciones de la sala</w:t>
      </w:r>
      <w:r w:rsidR="00E50AAB" w:rsidRPr="0037624B">
        <w:rPr>
          <w:rFonts w:cs="Arial"/>
          <w:sz w:val="26"/>
          <w:szCs w:val="26"/>
        </w:rPr>
        <w:t xml:space="preserve"> de apelación</w:t>
      </w:r>
      <w:r w:rsidR="00453DDD" w:rsidRPr="0037624B">
        <w:rPr>
          <w:rFonts w:cs="Arial"/>
          <w:sz w:val="26"/>
          <w:szCs w:val="26"/>
        </w:rPr>
        <w:t>, a partir de los planteamientos de las quejosas</w:t>
      </w:r>
      <w:r w:rsidR="00D86386" w:rsidRPr="0037624B">
        <w:rPr>
          <w:rFonts w:cs="Arial"/>
          <w:sz w:val="26"/>
          <w:szCs w:val="26"/>
        </w:rPr>
        <w:t>,</w:t>
      </w:r>
      <w:r w:rsidR="00200E3C" w:rsidRPr="0037624B">
        <w:rPr>
          <w:rFonts w:cs="Arial"/>
          <w:sz w:val="26"/>
          <w:szCs w:val="26"/>
        </w:rPr>
        <w:t xml:space="preserve"> </w:t>
      </w:r>
      <w:r w:rsidR="00BA7060" w:rsidRPr="0037624B">
        <w:rPr>
          <w:rFonts w:cs="Arial"/>
          <w:sz w:val="26"/>
          <w:szCs w:val="26"/>
        </w:rPr>
        <w:t xml:space="preserve">para determinar si ésta incumplió con la </w:t>
      </w:r>
      <w:r w:rsidR="00200E3C" w:rsidRPr="0037624B">
        <w:rPr>
          <w:rFonts w:cs="Arial"/>
          <w:sz w:val="26"/>
          <w:szCs w:val="26"/>
        </w:rPr>
        <w:t>obligación de juzgar con u</w:t>
      </w:r>
      <w:r w:rsidR="00AF5D42" w:rsidRPr="0037624B">
        <w:rPr>
          <w:rFonts w:cs="Arial"/>
          <w:sz w:val="26"/>
          <w:szCs w:val="26"/>
        </w:rPr>
        <w:t>n enfoque</w:t>
      </w:r>
      <w:r w:rsidR="00200E3C" w:rsidRPr="0037624B">
        <w:rPr>
          <w:rFonts w:cs="Arial"/>
          <w:sz w:val="26"/>
          <w:szCs w:val="26"/>
        </w:rPr>
        <w:t xml:space="preserve"> de género.</w:t>
      </w:r>
    </w:p>
    <w:p w14:paraId="62998398" w14:textId="383557FD" w:rsidR="0065599D" w:rsidRPr="003F6B95" w:rsidRDefault="0065599D" w:rsidP="001A476B">
      <w:pPr>
        <w:pStyle w:val="corte4fondo"/>
        <w:ind w:right="51" w:hanging="567"/>
        <w:rPr>
          <w:rFonts w:cs="Arial"/>
          <w:sz w:val="26"/>
          <w:szCs w:val="26"/>
        </w:rPr>
      </w:pPr>
    </w:p>
    <w:p w14:paraId="68B7CFC2" w14:textId="10D3BCD3" w:rsidR="0065599D" w:rsidRPr="003F6B95" w:rsidRDefault="00407B4E" w:rsidP="001A476B">
      <w:pPr>
        <w:pStyle w:val="corte4fondo"/>
        <w:numPr>
          <w:ilvl w:val="0"/>
          <w:numId w:val="2"/>
        </w:numPr>
        <w:ind w:left="0" w:right="51" w:hanging="567"/>
        <w:rPr>
          <w:rFonts w:cs="Arial"/>
          <w:color w:val="FF0000"/>
          <w:sz w:val="26"/>
          <w:szCs w:val="26"/>
        </w:rPr>
      </w:pPr>
      <w:r>
        <w:rPr>
          <w:rFonts w:cs="Arial"/>
          <w:color w:val="000000" w:themeColor="text1"/>
          <w:sz w:val="26"/>
          <w:szCs w:val="26"/>
        </w:rPr>
        <w:t xml:space="preserve">Como </w:t>
      </w:r>
      <w:r w:rsidR="00EC31EC">
        <w:rPr>
          <w:rFonts w:cs="Arial"/>
          <w:color w:val="000000" w:themeColor="text1"/>
          <w:sz w:val="26"/>
          <w:szCs w:val="26"/>
        </w:rPr>
        <w:t xml:space="preserve">narramos </w:t>
      </w:r>
      <w:r>
        <w:rPr>
          <w:rFonts w:cs="Arial"/>
          <w:color w:val="000000" w:themeColor="text1"/>
          <w:sz w:val="26"/>
          <w:szCs w:val="26"/>
        </w:rPr>
        <w:t>anteriormente,</w:t>
      </w:r>
      <w:r w:rsidR="00C4172D" w:rsidRPr="003F6B95">
        <w:rPr>
          <w:rFonts w:cs="Arial"/>
          <w:color w:val="000000" w:themeColor="text1"/>
          <w:sz w:val="26"/>
          <w:szCs w:val="26"/>
        </w:rPr>
        <w:t xml:space="preserve"> </w:t>
      </w:r>
      <w:r w:rsidR="00A26A67" w:rsidRPr="003F6B95">
        <w:rPr>
          <w:rFonts w:cs="Arial"/>
          <w:color w:val="000000" w:themeColor="text1"/>
          <w:sz w:val="26"/>
          <w:szCs w:val="26"/>
        </w:rPr>
        <w:t xml:space="preserve">la </w:t>
      </w:r>
      <w:r w:rsidR="00C4172D">
        <w:rPr>
          <w:rFonts w:cs="Arial"/>
          <w:color w:val="000000" w:themeColor="text1"/>
          <w:sz w:val="26"/>
          <w:szCs w:val="26"/>
        </w:rPr>
        <w:t>s</w:t>
      </w:r>
      <w:r w:rsidR="00A26A67" w:rsidRPr="003F6B95">
        <w:rPr>
          <w:rFonts w:cs="Arial"/>
          <w:color w:val="000000" w:themeColor="text1"/>
          <w:sz w:val="26"/>
          <w:szCs w:val="26"/>
        </w:rPr>
        <w:t>ala responsable determinó</w:t>
      </w:r>
      <w:r w:rsidR="00EC31EC">
        <w:rPr>
          <w:rFonts w:cs="Arial"/>
          <w:color w:val="000000" w:themeColor="text1"/>
          <w:sz w:val="26"/>
          <w:szCs w:val="26"/>
        </w:rPr>
        <w:t xml:space="preserve"> acertadamente</w:t>
      </w:r>
      <w:r w:rsidR="00A26A67" w:rsidRPr="003F6B95">
        <w:rPr>
          <w:rFonts w:cs="Arial"/>
          <w:color w:val="000000" w:themeColor="text1"/>
          <w:sz w:val="26"/>
          <w:szCs w:val="26"/>
        </w:rPr>
        <w:t xml:space="preserve"> que </w:t>
      </w:r>
      <w:r w:rsidR="003D3580" w:rsidRPr="003F6B95">
        <w:rPr>
          <w:rFonts w:cs="Arial"/>
          <w:color w:val="000000" w:themeColor="text1"/>
          <w:sz w:val="26"/>
          <w:szCs w:val="26"/>
        </w:rPr>
        <w:t xml:space="preserve">la negativa de acceder a los </w:t>
      </w:r>
      <w:r w:rsidR="003F431E">
        <w:rPr>
          <w:rFonts w:cs="Arial"/>
          <w:color w:val="000000" w:themeColor="text1"/>
          <w:sz w:val="26"/>
          <w:szCs w:val="26"/>
        </w:rPr>
        <w:t>sanitarios</w:t>
      </w:r>
      <w:r w:rsidR="003F431E" w:rsidRPr="003F6B95">
        <w:rPr>
          <w:rFonts w:cs="Arial"/>
          <w:color w:val="000000" w:themeColor="text1"/>
          <w:sz w:val="26"/>
          <w:szCs w:val="26"/>
        </w:rPr>
        <w:t xml:space="preserve"> </w:t>
      </w:r>
      <w:r w:rsidR="003D3580" w:rsidRPr="003F6B95">
        <w:rPr>
          <w:rFonts w:cs="Arial"/>
          <w:color w:val="000000" w:themeColor="text1"/>
          <w:sz w:val="26"/>
          <w:szCs w:val="26"/>
        </w:rPr>
        <w:t xml:space="preserve">de mujeres a las señoras </w:t>
      </w:r>
      <w:r w:rsidR="003D3580" w:rsidRPr="003F6B95">
        <w:rPr>
          <w:rFonts w:cs="Arial"/>
          <w:color w:val="FF0000"/>
          <w:sz w:val="26"/>
          <w:szCs w:val="26"/>
        </w:rPr>
        <w:t xml:space="preserve">DF </w:t>
      </w:r>
      <w:r w:rsidR="003D3580" w:rsidRPr="003F6B95">
        <w:rPr>
          <w:rFonts w:cs="Arial"/>
          <w:color w:val="000000" w:themeColor="text1"/>
          <w:sz w:val="26"/>
          <w:szCs w:val="26"/>
        </w:rPr>
        <w:t xml:space="preserve">y </w:t>
      </w:r>
      <w:r w:rsidR="003D3580" w:rsidRPr="003F6B95">
        <w:rPr>
          <w:rFonts w:cs="Arial"/>
          <w:color w:val="FF0000"/>
          <w:sz w:val="26"/>
          <w:szCs w:val="26"/>
        </w:rPr>
        <w:t xml:space="preserve">MF </w:t>
      </w:r>
      <w:r w:rsidR="003D3580" w:rsidRPr="003F6B95">
        <w:rPr>
          <w:rFonts w:cs="Arial"/>
          <w:color w:val="000000" w:themeColor="text1"/>
          <w:sz w:val="26"/>
          <w:szCs w:val="26"/>
        </w:rPr>
        <w:t xml:space="preserve">entrañó un acto de discriminación por razón de su </w:t>
      </w:r>
      <w:r w:rsidR="00E843F3">
        <w:rPr>
          <w:rFonts w:cs="Arial"/>
          <w:color w:val="000000" w:themeColor="text1"/>
          <w:sz w:val="26"/>
          <w:szCs w:val="26"/>
        </w:rPr>
        <w:t xml:space="preserve">identidad de género </w:t>
      </w:r>
      <w:r w:rsidR="003D3580" w:rsidRPr="003F6B95">
        <w:rPr>
          <w:rFonts w:cs="Arial"/>
          <w:color w:val="000000" w:themeColor="text1"/>
          <w:sz w:val="26"/>
          <w:szCs w:val="26"/>
        </w:rPr>
        <w:t>como mujeres trans</w:t>
      </w:r>
      <w:r w:rsidR="00A0667B">
        <w:rPr>
          <w:rFonts w:cs="Arial"/>
          <w:color w:val="000000" w:themeColor="text1"/>
          <w:sz w:val="26"/>
          <w:szCs w:val="26"/>
        </w:rPr>
        <w:t xml:space="preserve">. Sin embargo, la sala </w:t>
      </w:r>
      <w:r w:rsidR="0012111C" w:rsidRPr="003F6B95">
        <w:rPr>
          <w:rFonts w:cs="Arial"/>
          <w:color w:val="000000" w:themeColor="text1"/>
          <w:sz w:val="26"/>
          <w:szCs w:val="26"/>
        </w:rPr>
        <w:t xml:space="preserve">no </w:t>
      </w:r>
      <w:r w:rsidR="009D08FA">
        <w:rPr>
          <w:rFonts w:cs="Arial"/>
          <w:color w:val="000000" w:themeColor="text1"/>
          <w:sz w:val="26"/>
          <w:szCs w:val="26"/>
        </w:rPr>
        <w:t xml:space="preserve">estimó acreditado </w:t>
      </w:r>
      <w:r w:rsidR="0012111C" w:rsidRPr="003F6B95">
        <w:rPr>
          <w:rFonts w:cs="Arial"/>
          <w:color w:val="000000" w:themeColor="text1"/>
          <w:sz w:val="26"/>
          <w:szCs w:val="26"/>
        </w:rPr>
        <w:t>que</w:t>
      </w:r>
      <w:r w:rsidR="001444B1">
        <w:rPr>
          <w:rFonts w:cs="Arial"/>
          <w:color w:val="000000" w:themeColor="text1"/>
          <w:sz w:val="26"/>
          <w:szCs w:val="26"/>
        </w:rPr>
        <w:t xml:space="preserve"> tal</w:t>
      </w:r>
      <w:r w:rsidR="0012111C" w:rsidRPr="003F6B95" w:rsidDel="001444B1">
        <w:rPr>
          <w:rFonts w:cs="Arial"/>
          <w:color w:val="000000" w:themeColor="text1"/>
          <w:sz w:val="26"/>
          <w:szCs w:val="26"/>
        </w:rPr>
        <w:t xml:space="preserve"> </w:t>
      </w:r>
      <w:r w:rsidR="00A0667B">
        <w:rPr>
          <w:rFonts w:cs="Arial"/>
          <w:color w:val="000000" w:themeColor="text1"/>
          <w:sz w:val="26"/>
          <w:szCs w:val="26"/>
        </w:rPr>
        <w:t>acto</w:t>
      </w:r>
      <w:r w:rsidR="0012111C" w:rsidRPr="003F6B95">
        <w:rPr>
          <w:rFonts w:cs="Arial"/>
          <w:color w:val="000000" w:themeColor="text1"/>
          <w:sz w:val="26"/>
          <w:szCs w:val="26"/>
        </w:rPr>
        <w:t xml:space="preserve"> </w:t>
      </w:r>
      <w:r w:rsidR="009D08FA">
        <w:rPr>
          <w:rFonts w:cs="Arial"/>
          <w:color w:val="000000" w:themeColor="text1"/>
          <w:sz w:val="26"/>
          <w:szCs w:val="26"/>
        </w:rPr>
        <w:t>hubiere</w:t>
      </w:r>
      <w:r w:rsidR="009D08FA" w:rsidRPr="003F6B95">
        <w:rPr>
          <w:rFonts w:cs="Arial"/>
          <w:color w:val="000000" w:themeColor="text1"/>
          <w:sz w:val="26"/>
          <w:szCs w:val="26"/>
        </w:rPr>
        <w:t xml:space="preserve"> </w:t>
      </w:r>
      <w:r w:rsidR="0012111C" w:rsidRPr="003F6B95">
        <w:rPr>
          <w:rFonts w:cs="Arial"/>
          <w:color w:val="000000" w:themeColor="text1"/>
          <w:sz w:val="26"/>
          <w:szCs w:val="26"/>
        </w:rPr>
        <w:t>generado un daño</w:t>
      </w:r>
      <w:r w:rsidR="00A0667B">
        <w:rPr>
          <w:rFonts w:cs="Arial"/>
          <w:color w:val="000000" w:themeColor="text1"/>
          <w:sz w:val="26"/>
          <w:szCs w:val="26"/>
        </w:rPr>
        <w:t xml:space="preserve"> en la esfera de la señora </w:t>
      </w:r>
      <w:r w:rsidR="00A0667B" w:rsidRPr="003F6B95">
        <w:rPr>
          <w:rFonts w:cs="Arial"/>
          <w:color w:val="FF0000"/>
          <w:sz w:val="26"/>
          <w:szCs w:val="26"/>
        </w:rPr>
        <w:t>DF</w:t>
      </w:r>
      <w:r w:rsidR="0012111C" w:rsidRPr="003F6B95">
        <w:rPr>
          <w:rFonts w:cs="Arial"/>
          <w:color w:val="000000" w:themeColor="text1"/>
          <w:sz w:val="26"/>
          <w:szCs w:val="26"/>
        </w:rPr>
        <w:t>. A pesar de que la</w:t>
      </w:r>
      <w:r w:rsidR="0078681A">
        <w:rPr>
          <w:rFonts w:cs="Arial"/>
          <w:color w:val="000000" w:themeColor="text1"/>
          <w:sz w:val="26"/>
          <w:szCs w:val="26"/>
        </w:rPr>
        <w:t xml:space="preserve"> parte</w:t>
      </w:r>
      <w:r w:rsidR="0012111C" w:rsidRPr="003F6B95">
        <w:rPr>
          <w:rFonts w:cs="Arial"/>
          <w:color w:val="000000" w:themeColor="text1"/>
          <w:sz w:val="26"/>
          <w:szCs w:val="26"/>
        </w:rPr>
        <w:t xml:space="preserve"> quejosa sostuvo en</w:t>
      </w:r>
      <w:r w:rsidR="00663BB6">
        <w:rPr>
          <w:rFonts w:cs="Arial"/>
          <w:color w:val="000000" w:themeColor="text1"/>
          <w:sz w:val="26"/>
          <w:szCs w:val="26"/>
        </w:rPr>
        <w:t xml:space="preserve"> su escrito de apelación</w:t>
      </w:r>
      <w:r w:rsidR="0012111C" w:rsidRPr="003F6B95">
        <w:rPr>
          <w:rFonts w:cs="Arial"/>
          <w:color w:val="000000" w:themeColor="text1"/>
          <w:sz w:val="26"/>
          <w:szCs w:val="26"/>
        </w:rPr>
        <w:t xml:space="preserve"> que</w:t>
      </w:r>
      <w:r w:rsidR="00663BB6">
        <w:rPr>
          <w:rFonts w:cs="Arial"/>
          <w:color w:val="000000" w:themeColor="text1"/>
          <w:sz w:val="26"/>
          <w:szCs w:val="26"/>
        </w:rPr>
        <w:t xml:space="preserve"> los actos discriminatorios gener</w:t>
      </w:r>
      <w:r w:rsidR="001B4615">
        <w:rPr>
          <w:rFonts w:cs="Arial"/>
          <w:color w:val="000000" w:themeColor="text1"/>
          <w:sz w:val="26"/>
          <w:szCs w:val="26"/>
        </w:rPr>
        <w:t>aron</w:t>
      </w:r>
      <w:r w:rsidR="00663BB6">
        <w:rPr>
          <w:rFonts w:cs="Arial"/>
          <w:color w:val="000000" w:themeColor="text1"/>
          <w:sz w:val="26"/>
          <w:szCs w:val="26"/>
        </w:rPr>
        <w:t xml:space="preserve"> una afectación a la integridad psíquica, por lo que el daño moral debía presumirse</w:t>
      </w:r>
      <w:r w:rsidR="0012111C" w:rsidRPr="003F6B95">
        <w:rPr>
          <w:rFonts w:cs="Arial"/>
          <w:color w:val="000000" w:themeColor="text1"/>
          <w:sz w:val="26"/>
          <w:szCs w:val="26"/>
        </w:rPr>
        <w:t xml:space="preserve">, la </w:t>
      </w:r>
      <w:r w:rsidR="0089166D">
        <w:rPr>
          <w:rFonts w:cs="Arial"/>
          <w:color w:val="000000" w:themeColor="text1"/>
          <w:sz w:val="26"/>
          <w:szCs w:val="26"/>
        </w:rPr>
        <w:t>s</w:t>
      </w:r>
      <w:r w:rsidR="0012111C" w:rsidRPr="003F6B95">
        <w:rPr>
          <w:rFonts w:cs="Arial"/>
          <w:color w:val="000000" w:themeColor="text1"/>
          <w:sz w:val="26"/>
          <w:szCs w:val="26"/>
        </w:rPr>
        <w:t xml:space="preserve">ala responsable estableció que </w:t>
      </w:r>
      <w:r w:rsidR="00C01D87">
        <w:rPr>
          <w:rFonts w:cs="Arial"/>
          <w:color w:val="000000" w:themeColor="text1"/>
          <w:sz w:val="26"/>
          <w:szCs w:val="26"/>
        </w:rPr>
        <w:t xml:space="preserve">las quejosas debieron probar </w:t>
      </w:r>
      <w:r w:rsidR="00A36B28">
        <w:rPr>
          <w:rFonts w:cs="Arial"/>
          <w:color w:val="000000" w:themeColor="text1"/>
          <w:sz w:val="26"/>
          <w:szCs w:val="26"/>
        </w:rPr>
        <w:t>las</w:t>
      </w:r>
      <w:r w:rsidR="00C01D87">
        <w:rPr>
          <w:rFonts w:cs="Arial"/>
          <w:color w:val="000000" w:themeColor="text1"/>
          <w:sz w:val="26"/>
          <w:szCs w:val="26"/>
        </w:rPr>
        <w:t xml:space="preserve"> </w:t>
      </w:r>
      <w:r w:rsidR="0012111C" w:rsidRPr="003F6B95">
        <w:rPr>
          <w:rFonts w:cs="Arial"/>
          <w:color w:val="000000" w:themeColor="text1"/>
          <w:sz w:val="26"/>
          <w:szCs w:val="26"/>
        </w:rPr>
        <w:t xml:space="preserve">consecuencias que afectaran ilegítimamente </w:t>
      </w:r>
      <w:r w:rsidR="00C01D87">
        <w:rPr>
          <w:rFonts w:cs="Arial"/>
          <w:color w:val="000000" w:themeColor="text1"/>
          <w:sz w:val="26"/>
          <w:szCs w:val="26"/>
        </w:rPr>
        <w:t>su</w:t>
      </w:r>
      <w:r w:rsidR="0012111C" w:rsidRPr="003F6B95">
        <w:rPr>
          <w:rFonts w:cs="Arial"/>
          <w:color w:val="000000" w:themeColor="text1"/>
          <w:sz w:val="26"/>
          <w:szCs w:val="26"/>
        </w:rPr>
        <w:t xml:space="preserve"> libertad e integridad física y psicológica.</w:t>
      </w:r>
    </w:p>
    <w:p w14:paraId="2214AD95" w14:textId="77777777" w:rsidR="0012111C" w:rsidRPr="003F6B95" w:rsidRDefault="0012111C" w:rsidP="001A476B">
      <w:pPr>
        <w:pStyle w:val="corte4fondo"/>
        <w:ind w:right="51" w:hanging="567"/>
        <w:rPr>
          <w:rFonts w:cs="Arial"/>
          <w:color w:val="FF0000"/>
          <w:sz w:val="26"/>
          <w:szCs w:val="26"/>
        </w:rPr>
      </w:pPr>
    </w:p>
    <w:p w14:paraId="1314DAA5" w14:textId="42F42712" w:rsidR="0012111C" w:rsidRPr="003F6B95" w:rsidRDefault="00385E67" w:rsidP="001A476B">
      <w:pPr>
        <w:pStyle w:val="corte4fondo"/>
        <w:numPr>
          <w:ilvl w:val="0"/>
          <w:numId w:val="2"/>
        </w:numPr>
        <w:ind w:left="0" w:right="51" w:hanging="567"/>
        <w:rPr>
          <w:rFonts w:cs="Arial"/>
          <w:sz w:val="26"/>
          <w:szCs w:val="26"/>
          <w:lang w:val="es-ES"/>
        </w:rPr>
      </w:pPr>
      <w:r>
        <w:rPr>
          <w:rFonts w:cs="Arial"/>
          <w:color w:val="000000" w:themeColor="text1"/>
          <w:sz w:val="26"/>
          <w:szCs w:val="26"/>
        </w:rPr>
        <w:t xml:space="preserve">La sala </w:t>
      </w:r>
      <w:r w:rsidR="00AF5D42">
        <w:rPr>
          <w:rFonts w:cs="Arial"/>
          <w:color w:val="000000" w:themeColor="text1"/>
          <w:sz w:val="26"/>
          <w:szCs w:val="26"/>
        </w:rPr>
        <w:t>puntualizó</w:t>
      </w:r>
      <w:r w:rsidR="00AF5D42" w:rsidRPr="003F6B95">
        <w:rPr>
          <w:rFonts w:cs="Arial"/>
          <w:color w:val="000000" w:themeColor="text1"/>
          <w:sz w:val="26"/>
          <w:szCs w:val="26"/>
          <w:lang w:val="es-ES"/>
        </w:rPr>
        <w:t xml:space="preserve"> </w:t>
      </w:r>
      <w:r w:rsidR="0012111C" w:rsidRPr="003F6B95">
        <w:rPr>
          <w:rFonts w:cs="Arial"/>
          <w:color w:val="000000" w:themeColor="text1"/>
          <w:sz w:val="26"/>
          <w:szCs w:val="26"/>
          <w:lang w:val="es-ES"/>
        </w:rPr>
        <w:t>que</w:t>
      </w:r>
      <w:r>
        <w:rPr>
          <w:rFonts w:cs="Arial"/>
          <w:color w:val="000000" w:themeColor="text1"/>
          <w:sz w:val="26"/>
          <w:szCs w:val="26"/>
          <w:lang w:val="es-ES"/>
        </w:rPr>
        <w:t>,</w:t>
      </w:r>
      <w:r w:rsidR="0012111C" w:rsidRPr="003F6B95">
        <w:rPr>
          <w:rFonts w:cs="Arial"/>
          <w:color w:val="000000" w:themeColor="text1"/>
          <w:sz w:val="26"/>
          <w:szCs w:val="26"/>
          <w:lang w:val="es-ES"/>
        </w:rPr>
        <w:t xml:space="preserve"> si bien </w:t>
      </w:r>
      <w:r w:rsidR="009174A4">
        <w:rPr>
          <w:rFonts w:cs="Arial"/>
          <w:color w:val="000000" w:themeColor="text1"/>
          <w:sz w:val="26"/>
          <w:szCs w:val="26"/>
          <w:lang w:val="es-ES"/>
        </w:rPr>
        <w:t>el personal no</w:t>
      </w:r>
      <w:r w:rsidR="0012111C" w:rsidRPr="003F6B95">
        <w:rPr>
          <w:rFonts w:cs="Arial"/>
          <w:color w:val="000000" w:themeColor="text1"/>
          <w:sz w:val="26"/>
          <w:szCs w:val="26"/>
          <w:lang w:val="es-ES"/>
        </w:rPr>
        <w:t xml:space="preserve"> reconoció la calidad de mujeres</w:t>
      </w:r>
      <w:r>
        <w:rPr>
          <w:rFonts w:cs="Arial"/>
          <w:color w:val="000000" w:themeColor="text1"/>
          <w:sz w:val="26"/>
          <w:szCs w:val="26"/>
          <w:lang w:val="es-ES"/>
        </w:rPr>
        <w:t xml:space="preserve"> a las señoras </w:t>
      </w:r>
      <w:r w:rsidRPr="003F6B95">
        <w:rPr>
          <w:rFonts w:cs="Arial"/>
          <w:color w:val="FF0000"/>
          <w:sz w:val="26"/>
          <w:szCs w:val="26"/>
        </w:rPr>
        <w:t xml:space="preserve">DF </w:t>
      </w:r>
      <w:r w:rsidRPr="003F6B95">
        <w:rPr>
          <w:rFonts w:cs="Arial"/>
          <w:color w:val="000000" w:themeColor="text1"/>
          <w:sz w:val="26"/>
          <w:szCs w:val="26"/>
        </w:rPr>
        <w:t xml:space="preserve">y </w:t>
      </w:r>
      <w:r w:rsidRPr="003F6B95">
        <w:rPr>
          <w:rFonts w:cs="Arial"/>
          <w:color w:val="FF0000"/>
          <w:sz w:val="26"/>
          <w:szCs w:val="26"/>
        </w:rPr>
        <w:t>MF</w:t>
      </w:r>
      <w:r w:rsidR="0012111C" w:rsidRPr="003F6B95">
        <w:rPr>
          <w:rFonts w:cs="Arial"/>
          <w:color w:val="000000" w:themeColor="text1"/>
          <w:sz w:val="26"/>
          <w:szCs w:val="26"/>
          <w:lang w:val="es-ES"/>
        </w:rPr>
        <w:t xml:space="preserve">, “no se les impidió tener la libertad de serlo o de sentirlo así”. En cuanto al daño a la integridad psíquica, la </w:t>
      </w:r>
      <w:r w:rsidR="00F36771">
        <w:rPr>
          <w:rFonts w:cs="Arial"/>
          <w:color w:val="000000" w:themeColor="text1"/>
          <w:sz w:val="26"/>
          <w:szCs w:val="26"/>
          <w:lang w:val="es-ES"/>
        </w:rPr>
        <w:t>s</w:t>
      </w:r>
      <w:r w:rsidR="0012111C" w:rsidRPr="003F6B95">
        <w:rPr>
          <w:rFonts w:cs="Arial"/>
          <w:color w:val="000000" w:themeColor="text1"/>
          <w:sz w:val="26"/>
          <w:szCs w:val="26"/>
          <w:lang w:val="es-ES"/>
        </w:rPr>
        <w:t>ala sostuvo que las quejosas no demostraron consecuencias concretas</w:t>
      </w:r>
      <w:r w:rsidR="00F36771">
        <w:rPr>
          <w:rFonts w:cs="Arial"/>
          <w:color w:val="000000" w:themeColor="text1"/>
          <w:sz w:val="26"/>
          <w:szCs w:val="26"/>
          <w:lang w:val="es-ES"/>
        </w:rPr>
        <w:t>. También</w:t>
      </w:r>
      <w:r w:rsidR="00F36771" w:rsidRPr="003F6B95" w:rsidDel="00F36771">
        <w:rPr>
          <w:rFonts w:cs="Arial"/>
          <w:color w:val="000000" w:themeColor="text1"/>
          <w:sz w:val="26"/>
          <w:szCs w:val="26"/>
          <w:lang w:val="es-ES"/>
        </w:rPr>
        <w:t xml:space="preserve"> </w:t>
      </w:r>
      <w:r w:rsidR="00F36771">
        <w:rPr>
          <w:rFonts w:cs="Arial"/>
          <w:color w:val="000000" w:themeColor="text1"/>
          <w:sz w:val="26"/>
          <w:szCs w:val="26"/>
          <w:lang w:val="es-ES"/>
        </w:rPr>
        <w:t>d</w:t>
      </w:r>
      <w:r w:rsidR="0012111C" w:rsidRPr="003F6B95">
        <w:rPr>
          <w:rFonts w:cs="Arial"/>
          <w:color w:val="000000" w:themeColor="text1"/>
          <w:sz w:val="26"/>
          <w:szCs w:val="26"/>
          <w:lang w:val="es-ES"/>
        </w:rPr>
        <w:t>esestimó la prueba pericial en psicología que ofrecieron, debido a que</w:t>
      </w:r>
      <w:r w:rsidR="00F36771">
        <w:rPr>
          <w:rFonts w:cs="Arial"/>
          <w:color w:val="000000" w:themeColor="text1"/>
          <w:sz w:val="26"/>
          <w:szCs w:val="26"/>
          <w:lang w:val="es-ES"/>
        </w:rPr>
        <w:t>, a su parecer,</w:t>
      </w:r>
      <w:r w:rsidR="0012111C" w:rsidRPr="003F6B95">
        <w:rPr>
          <w:rFonts w:cs="Arial"/>
          <w:color w:val="000000" w:themeColor="text1"/>
          <w:sz w:val="26"/>
          <w:szCs w:val="26"/>
          <w:lang w:val="es-ES"/>
        </w:rPr>
        <w:t xml:space="preserve"> las afectaciones referidas por la especialista no derivaron del evento </w:t>
      </w:r>
      <w:r w:rsidR="00EF5833">
        <w:rPr>
          <w:rFonts w:cs="Arial"/>
          <w:color w:val="000000" w:themeColor="text1"/>
          <w:sz w:val="26"/>
          <w:szCs w:val="26"/>
          <w:lang w:val="es-ES"/>
        </w:rPr>
        <w:t>específico</w:t>
      </w:r>
      <w:r w:rsidR="00EF5833" w:rsidRPr="003F6B95">
        <w:rPr>
          <w:rFonts w:cs="Arial"/>
          <w:color w:val="000000" w:themeColor="text1"/>
          <w:sz w:val="26"/>
          <w:szCs w:val="26"/>
          <w:lang w:val="es-ES"/>
        </w:rPr>
        <w:t xml:space="preserve"> </w:t>
      </w:r>
      <w:r w:rsidR="0012111C" w:rsidRPr="003F6B95">
        <w:rPr>
          <w:rFonts w:cs="Arial"/>
          <w:color w:val="000000" w:themeColor="text1"/>
          <w:sz w:val="26"/>
          <w:szCs w:val="26"/>
          <w:lang w:val="es-ES"/>
        </w:rPr>
        <w:t>que tuvo lugar en el centro comercial</w:t>
      </w:r>
      <w:r w:rsidR="0012111C" w:rsidRPr="003F6B95">
        <w:rPr>
          <w:rFonts w:cs="Arial"/>
          <w:sz w:val="26"/>
          <w:szCs w:val="26"/>
          <w:lang w:val="es-ES"/>
        </w:rPr>
        <w:t xml:space="preserve">, sino de las condiciones sociales que enfrentan en el espacio público </w:t>
      </w:r>
      <w:r w:rsidR="009174A4">
        <w:rPr>
          <w:rFonts w:cs="Arial"/>
          <w:sz w:val="26"/>
          <w:szCs w:val="26"/>
          <w:lang w:val="es-ES"/>
        </w:rPr>
        <w:t>como</w:t>
      </w:r>
      <w:r w:rsidR="009174A4" w:rsidRPr="003F6B95">
        <w:rPr>
          <w:rFonts w:cs="Arial"/>
          <w:sz w:val="26"/>
          <w:szCs w:val="26"/>
          <w:lang w:val="es-ES"/>
        </w:rPr>
        <w:t xml:space="preserve"> </w:t>
      </w:r>
      <w:r w:rsidR="0012111C" w:rsidRPr="003F6B95">
        <w:rPr>
          <w:rFonts w:cs="Arial"/>
          <w:sz w:val="26"/>
          <w:szCs w:val="26"/>
          <w:lang w:val="es-ES"/>
        </w:rPr>
        <w:t>mujeres trans.</w:t>
      </w:r>
    </w:p>
    <w:p w14:paraId="4F824D8F" w14:textId="77777777" w:rsidR="0012111C" w:rsidRPr="003F6B95" w:rsidRDefault="0012111C" w:rsidP="001A476B">
      <w:pPr>
        <w:pStyle w:val="corte4fondo"/>
        <w:ind w:right="51" w:hanging="567"/>
        <w:rPr>
          <w:rFonts w:cs="Arial"/>
          <w:sz w:val="26"/>
          <w:szCs w:val="26"/>
        </w:rPr>
      </w:pPr>
    </w:p>
    <w:p w14:paraId="793311DF" w14:textId="3575EF16" w:rsidR="0088432D" w:rsidRPr="003800FE" w:rsidRDefault="0012111C" w:rsidP="001A476B">
      <w:pPr>
        <w:pStyle w:val="corte4fondo"/>
        <w:numPr>
          <w:ilvl w:val="0"/>
          <w:numId w:val="2"/>
        </w:numPr>
        <w:ind w:left="0" w:right="51" w:hanging="567"/>
        <w:rPr>
          <w:rFonts w:cs="Arial"/>
          <w:sz w:val="26"/>
          <w:szCs w:val="26"/>
        </w:rPr>
      </w:pPr>
      <w:r w:rsidRPr="00E52CB6">
        <w:rPr>
          <w:rFonts w:cs="Arial"/>
          <w:sz w:val="26"/>
          <w:szCs w:val="26"/>
        </w:rPr>
        <w:lastRenderedPageBreak/>
        <w:t>E</w:t>
      </w:r>
      <w:r w:rsidR="006F05C3" w:rsidRPr="00E52CB6">
        <w:rPr>
          <w:rFonts w:cs="Arial"/>
          <w:sz w:val="26"/>
          <w:szCs w:val="26"/>
        </w:rPr>
        <w:t>n atención a lo anterior, e</w:t>
      </w:r>
      <w:r w:rsidRPr="00E52CB6">
        <w:rPr>
          <w:rFonts w:cs="Arial"/>
          <w:sz w:val="26"/>
          <w:szCs w:val="26"/>
        </w:rPr>
        <w:t xml:space="preserve">sta Primera Sala considera que </w:t>
      </w:r>
      <w:r w:rsidR="00352AAA" w:rsidRPr="00E52CB6">
        <w:rPr>
          <w:rFonts w:cs="Arial"/>
          <w:sz w:val="26"/>
          <w:szCs w:val="26"/>
        </w:rPr>
        <w:t xml:space="preserve">es esencialmente fundado el tercer concepto de violación de las quejosas. Como expondremos, </w:t>
      </w:r>
      <w:r w:rsidRPr="00E52CB6">
        <w:rPr>
          <w:rFonts w:cs="Arial"/>
          <w:sz w:val="26"/>
          <w:szCs w:val="26"/>
        </w:rPr>
        <w:t xml:space="preserve">fue indebido que la responsable </w:t>
      </w:r>
      <w:r w:rsidR="00DF1F64" w:rsidRPr="00E52CB6">
        <w:rPr>
          <w:rFonts w:cs="Arial"/>
          <w:sz w:val="26"/>
          <w:szCs w:val="26"/>
        </w:rPr>
        <w:t>concluyera</w:t>
      </w:r>
      <w:r w:rsidR="002D321A" w:rsidRPr="00E52CB6">
        <w:rPr>
          <w:rFonts w:cs="Arial"/>
          <w:sz w:val="26"/>
          <w:szCs w:val="26"/>
        </w:rPr>
        <w:t xml:space="preserve"> </w:t>
      </w:r>
      <w:r w:rsidRPr="00E52CB6">
        <w:rPr>
          <w:rFonts w:cs="Arial"/>
          <w:sz w:val="26"/>
          <w:szCs w:val="26"/>
        </w:rPr>
        <w:t>que</w:t>
      </w:r>
      <w:r w:rsidR="00DF1F64" w:rsidRPr="00E52CB6">
        <w:rPr>
          <w:rFonts w:cs="Arial"/>
          <w:sz w:val="26"/>
          <w:szCs w:val="26"/>
        </w:rPr>
        <w:t xml:space="preserve"> no se demostró que</w:t>
      </w:r>
      <w:r w:rsidRPr="00E52CB6">
        <w:rPr>
          <w:rFonts w:cs="Arial"/>
          <w:sz w:val="26"/>
          <w:szCs w:val="26"/>
        </w:rPr>
        <w:t xml:space="preserve"> los actos de discriminación </w:t>
      </w:r>
      <w:r w:rsidR="00DF1F64" w:rsidRPr="00E52CB6">
        <w:rPr>
          <w:rFonts w:cs="Arial"/>
          <w:sz w:val="26"/>
          <w:szCs w:val="26"/>
        </w:rPr>
        <w:t>hubie</w:t>
      </w:r>
      <w:r w:rsidR="00025BFF">
        <w:rPr>
          <w:rFonts w:cs="Arial"/>
          <w:sz w:val="26"/>
          <w:szCs w:val="26"/>
        </w:rPr>
        <w:t>ren</w:t>
      </w:r>
      <w:r w:rsidR="00DF1F64" w:rsidRPr="00E52CB6">
        <w:rPr>
          <w:rFonts w:cs="Arial"/>
          <w:sz w:val="26"/>
          <w:szCs w:val="26"/>
        </w:rPr>
        <w:t xml:space="preserve"> generado</w:t>
      </w:r>
      <w:r w:rsidR="00025BFF">
        <w:rPr>
          <w:rFonts w:cs="Arial"/>
          <w:sz w:val="26"/>
          <w:szCs w:val="26"/>
        </w:rPr>
        <w:t xml:space="preserve"> </w:t>
      </w:r>
      <w:r w:rsidRPr="00E52CB6">
        <w:rPr>
          <w:rFonts w:cs="Arial"/>
          <w:sz w:val="26"/>
          <w:szCs w:val="26"/>
        </w:rPr>
        <w:t>un daño moral</w:t>
      </w:r>
      <w:r w:rsidR="00025BFF">
        <w:rPr>
          <w:rFonts w:cs="Arial"/>
          <w:sz w:val="26"/>
          <w:szCs w:val="26"/>
        </w:rPr>
        <w:t xml:space="preserve"> a las quejosas</w:t>
      </w:r>
      <w:r w:rsidRPr="00E52CB6">
        <w:rPr>
          <w:rFonts w:cs="Arial"/>
          <w:sz w:val="26"/>
          <w:szCs w:val="26"/>
        </w:rPr>
        <w:t xml:space="preserve">, pues su análisis no </w:t>
      </w:r>
      <w:r w:rsidR="003445CD" w:rsidRPr="00E52CB6">
        <w:rPr>
          <w:rFonts w:cs="Arial"/>
          <w:sz w:val="26"/>
          <w:szCs w:val="26"/>
        </w:rPr>
        <w:t xml:space="preserve">se basó </w:t>
      </w:r>
      <w:r w:rsidR="00DF1F64" w:rsidRPr="00E52CB6">
        <w:rPr>
          <w:rFonts w:cs="Arial"/>
          <w:sz w:val="26"/>
          <w:szCs w:val="26"/>
        </w:rPr>
        <w:t>en</w:t>
      </w:r>
      <w:r w:rsidRPr="00E52CB6">
        <w:rPr>
          <w:rFonts w:cs="Arial"/>
          <w:sz w:val="26"/>
          <w:szCs w:val="26"/>
        </w:rPr>
        <w:t xml:space="preserve"> un enfoque de gén</w:t>
      </w:r>
      <w:r w:rsidRPr="003800FE">
        <w:rPr>
          <w:rFonts w:cs="Arial"/>
          <w:sz w:val="26"/>
          <w:szCs w:val="26"/>
        </w:rPr>
        <w:t>ero</w:t>
      </w:r>
      <w:r w:rsidR="00B17F4D" w:rsidRPr="003800FE">
        <w:rPr>
          <w:rFonts w:cs="Arial"/>
          <w:sz w:val="26"/>
          <w:szCs w:val="26"/>
        </w:rPr>
        <w:t xml:space="preserve"> ni atendió a los efectos que conllevan los actos discriminatorios en la</w:t>
      </w:r>
      <w:r w:rsidR="00352AAA" w:rsidRPr="003800FE">
        <w:rPr>
          <w:rFonts w:cs="Arial"/>
          <w:sz w:val="26"/>
          <w:szCs w:val="26"/>
        </w:rPr>
        <w:t xml:space="preserve"> esfera de las personas</w:t>
      </w:r>
      <w:r w:rsidRPr="003800FE">
        <w:rPr>
          <w:rFonts w:cs="Arial"/>
          <w:sz w:val="26"/>
          <w:szCs w:val="26"/>
        </w:rPr>
        <w:t>.</w:t>
      </w:r>
      <w:r w:rsidR="0088432D" w:rsidRPr="003800FE">
        <w:rPr>
          <w:rFonts w:cs="Arial"/>
          <w:sz w:val="26"/>
          <w:szCs w:val="26"/>
        </w:rPr>
        <w:t xml:space="preserve"> </w:t>
      </w:r>
    </w:p>
    <w:p w14:paraId="63508EF7" w14:textId="77777777" w:rsidR="003445CD" w:rsidRPr="003800FE" w:rsidRDefault="003445CD" w:rsidP="001A476B">
      <w:pPr>
        <w:pStyle w:val="corte4fondo"/>
        <w:ind w:right="51" w:hanging="567"/>
        <w:rPr>
          <w:rFonts w:cs="Arial"/>
          <w:sz w:val="26"/>
          <w:szCs w:val="26"/>
        </w:rPr>
      </w:pPr>
    </w:p>
    <w:p w14:paraId="1109443B" w14:textId="7CC6F5BD" w:rsidR="00E309CA" w:rsidRPr="003800FE" w:rsidRDefault="003445CD" w:rsidP="001A476B">
      <w:pPr>
        <w:pStyle w:val="corte4fondo"/>
        <w:numPr>
          <w:ilvl w:val="0"/>
          <w:numId w:val="2"/>
        </w:numPr>
        <w:ind w:left="0" w:right="51" w:hanging="567"/>
        <w:rPr>
          <w:rFonts w:cs="Arial"/>
          <w:sz w:val="26"/>
          <w:szCs w:val="26"/>
          <w:lang w:eastAsia="es-ES"/>
        </w:rPr>
      </w:pPr>
      <w:r w:rsidRPr="003800FE">
        <w:rPr>
          <w:rFonts w:cs="Arial"/>
          <w:sz w:val="26"/>
          <w:szCs w:val="26"/>
        </w:rPr>
        <w:t xml:space="preserve">En primer lugar, </w:t>
      </w:r>
      <w:r w:rsidR="0062756D" w:rsidRPr="003800FE">
        <w:rPr>
          <w:rFonts w:cs="Arial"/>
          <w:sz w:val="26"/>
          <w:szCs w:val="26"/>
        </w:rPr>
        <w:t xml:space="preserve">recordamos </w:t>
      </w:r>
      <w:r w:rsidRPr="003800FE">
        <w:rPr>
          <w:rFonts w:cs="Arial"/>
          <w:sz w:val="26"/>
          <w:szCs w:val="26"/>
        </w:rPr>
        <w:t xml:space="preserve">que, </w:t>
      </w:r>
      <w:r w:rsidR="0062756D" w:rsidRPr="003800FE">
        <w:rPr>
          <w:rFonts w:cs="Arial"/>
          <w:sz w:val="26"/>
          <w:szCs w:val="26"/>
        </w:rPr>
        <w:t>en el amparo directo en revisión 2558/2021, esta Primera Sala sostuvo que, para que</w:t>
      </w:r>
      <w:r w:rsidR="001267E1" w:rsidRPr="003800FE">
        <w:rPr>
          <w:rFonts w:cs="Arial"/>
          <w:sz w:val="26"/>
          <w:szCs w:val="26"/>
        </w:rPr>
        <w:t xml:space="preserve"> el daño moral </w:t>
      </w:r>
      <w:r w:rsidR="0062756D" w:rsidRPr="003800FE">
        <w:rPr>
          <w:rFonts w:cs="Arial"/>
          <w:sz w:val="26"/>
          <w:szCs w:val="26"/>
        </w:rPr>
        <w:t xml:space="preserve">sea </w:t>
      </w:r>
      <w:r w:rsidR="001267E1" w:rsidRPr="003800FE">
        <w:rPr>
          <w:rFonts w:cs="Arial"/>
          <w:sz w:val="26"/>
          <w:szCs w:val="26"/>
        </w:rPr>
        <w:t>indemnizable</w:t>
      </w:r>
      <w:r w:rsidR="0062756D" w:rsidRPr="003800FE">
        <w:rPr>
          <w:rFonts w:cs="Arial"/>
          <w:sz w:val="26"/>
          <w:szCs w:val="26"/>
        </w:rPr>
        <w:t>,</w:t>
      </w:r>
      <w:r w:rsidR="001267E1" w:rsidRPr="003800FE">
        <w:rPr>
          <w:rFonts w:cs="Arial"/>
          <w:sz w:val="26"/>
          <w:szCs w:val="26"/>
        </w:rPr>
        <w:t xml:space="preserve"> debe ser cierto y personal. </w:t>
      </w:r>
      <w:r w:rsidR="008D63BC" w:rsidRPr="003800FE">
        <w:rPr>
          <w:rFonts w:cs="Arial"/>
          <w:sz w:val="26"/>
          <w:szCs w:val="26"/>
        </w:rPr>
        <w:t>Asimismo, sostuvimos que,</w:t>
      </w:r>
      <w:r w:rsidR="008C22B6" w:rsidRPr="003800FE">
        <w:rPr>
          <w:rFonts w:cs="Arial"/>
          <w:sz w:val="26"/>
          <w:szCs w:val="26"/>
        </w:rPr>
        <w:t xml:space="preserve"> si bien</w:t>
      </w:r>
      <w:r w:rsidR="001267E1" w:rsidRPr="003800FE">
        <w:rPr>
          <w:rFonts w:cs="Arial"/>
          <w:sz w:val="26"/>
          <w:szCs w:val="26"/>
        </w:rPr>
        <w:t xml:space="preserve"> el daño moral debe </w:t>
      </w:r>
      <w:r w:rsidR="008C22B6" w:rsidRPr="003800FE">
        <w:rPr>
          <w:rFonts w:cs="Arial"/>
          <w:sz w:val="26"/>
          <w:szCs w:val="26"/>
        </w:rPr>
        <w:t>probarse,</w:t>
      </w:r>
      <w:r w:rsidR="001267E1" w:rsidRPr="003800FE">
        <w:rPr>
          <w:rFonts w:cs="Arial"/>
          <w:sz w:val="26"/>
          <w:szCs w:val="26"/>
        </w:rPr>
        <w:t xml:space="preserve"> al ser un elemento constitutivo de la pretensión de l</w:t>
      </w:r>
      <w:r w:rsidR="008C22B6" w:rsidRPr="003800FE">
        <w:rPr>
          <w:rFonts w:cs="Arial"/>
          <w:sz w:val="26"/>
          <w:szCs w:val="26"/>
        </w:rPr>
        <w:t>a parte actora</w:t>
      </w:r>
      <w:r w:rsidR="001267E1" w:rsidRPr="003800FE">
        <w:rPr>
          <w:rFonts w:cs="Arial"/>
          <w:sz w:val="26"/>
          <w:szCs w:val="26"/>
        </w:rPr>
        <w:t xml:space="preserve">, tal regla no implica que el daño moral deba </w:t>
      </w:r>
      <w:r w:rsidR="008C22B6" w:rsidRPr="003800FE">
        <w:rPr>
          <w:rFonts w:cs="Arial"/>
          <w:sz w:val="26"/>
          <w:szCs w:val="26"/>
        </w:rPr>
        <w:t>probarse forzosamente</w:t>
      </w:r>
      <w:r w:rsidR="001267E1" w:rsidRPr="003800FE">
        <w:rPr>
          <w:rFonts w:cs="Arial"/>
          <w:sz w:val="26"/>
          <w:szCs w:val="26"/>
        </w:rPr>
        <w:t xml:space="preserve"> por pruebas directas. </w:t>
      </w:r>
      <w:r w:rsidR="002A3A15" w:rsidRPr="003800FE">
        <w:rPr>
          <w:rFonts w:cs="Arial"/>
          <w:sz w:val="26"/>
          <w:szCs w:val="26"/>
        </w:rPr>
        <w:t xml:space="preserve">Ello, pues </w:t>
      </w:r>
      <w:r w:rsidR="008C22B6" w:rsidRPr="003800FE">
        <w:rPr>
          <w:rFonts w:cs="Arial"/>
          <w:sz w:val="26"/>
          <w:szCs w:val="26"/>
        </w:rPr>
        <w:t>e</w:t>
      </w:r>
      <w:r w:rsidR="001267E1" w:rsidRPr="003800FE">
        <w:rPr>
          <w:rFonts w:cs="Arial"/>
          <w:sz w:val="26"/>
          <w:szCs w:val="26"/>
        </w:rPr>
        <w:t xml:space="preserve">l daño </w:t>
      </w:r>
      <w:r w:rsidR="007045D4" w:rsidRPr="003800FE">
        <w:rPr>
          <w:rFonts w:cs="Arial"/>
          <w:sz w:val="26"/>
          <w:szCs w:val="26"/>
        </w:rPr>
        <w:t xml:space="preserve">moral </w:t>
      </w:r>
      <w:r w:rsidR="001267E1" w:rsidRPr="003800FE">
        <w:rPr>
          <w:rFonts w:cs="Arial"/>
          <w:sz w:val="26"/>
          <w:szCs w:val="26"/>
        </w:rPr>
        <w:t>puede acreditarse indirectamente (</w:t>
      </w:r>
      <w:r w:rsidR="007045D4" w:rsidRPr="003800FE">
        <w:rPr>
          <w:rFonts w:cs="Arial"/>
          <w:sz w:val="26"/>
          <w:szCs w:val="26"/>
        </w:rPr>
        <w:t>que</w:t>
      </w:r>
      <w:r w:rsidR="001267E1" w:rsidRPr="003800FE">
        <w:rPr>
          <w:rFonts w:cs="Arial"/>
          <w:sz w:val="26"/>
          <w:szCs w:val="26"/>
        </w:rPr>
        <w:t xml:space="preserve"> es más común</w:t>
      </w:r>
      <w:r w:rsidR="007045D4" w:rsidRPr="003800FE">
        <w:rPr>
          <w:rFonts w:cs="Arial"/>
          <w:sz w:val="26"/>
          <w:szCs w:val="26"/>
        </w:rPr>
        <w:t>,</w:t>
      </w:r>
      <w:r w:rsidR="001267E1" w:rsidRPr="003800FE">
        <w:rPr>
          <w:rFonts w:cs="Arial"/>
          <w:sz w:val="26"/>
          <w:szCs w:val="26"/>
        </w:rPr>
        <w:t xml:space="preserve"> por la naturaleza de los intereses involucrados)</w:t>
      </w:r>
      <w:r w:rsidR="002A3A15" w:rsidRPr="003800FE">
        <w:rPr>
          <w:rFonts w:cs="Arial"/>
          <w:sz w:val="26"/>
          <w:szCs w:val="26"/>
        </w:rPr>
        <w:t>, por lo que</w:t>
      </w:r>
      <w:r w:rsidR="001267E1" w:rsidRPr="003800FE">
        <w:rPr>
          <w:rFonts w:cs="Arial"/>
          <w:sz w:val="26"/>
          <w:szCs w:val="26"/>
        </w:rPr>
        <w:t xml:space="preserve"> </w:t>
      </w:r>
      <w:r w:rsidR="00D25577" w:rsidRPr="003800FE">
        <w:rPr>
          <w:rFonts w:cs="Arial"/>
          <w:sz w:val="26"/>
          <w:szCs w:val="26"/>
        </w:rPr>
        <w:t>la persona juzgadora</w:t>
      </w:r>
      <w:r w:rsidR="001267E1" w:rsidRPr="003800FE">
        <w:rPr>
          <w:rFonts w:cs="Arial"/>
          <w:sz w:val="26"/>
          <w:szCs w:val="26"/>
        </w:rPr>
        <w:t xml:space="preserve"> puede inferir</w:t>
      </w:r>
      <w:r w:rsidR="00D25577" w:rsidRPr="003800FE">
        <w:rPr>
          <w:rFonts w:cs="Arial"/>
          <w:sz w:val="26"/>
          <w:szCs w:val="26"/>
        </w:rPr>
        <w:t xml:space="preserve"> o presumir</w:t>
      </w:r>
      <w:r w:rsidR="001267E1" w:rsidRPr="003800FE">
        <w:rPr>
          <w:rFonts w:cs="Arial"/>
          <w:sz w:val="26"/>
          <w:szCs w:val="26"/>
        </w:rPr>
        <w:t>, a través de los hechos probados, el daño moral causado</w:t>
      </w:r>
      <w:r w:rsidR="00D25577" w:rsidRPr="003800FE">
        <w:rPr>
          <w:rStyle w:val="Refdenotaalpie"/>
          <w:rFonts w:cs="Arial"/>
          <w:sz w:val="26"/>
          <w:szCs w:val="26"/>
        </w:rPr>
        <w:footnoteReference w:id="92"/>
      </w:r>
      <w:r w:rsidR="001267E1" w:rsidRPr="003800FE">
        <w:rPr>
          <w:rFonts w:cs="Arial"/>
          <w:sz w:val="26"/>
          <w:szCs w:val="26"/>
        </w:rPr>
        <w:t xml:space="preserve">. </w:t>
      </w:r>
    </w:p>
    <w:p w14:paraId="13EAB0DA" w14:textId="77777777" w:rsidR="00E309CA" w:rsidRPr="003800FE" w:rsidRDefault="00E309CA" w:rsidP="001A476B">
      <w:pPr>
        <w:pStyle w:val="corte4fondo"/>
        <w:ind w:right="51" w:hanging="567"/>
        <w:rPr>
          <w:rFonts w:cs="Arial"/>
          <w:sz w:val="26"/>
          <w:szCs w:val="26"/>
          <w:lang w:eastAsia="es-ES"/>
        </w:rPr>
      </w:pPr>
    </w:p>
    <w:p w14:paraId="23ADF70A" w14:textId="20B65E00" w:rsidR="001267E1" w:rsidRPr="003800FE" w:rsidRDefault="00E309CA" w:rsidP="001A476B">
      <w:pPr>
        <w:pStyle w:val="corte4fondo"/>
        <w:numPr>
          <w:ilvl w:val="0"/>
          <w:numId w:val="2"/>
        </w:numPr>
        <w:ind w:left="0" w:right="51" w:hanging="567"/>
        <w:rPr>
          <w:rFonts w:cs="Arial"/>
          <w:sz w:val="26"/>
          <w:szCs w:val="26"/>
          <w:lang w:eastAsia="es-ES"/>
        </w:rPr>
      </w:pPr>
      <w:r w:rsidRPr="003800FE">
        <w:rPr>
          <w:rFonts w:cs="Arial"/>
          <w:sz w:val="26"/>
          <w:szCs w:val="26"/>
        </w:rPr>
        <w:t xml:space="preserve">En atención a lo </w:t>
      </w:r>
      <w:r w:rsidR="009B22D6">
        <w:rPr>
          <w:rFonts w:cs="Arial"/>
          <w:sz w:val="26"/>
          <w:szCs w:val="26"/>
        </w:rPr>
        <w:t>precedente</w:t>
      </w:r>
      <w:r w:rsidRPr="003800FE">
        <w:rPr>
          <w:rFonts w:cs="Arial"/>
          <w:sz w:val="26"/>
          <w:szCs w:val="26"/>
        </w:rPr>
        <w:t xml:space="preserve">, </w:t>
      </w:r>
      <w:r w:rsidR="008C6E50" w:rsidRPr="003800FE">
        <w:rPr>
          <w:rFonts w:cs="Arial"/>
          <w:sz w:val="26"/>
          <w:szCs w:val="26"/>
        </w:rPr>
        <w:t>la</w:t>
      </w:r>
      <w:r w:rsidRPr="003800FE">
        <w:rPr>
          <w:rFonts w:cs="Arial"/>
          <w:sz w:val="26"/>
          <w:szCs w:val="26"/>
        </w:rPr>
        <w:t xml:space="preserve"> Sala</w:t>
      </w:r>
      <w:r w:rsidR="00D83B22" w:rsidRPr="003800FE">
        <w:rPr>
          <w:rFonts w:cs="Arial"/>
          <w:sz w:val="26"/>
          <w:szCs w:val="26"/>
        </w:rPr>
        <w:t xml:space="preserve"> concluyó</w:t>
      </w:r>
      <w:r w:rsidRPr="003800FE">
        <w:rPr>
          <w:rFonts w:cs="Arial"/>
          <w:sz w:val="26"/>
          <w:szCs w:val="26"/>
        </w:rPr>
        <w:t xml:space="preserve"> que e</w:t>
      </w:r>
      <w:r w:rsidR="001267E1" w:rsidRPr="003800FE">
        <w:rPr>
          <w:rFonts w:cs="Arial"/>
          <w:sz w:val="26"/>
          <w:szCs w:val="26"/>
        </w:rPr>
        <w:t xml:space="preserve">xiste la posibilidad de que ciertos daños morales </w:t>
      </w:r>
      <w:r w:rsidRPr="003800FE">
        <w:rPr>
          <w:rFonts w:cs="Arial"/>
          <w:sz w:val="26"/>
          <w:szCs w:val="26"/>
        </w:rPr>
        <w:t xml:space="preserve">se presuman </w:t>
      </w:r>
      <w:r w:rsidR="001267E1" w:rsidRPr="003800FE">
        <w:rPr>
          <w:rFonts w:cs="Arial"/>
          <w:sz w:val="26"/>
          <w:szCs w:val="26"/>
        </w:rPr>
        <w:t>ante la dificultad de probar tal tipo de daño relacionado con intereses extrapatrimoniales</w:t>
      </w:r>
      <w:r w:rsidR="00C57344" w:rsidRPr="003800FE">
        <w:rPr>
          <w:rFonts w:cs="Arial"/>
          <w:sz w:val="26"/>
          <w:szCs w:val="26"/>
        </w:rPr>
        <w:t xml:space="preserve">. Esto implica </w:t>
      </w:r>
      <w:r w:rsidR="001267E1" w:rsidRPr="003800FE">
        <w:rPr>
          <w:rFonts w:cs="Arial"/>
          <w:sz w:val="26"/>
          <w:szCs w:val="26"/>
        </w:rPr>
        <w:t>que bastará probar el evento lesivo y el carácter de</w:t>
      </w:r>
      <w:r w:rsidR="00C57344" w:rsidRPr="003800FE">
        <w:rPr>
          <w:rFonts w:cs="Arial"/>
          <w:sz w:val="26"/>
          <w:szCs w:val="26"/>
        </w:rPr>
        <w:t xml:space="preserve"> la parte actora, </w:t>
      </w:r>
      <w:r w:rsidR="001267E1" w:rsidRPr="003800FE">
        <w:rPr>
          <w:rFonts w:cs="Arial"/>
          <w:sz w:val="26"/>
          <w:szCs w:val="26"/>
        </w:rPr>
        <w:t>para que opere la presunción y el daño moral se tenga por probado</w:t>
      </w:r>
      <w:r w:rsidR="00C57344" w:rsidRPr="003800FE">
        <w:rPr>
          <w:rStyle w:val="Refdenotaalpie"/>
          <w:rFonts w:cs="Arial"/>
          <w:sz w:val="26"/>
          <w:szCs w:val="26"/>
        </w:rPr>
        <w:footnoteReference w:id="93"/>
      </w:r>
      <w:r w:rsidR="001267E1" w:rsidRPr="003800FE">
        <w:rPr>
          <w:rFonts w:cs="Arial"/>
          <w:sz w:val="26"/>
          <w:szCs w:val="26"/>
        </w:rPr>
        <w:t xml:space="preserve">. </w:t>
      </w:r>
    </w:p>
    <w:p w14:paraId="796C8E17" w14:textId="77777777" w:rsidR="00A51681" w:rsidRPr="003800FE" w:rsidRDefault="00A51681" w:rsidP="001A476B">
      <w:pPr>
        <w:pStyle w:val="corte4fondo"/>
        <w:ind w:right="51" w:hanging="567"/>
        <w:rPr>
          <w:rFonts w:cs="Arial"/>
          <w:sz w:val="26"/>
          <w:szCs w:val="26"/>
          <w:lang w:eastAsia="es-ES"/>
        </w:rPr>
      </w:pPr>
    </w:p>
    <w:p w14:paraId="30046D51" w14:textId="04B43DCB" w:rsidR="00F56AB2" w:rsidRPr="003800FE" w:rsidRDefault="00A51681" w:rsidP="001A476B">
      <w:pPr>
        <w:pStyle w:val="corte4fondo"/>
        <w:numPr>
          <w:ilvl w:val="0"/>
          <w:numId w:val="2"/>
        </w:numPr>
        <w:ind w:left="0" w:right="51" w:hanging="567"/>
        <w:rPr>
          <w:rFonts w:cs="Arial"/>
          <w:sz w:val="26"/>
          <w:szCs w:val="26"/>
        </w:rPr>
      </w:pPr>
      <w:r w:rsidRPr="003800FE">
        <w:rPr>
          <w:rFonts w:cs="Arial"/>
          <w:sz w:val="26"/>
          <w:szCs w:val="26"/>
          <w:lang w:eastAsia="es-ES"/>
        </w:rPr>
        <w:t>Como sostuvieron las quejosas, la posibilidad de presumir el daño moral ante el acreditamiento de los hechos parte de la teoría</w:t>
      </w:r>
      <w:r w:rsidR="008B0347" w:rsidRPr="003800FE">
        <w:rPr>
          <w:rFonts w:cs="Arial"/>
          <w:sz w:val="26"/>
          <w:szCs w:val="26"/>
          <w:lang w:eastAsia="es-ES"/>
        </w:rPr>
        <w:t xml:space="preserve"> de la prueba objetiva del daño moral. Al respecto, en el amparo directo en revisión </w:t>
      </w:r>
      <w:r w:rsidR="006E4883" w:rsidRPr="003800FE">
        <w:rPr>
          <w:rFonts w:cs="Arial"/>
          <w:sz w:val="26"/>
          <w:szCs w:val="26"/>
          <w:lang w:eastAsia="es-ES"/>
        </w:rPr>
        <w:t xml:space="preserve">3802/2018 sostuvimos que </w:t>
      </w:r>
      <w:r w:rsidR="009E6595" w:rsidRPr="003800FE">
        <w:rPr>
          <w:rFonts w:cs="Arial"/>
          <w:sz w:val="26"/>
          <w:szCs w:val="26"/>
        </w:rPr>
        <w:t>esta teoría se justifica por dos motivos</w:t>
      </w:r>
      <w:r w:rsidR="0071012A" w:rsidRPr="003800FE">
        <w:rPr>
          <w:rFonts w:cs="Arial"/>
          <w:sz w:val="26"/>
          <w:szCs w:val="26"/>
        </w:rPr>
        <w:t xml:space="preserve"> </w:t>
      </w:r>
      <w:r w:rsidR="009E6595" w:rsidRPr="003800FE">
        <w:rPr>
          <w:rFonts w:cs="Arial"/>
          <w:sz w:val="26"/>
          <w:szCs w:val="26"/>
        </w:rPr>
        <w:t>i)</w:t>
      </w:r>
      <w:r w:rsidR="0071012A" w:rsidRPr="003800FE">
        <w:rPr>
          <w:rFonts w:cs="Arial"/>
          <w:sz w:val="26"/>
          <w:szCs w:val="26"/>
        </w:rPr>
        <w:t xml:space="preserve"> la imposibilidad o la notoria dificultad de acreditar mediante prueba</w:t>
      </w:r>
      <w:r w:rsidR="009E6595" w:rsidRPr="003800FE">
        <w:rPr>
          <w:rFonts w:cs="Arial"/>
          <w:sz w:val="26"/>
          <w:szCs w:val="26"/>
        </w:rPr>
        <w:t>s</w:t>
      </w:r>
      <w:r w:rsidR="0071012A" w:rsidRPr="003800FE">
        <w:rPr>
          <w:rFonts w:cs="Arial"/>
          <w:sz w:val="26"/>
          <w:szCs w:val="26"/>
        </w:rPr>
        <w:t xml:space="preserve"> directa</w:t>
      </w:r>
      <w:r w:rsidR="009E6595" w:rsidRPr="003800FE">
        <w:rPr>
          <w:rFonts w:cs="Arial"/>
          <w:sz w:val="26"/>
          <w:szCs w:val="26"/>
        </w:rPr>
        <w:t>s</w:t>
      </w:r>
      <w:r w:rsidR="0071012A" w:rsidRPr="003800FE">
        <w:rPr>
          <w:rFonts w:cs="Arial"/>
          <w:sz w:val="26"/>
          <w:szCs w:val="26"/>
        </w:rPr>
        <w:t xml:space="preserve"> la afectación</w:t>
      </w:r>
      <w:r w:rsidR="009E6595" w:rsidRPr="003800FE">
        <w:rPr>
          <w:rFonts w:cs="Arial"/>
          <w:sz w:val="26"/>
          <w:szCs w:val="26"/>
        </w:rPr>
        <w:t xml:space="preserve"> causada,</w:t>
      </w:r>
      <w:r w:rsidR="0071012A" w:rsidRPr="003800FE">
        <w:rPr>
          <w:rFonts w:cs="Arial"/>
          <w:sz w:val="26"/>
          <w:szCs w:val="26"/>
        </w:rPr>
        <w:t xml:space="preserve"> y </w:t>
      </w:r>
      <w:r w:rsidR="009E6595" w:rsidRPr="003800FE">
        <w:rPr>
          <w:rFonts w:cs="Arial"/>
          <w:sz w:val="26"/>
          <w:szCs w:val="26"/>
        </w:rPr>
        <w:t>ii</w:t>
      </w:r>
      <w:r w:rsidR="0071012A" w:rsidRPr="003800FE">
        <w:rPr>
          <w:rFonts w:cs="Arial"/>
          <w:sz w:val="26"/>
          <w:szCs w:val="26"/>
        </w:rPr>
        <w:t xml:space="preserve">) la posibilidad de establecer la certeza de la afectación como </w:t>
      </w:r>
      <w:r w:rsidR="0071012A" w:rsidRPr="003800FE">
        <w:rPr>
          <w:rFonts w:cs="Arial"/>
          <w:sz w:val="26"/>
          <w:szCs w:val="26"/>
        </w:rPr>
        <w:lastRenderedPageBreak/>
        <w:t>una consecuencia necesaria, lógica y natural u ordinaria, del acto o hecho ilícito</w:t>
      </w:r>
      <w:r w:rsidR="009E6595" w:rsidRPr="003800FE">
        <w:rPr>
          <w:rStyle w:val="Refdenotaalpie"/>
          <w:rFonts w:cs="Arial"/>
          <w:sz w:val="26"/>
          <w:szCs w:val="26"/>
        </w:rPr>
        <w:footnoteReference w:id="94"/>
      </w:r>
      <w:r w:rsidR="0071012A" w:rsidRPr="003800FE">
        <w:rPr>
          <w:rFonts w:cs="Arial"/>
          <w:sz w:val="26"/>
          <w:szCs w:val="26"/>
        </w:rPr>
        <w:t>.</w:t>
      </w:r>
    </w:p>
    <w:p w14:paraId="34E27CDD" w14:textId="77777777" w:rsidR="00F56AB2" w:rsidRPr="003800FE" w:rsidRDefault="00F56AB2" w:rsidP="001A476B">
      <w:pPr>
        <w:pStyle w:val="corte4fondo"/>
        <w:ind w:right="51" w:hanging="567"/>
        <w:rPr>
          <w:rFonts w:cs="Arial"/>
          <w:sz w:val="26"/>
          <w:szCs w:val="26"/>
        </w:rPr>
      </w:pPr>
    </w:p>
    <w:p w14:paraId="61F1A9F5" w14:textId="60FE7D6A" w:rsidR="00F56AB2" w:rsidRPr="002072C9" w:rsidRDefault="001B785D" w:rsidP="001A476B">
      <w:pPr>
        <w:pStyle w:val="corte4fondo"/>
        <w:numPr>
          <w:ilvl w:val="0"/>
          <w:numId w:val="2"/>
        </w:numPr>
        <w:ind w:left="0" w:right="51" w:hanging="567"/>
        <w:rPr>
          <w:rFonts w:cs="Arial"/>
          <w:sz w:val="26"/>
          <w:szCs w:val="26"/>
        </w:rPr>
      </w:pPr>
      <w:r w:rsidRPr="003800FE">
        <w:rPr>
          <w:rFonts w:cs="Arial"/>
          <w:sz w:val="26"/>
          <w:szCs w:val="26"/>
        </w:rPr>
        <w:t>En similares términos que en el amparo directo en revisión 2558/2021,</w:t>
      </w:r>
      <w:r w:rsidR="00981229">
        <w:rPr>
          <w:rFonts w:cs="Arial"/>
          <w:sz w:val="26"/>
          <w:szCs w:val="26"/>
        </w:rPr>
        <w:t xml:space="preserve"> esta Primera </w:t>
      </w:r>
      <w:r w:rsidR="00F56AB2" w:rsidRPr="003800FE">
        <w:rPr>
          <w:rFonts w:cs="Arial"/>
          <w:sz w:val="26"/>
          <w:szCs w:val="26"/>
        </w:rPr>
        <w:t>Sala aclaró</w:t>
      </w:r>
      <w:r w:rsidRPr="003800FE" w:rsidDel="000A3639">
        <w:rPr>
          <w:rFonts w:cs="Arial"/>
          <w:sz w:val="26"/>
          <w:szCs w:val="26"/>
        </w:rPr>
        <w:t xml:space="preserve"> </w:t>
      </w:r>
      <w:r w:rsidR="00F56AB2" w:rsidRPr="003800FE">
        <w:rPr>
          <w:rFonts w:cs="Arial"/>
          <w:sz w:val="26"/>
          <w:szCs w:val="26"/>
        </w:rPr>
        <w:t>que l</w:t>
      </w:r>
      <w:r w:rsidR="0071012A" w:rsidRPr="003800FE">
        <w:rPr>
          <w:rFonts w:cs="Arial"/>
          <w:sz w:val="26"/>
          <w:szCs w:val="26"/>
        </w:rPr>
        <w:t>a primera razón</w:t>
      </w:r>
      <w:r w:rsidR="00F56AB2" w:rsidRPr="003800FE">
        <w:rPr>
          <w:rFonts w:cs="Arial"/>
          <w:sz w:val="26"/>
          <w:szCs w:val="26"/>
        </w:rPr>
        <w:t xml:space="preserve"> </w:t>
      </w:r>
      <w:r w:rsidRPr="003800FE">
        <w:rPr>
          <w:rFonts w:cs="Arial"/>
          <w:sz w:val="26"/>
          <w:szCs w:val="26"/>
        </w:rPr>
        <w:t xml:space="preserve">que justifica a </w:t>
      </w:r>
      <w:r w:rsidR="00247FEF" w:rsidRPr="003800FE">
        <w:rPr>
          <w:rFonts w:cs="Arial"/>
          <w:sz w:val="26"/>
          <w:szCs w:val="26"/>
        </w:rPr>
        <w:t xml:space="preserve">dicha </w:t>
      </w:r>
      <w:r w:rsidRPr="003800FE">
        <w:rPr>
          <w:rFonts w:cs="Arial"/>
          <w:sz w:val="26"/>
          <w:szCs w:val="26"/>
        </w:rPr>
        <w:t xml:space="preserve">teoría </w:t>
      </w:r>
      <w:r w:rsidR="0071012A" w:rsidRPr="003800FE">
        <w:rPr>
          <w:rFonts w:cs="Arial"/>
          <w:sz w:val="26"/>
          <w:szCs w:val="26"/>
        </w:rPr>
        <w:t>está sustentada en que cierto tipo de daños a los bienes del patrimonio moral de las personas no podrían ser válida e idóneamente acreditados con medios materiales, pues se trata de afectaciones intangibles, que se producen en el fuero interno de la persona</w:t>
      </w:r>
      <w:r w:rsidR="00164526" w:rsidRPr="003800FE">
        <w:rPr>
          <w:rFonts w:cs="Arial"/>
          <w:sz w:val="26"/>
          <w:szCs w:val="26"/>
        </w:rPr>
        <w:t xml:space="preserve">. </w:t>
      </w:r>
      <w:r w:rsidR="009D4D02" w:rsidRPr="003800FE">
        <w:rPr>
          <w:rFonts w:cs="Arial"/>
          <w:sz w:val="26"/>
          <w:szCs w:val="26"/>
        </w:rPr>
        <w:t>E</w:t>
      </w:r>
      <w:r w:rsidR="00164526" w:rsidRPr="003800FE">
        <w:rPr>
          <w:rFonts w:cs="Arial"/>
          <w:sz w:val="26"/>
          <w:szCs w:val="26"/>
        </w:rPr>
        <w:t xml:space="preserve">ste Tribunal ejemplificó que </w:t>
      </w:r>
      <w:r w:rsidR="0071012A" w:rsidRPr="003800FE">
        <w:rPr>
          <w:rFonts w:cs="Arial"/>
          <w:sz w:val="26"/>
          <w:szCs w:val="26"/>
        </w:rPr>
        <w:t xml:space="preserve">tal es el caso de las afectaciones que inciden en la integridad física o psíquica y/o espiritual de las personas, </w:t>
      </w:r>
      <w:r w:rsidR="009D4D02" w:rsidRPr="003800FE">
        <w:rPr>
          <w:rFonts w:cs="Arial"/>
          <w:sz w:val="26"/>
          <w:szCs w:val="26"/>
        </w:rPr>
        <w:t>“</w:t>
      </w:r>
      <w:r w:rsidR="0071012A" w:rsidRPr="003800FE">
        <w:rPr>
          <w:rFonts w:cs="Arial"/>
          <w:sz w:val="26"/>
          <w:szCs w:val="26"/>
        </w:rPr>
        <w:t xml:space="preserve">generando dolor, sufrimiento, o cualquier otra afectación directa en sus sentimientos o afectos, </w:t>
      </w:r>
      <w:r w:rsidR="009D4D02" w:rsidRPr="003800FE">
        <w:rPr>
          <w:rFonts w:cs="Arial"/>
          <w:sz w:val="26"/>
          <w:szCs w:val="26"/>
        </w:rPr>
        <w:t xml:space="preserve">su </w:t>
      </w:r>
      <w:r w:rsidR="0071012A" w:rsidRPr="003800FE">
        <w:rPr>
          <w:rFonts w:cs="Arial"/>
          <w:sz w:val="26"/>
          <w:szCs w:val="26"/>
        </w:rPr>
        <w:t>autoestima o su propia consideración conforme a su dignidad</w:t>
      </w:r>
      <w:r w:rsidR="009D4D02" w:rsidRPr="003800FE">
        <w:rPr>
          <w:rFonts w:cs="Arial"/>
          <w:sz w:val="26"/>
          <w:szCs w:val="26"/>
        </w:rPr>
        <w:t>”</w:t>
      </w:r>
      <w:r w:rsidR="004E41BA" w:rsidRPr="003800FE">
        <w:rPr>
          <w:rFonts w:cs="Arial"/>
          <w:sz w:val="26"/>
          <w:szCs w:val="26"/>
        </w:rPr>
        <w:t xml:space="preserve">. Por ello, concluimos que </w:t>
      </w:r>
      <w:r w:rsidR="008F515C" w:rsidRPr="003800FE">
        <w:rPr>
          <w:rFonts w:cs="Arial"/>
          <w:sz w:val="26"/>
          <w:szCs w:val="26"/>
        </w:rPr>
        <w:t>“</w:t>
      </w:r>
      <w:r w:rsidR="0071012A" w:rsidRPr="003800FE">
        <w:rPr>
          <w:rFonts w:cs="Arial"/>
          <w:sz w:val="26"/>
          <w:szCs w:val="26"/>
        </w:rPr>
        <w:t>la naturaleza inmaterial de la afectación y su manifestación circunscrita al interior de la persona justifican el relevo de prueba directa que acredite el daño producido</w:t>
      </w:r>
      <w:r w:rsidR="008F515C" w:rsidRPr="003800FE">
        <w:rPr>
          <w:rFonts w:cs="Arial"/>
          <w:sz w:val="26"/>
          <w:szCs w:val="26"/>
        </w:rPr>
        <w:t>, y</w:t>
      </w:r>
      <w:r w:rsidR="0071012A" w:rsidRPr="003800FE">
        <w:rPr>
          <w:rFonts w:cs="Arial"/>
          <w:sz w:val="26"/>
          <w:szCs w:val="26"/>
        </w:rPr>
        <w:t xml:space="preserve"> la actualización de una presunción, a partir de la certeza del hecho o acto y de su i</w:t>
      </w:r>
      <w:r w:rsidR="0071012A" w:rsidRPr="002072C9">
        <w:rPr>
          <w:rFonts w:cs="Arial"/>
          <w:sz w:val="26"/>
          <w:szCs w:val="26"/>
        </w:rPr>
        <w:t>licitud</w:t>
      </w:r>
      <w:r w:rsidR="008F515C" w:rsidRPr="002072C9">
        <w:rPr>
          <w:rFonts w:cs="Arial"/>
          <w:sz w:val="26"/>
          <w:szCs w:val="26"/>
        </w:rPr>
        <w:t>”</w:t>
      </w:r>
      <w:r w:rsidR="00B37A8D" w:rsidRPr="002072C9">
        <w:rPr>
          <w:rStyle w:val="Refdenotaalpie"/>
          <w:rFonts w:cs="Arial"/>
          <w:sz w:val="26"/>
          <w:szCs w:val="26"/>
        </w:rPr>
        <w:footnoteReference w:id="95"/>
      </w:r>
      <w:r w:rsidR="00B37A8D" w:rsidRPr="002072C9">
        <w:rPr>
          <w:rFonts w:cs="Arial"/>
          <w:sz w:val="26"/>
          <w:szCs w:val="26"/>
        </w:rPr>
        <w:t>.</w:t>
      </w:r>
    </w:p>
    <w:p w14:paraId="7DF0AEFE" w14:textId="77777777" w:rsidR="00F56AB2" w:rsidRPr="002072C9" w:rsidRDefault="00F56AB2" w:rsidP="001A476B">
      <w:pPr>
        <w:pStyle w:val="corte4fondo"/>
        <w:ind w:right="51" w:hanging="567"/>
        <w:rPr>
          <w:rFonts w:cs="Arial"/>
          <w:sz w:val="26"/>
          <w:szCs w:val="26"/>
        </w:rPr>
      </w:pPr>
    </w:p>
    <w:p w14:paraId="2762FDA7" w14:textId="2CDD5B57" w:rsidR="0071012A" w:rsidRPr="002072C9" w:rsidRDefault="006C4E9B" w:rsidP="001A476B">
      <w:pPr>
        <w:pStyle w:val="corte4fondo"/>
        <w:numPr>
          <w:ilvl w:val="0"/>
          <w:numId w:val="2"/>
        </w:numPr>
        <w:ind w:left="0" w:right="51" w:hanging="567"/>
        <w:rPr>
          <w:rFonts w:cs="Arial"/>
          <w:sz w:val="26"/>
          <w:szCs w:val="26"/>
        </w:rPr>
      </w:pPr>
      <w:r w:rsidRPr="002072C9">
        <w:rPr>
          <w:rFonts w:cs="Arial"/>
          <w:sz w:val="26"/>
          <w:szCs w:val="26"/>
        </w:rPr>
        <w:t>E</w:t>
      </w:r>
      <w:r w:rsidR="0031052F" w:rsidRPr="002072C9">
        <w:rPr>
          <w:rFonts w:cs="Arial"/>
          <w:sz w:val="26"/>
          <w:szCs w:val="26"/>
        </w:rPr>
        <w:t xml:space="preserve">n el precedente </w:t>
      </w:r>
      <w:r w:rsidRPr="002072C9">
        <w:rPr>
          <w:rFonts w:cs="Arial"/>
          <w:sz w:val="26"/>
          <w:szCs w:val="26"/>
        </w:rPr>
        <w:t xml:space="preserve">también </w:t>
      </w:r>
      <w:r w:rsidR="0031052F" w:rsidRPr="002072C9">
        <w:rPr>
          <w:rFonts w:cs="Arial"/>
          <w:sz w:val="26"/>
          <w:szCs w:val="26"/>
        </w:rPr>
        <w:t>sostuvimos que la</w:t>
      </w:r>
      <w:r w:rsidR="0071012A" w:rsidRPr="002072C9">
        <w:rPr>
          <w:rFonts w:cs="Arial"/>
          <w:sz w:val="26"/>
          <w:szCs w:val="26"/>
        </w:rPr>
        <w:t xml:space="preserve"> segunda razón </w:t>
      </w:r>
      <w:r w:rsidR="0031052F" w:rsidRPr="002072C9">
        <w:rPr>
          <w:rFonts w:cs="Arial"/>
          <w:sz w:val="26"/>
          <w:szCs w:val="26"/>
        </w:rPr>
        <w:t xml:space="preserve">que </w:t>
      </w:r>
      <w:r w:rsidR="00E9628E" w:rsidRPr="002072C9">
        <w:rPr>
          <w:rFonts w:cs="Arial"/>
          <w:sz w:val="26"/>
          <w:szCs w:val="26"/>
        </w:rPr>
        <w:t>sustenta</w:t>
      </w:r>
      <w:r w:rsidR="0031052F" w:rsidRPr="002072C9">
        <w:rPr>
          <w:rFonts w:cs="Arial"/>
          <w:sz w:val="26"/>
          <w:szCs w:val="26"/>
        </w:rPr>
        <w:t xml:space="preserve"> a la teoría de la prueba objetiva parte de </w:t>
      </w:r>
      <w:r w:rsidR="0071012A" w:rsidRPr="002072C9">
        <w:rPr>
          <w:rFonts w:cs="Arial"/>
          <w:sz w:val="26"/>
          <w:szCs w:val="26"/>
        </w:rPr>
        <w:t xml:space="preserve">que, </w:t>
      </w:r>
      <w:r w:rsidR="0031052F" w:rsidRPr="002072C9">
        <w:rPr>
          <w:rFonts w:cs="Arial"/>
          <w:sz w:val="26"/>
          <w:szCs w:val="26"/>
        </w:rPr>
        <w:t>conforme</w:t>
      </w:r>
      <w:r w:rsidR="0071012A" w:rsidRPr="002072C9">
        <w:rPr>
          <w:rFonts w:cs="Arial"/>
          <w:sz w:val="26"/>
          <w:szCs w:val="26"/>
        </w:rPr>
        <w:t xml:space="preserve"> a las reglas de la lógica y la experiencia humana, </w:t>
      </w:r>
      <w:r w:rsidR="00E10035" w:rsidRPr="002072C9">
        <w:rPr>
          <w:rFonts w:cs="Arial"/>
          <w:sz w:val="26"/>
          <w:szCs w:val="26"/>
        </w:rPr>
        <w:t xml:space="preserve">las </w:t>
      </w:r>
      <w:r w:rsidR="0071012A" w:rsidRPr="002072C9">
        <w:rPr>
          <w:rFonts w:cs="Arial"/>
          <w:sz w:val="26"/>
          <w:szCs w:val="26"/>
        </w:rPr>
        <w:t>afectaciones personales cuya manifestación es netamente subjetiva e interna</w:t>
      </w:r>
      <w:r w:rsidR="00E10035" w:rsidRPr="002072C9">
        <w:rPr>
          <w:rFonts w:cs="Arial"/>
          <w:sz w:val="26"/>
          <w:szCs w:val="26"/>
        </w:rPr>
        <w:t xml:space="preserve"> (</w:t>
      </w:r>
      <w:r w:rsidR="0071012A" w:rsidRPr="002072C9">
        <w:rPr>
          <w:rFonts w:cs="Arial"/>
          <w:sz w:val="26"/>
          <w:szCs w:val="26"/>
        </w:rPr>
        <w:t>como las antes descritas</w:t>
      </w:r>
      <w:r w:rsidR="00E10035" w:rsidRPr="002072C9">
        <w:rPr>
          <w:rFonts w:cs="Arial"/>
          <w:sz w:val="26"/>
          <w:szCs w:val="26"/>
        </w:rPr>
        <w:t>)</w:t>
      </w:r>
      <w:r w:rsidR="0071012A" w:rsidRPr="002072C9">
        <w:rPr>
          <w:rFonts w:cs="Arial"/>
          <w:sz w:val="26"/>
          <w:szCs w:val="26"/>
        </w:rPr>
        <w:t>, permiten establecer su realización</w:t>
      </w:r>
      <w:r w:rsidR="00E10035" w:rsidRPr="002072C9">
        <w:rPr>
          <w:rFonts w:cs="Arial"/>
          <w:sz w:val="26"/>
          <w:szCs w:val="26"/>
        </w:rPr>
        <w:t xml:space="preserve"> con un alto grado de certeza. Ello,</w:t>
      </w:r>
      <w:r w:rsidR="0071012A" w:rsidRPr="002072C9">
        <w:rPr>
          <w:rFonts w:cs="Arial"/>
          <w:sz w:val="26"/>
          <w:szCs w:val="26"/>
        </w:rPr>
        <w:t xml:space="preserve"> </w:t>
      </w:r>
      <w:r w:rsidR="00DE03BF" w:rsidRPr="002072C9">
        <w:rPr>
          <w:rFonts w:cs="Arial"/>
          <w:sz w:val="26"/>
          <w:szCs w:val="26"/>
        </w:rPr>
        <w:t>“</w:t>
      </w:r>
      <w:r w:rsidR="0071012A" w:rsidRPr="002072C9">
        <w:rPr>
          <w:rFonts w:cs="Arial"/>
          <w:sz w:val="26"/>
          <w:szCs w:val="26"/>
        </w:rPr>
        <w:t>dada la relación causa-efecto que puede atribuirse entre ellas y el hecho o acto ilícito conforme a la naturaleza de éste, pues la vinculación entre ambos (hecho o acto ilícito y afectación), por lo menos</w:t>
      </w:r>
      <w:r w:rsidR="00BA6969" w:rsidRPr="002072C9">
        <w:rPr>
          <w:rFonts w:cs="Arial"/>
          <w:sz w:val="26"/>
          <w:szCs w:val="26"/>
        </w:rPr>
        <w:t xml:space="preserve"> </w:t>
      </w:r>
      <w:r w:rsidR="0071012A" w:rsidRPr="002072C9">
        <w:rPr>
          <w:rFonts w:cs="Arial"/>
          <w:sz w:val="26"/>
          <w:szCs w:val="26"/>
        </w:rPr>
        <w:t>en condiciones ordinarias de un esperado comportamiento humano, puede postularse como indiscutible en la generalidad de los casos</w:t>
      </w:r>
      <w:r w:rsidR="00DE03BF" w:rsidRPr="002072C9">
        <w:rPr>
          <w:rFonts w:cs="Arial"/>
          <w:sz w:val="26"/>
          <w:szCs w:val="26"/>
        </w:rPr>
        <w:t>”</w:t>
      </w:r>
      <w:r w:rsidR="00DE03BF" w:rsidRPr="002072C9">
        <w:rPr>
          <w:rStyle w:val="Refdenotaalpie"/>
          <w:rFonts w:cs="Arial"/>
          <w:sz w:val="26"/>
          <w:szCs w:val="26"/>
        </w:rPr>
        <w:footnoteReference w:id="96"/>
      </w:r>
      <w:r w:rsidR="0071012A" w:rsidRPr="002072C9">
        <w:rPr>
          <w:rFonts w:cs="Arial"/>
          <w:sz w:val="26"/>
          <w:szCs w:val="26"/>
        </w:rPr>
        <w:t>.</w:t>
      </w:r>
    </w:p>
    <w:p w14:paraId="40294FCD" w14:textId="77777777" w:rsidR="00C6392D" w:rsidRPr="002072C9" w:rsidRDefault="00C6392D" w:rsidP="001A476B">
      <w:pPr>
        <w:pStyle w:val="corte4fondo"/>
        <w:ind w:right="51" w:hanging="567"/>
        <w:rPr>
          <w:rFonts w:cs="Arial"/>
          <w:sz w:val="26"/>
          <w:szCs w:val="26"/>
        </w:rPr>
      </w:pPr>
    </w:p>
    <w:p w14:paraId="09356022" w14:textId="7F3CECB7" w:rsidR="00C6392D" w:rsidRPr="002072C9" w:rsidRDefault="0003722F" w:rsidP="001A476B">
      <w:pPr>
        <w:pStyle w:val="corte4fondo"/>
        <w:numPr>
          <w:ilvl w:val="0"/>
          <w:numId w:val="2"/>
        </w:numPr>
        <w:ind w:left="0" w:right="51" w:hanging="567"/>
        <w:rPr>
          <w:rFonts w:cs="Arial"/>
          <w:sz w:val="26"/>
          <w:szCs w:val="26"/>
        </w:rPr>
      </w:pPr>
      <w:r w:rsidRPr="002072C9">
        <w:rPr>
          <w:rFonts w:cs="Arial"/>
          <w:sz w:val="26"/>
          <w:szCs w:val="26"/>
        </w:rPr>
        <w:t>En</w:t>
      </w:r>
      <w:r w:rsidR="00C6392D" w:rsidRPr="002072C9">
        <w:rPr>
          <w:rFonts w:cs="Arial"/>
          <w:sz w:val="26"/>
          <w:szCs w:val="26"/>
        </w:rPr>
        <w:t xml:space="preserve"> un sentido similar</w:t>
      </w:r>
      <w:r w:rsidR="00E73CDF" w:rsidRPr="002072C9">
        <w:rPr>
          <w:rFonts w:cs="Arial"/>
          <w:sz w:val="26"/>
          <w:szCs w:val="26"/>
        </w:rPr>
        <w:t>, esta Primera Sala sostuvo</w:t>
      </w:r>
      <w:r w:rsidR="00CD467D" w:rsidRPr="002072C9">
        <w:rPr>
          <w:rFonts w:cs="Arial"/>
          <w:sz w:val="26"/>
          <w:szCs w:val="26"/>
        </w:rPr>
        <w:t xml:space="preserve"> en el amparo directo 47/2013</w:t>
      </w:r>
      <w:r w:rsidR="00E73CDF" w:rsidRPr="002072C9">
        <w:rPr>
          <w:rFonts w:cs="Arial"/>
          <w:sz w:val="26"/>
          <w:szCs w:val="26"/>
        </w:rPr>
        <w:t xml:space="preserve"> que,</w:t>
      </w:r>
      <w:r w:rsidR="00C6392D" w:rsidRPr="002072C9">
        <w:rPr>
          <w:rFonts w:cs="Arial"/>
          <w:sz w:val="26"/>
          <w:szCs w:val="26"/>
        </w:rPr>
        <w:t xml:space="preserve"> cuando se trata de la afectación de </w:t>
      </w:r>
      <w:r w:rsidR="00E73CDF" w:rsidRPr="002072C9">
        <w:rPr>
          <w:rFonts w:cs="Arial"/>
          <w:sz w:val="26"/>
          <w:szCs w:val="26"/>
        </w:rPr>
        <w:t>“</w:t>
      </w:r>
      <w:r w:rsidR="00C6392D" w:rsidRPr="002072C9">
        <w:rPr>
          <w:rFonts w:cs="Arial"/>
          <w:sz w:val="26"/>
          <w:szCs w:val="26"/>
        </w:rPr>
        <w:t>valores morales indiscutibles como la dignidad, los sentimientos o la autoestima</w:t>
      </w:r>
      <w:r w:rsidR="00321D89" w:rsidRPr="002072C9">
        <w:rPr>
          <w:rFonts w:cs="Arial"/>
          <w:sz w:val="26"/>
          <w:szCs w:val="26"/>
        </w:rPr>
        <w:t>”</w:t>
      </w:r>
      <w:r w:rsidR="00C6392D" w:rsidRPr="002072C9">
        <w:rPr>
          <w:rFonts w:cs="Arial"/>
          <w:sz w:val="26"/>
          <w:szCs w:val="26"/>
        </w:rPr>
        <w:t xml:space="preserve">, no se </w:t>
      </w:r>
      <w:r w:rsidR="00C6392D" w:rsidRPr="002072C9">
        <w:rPr>
          <w:rFonts w:cs="Arial"/>
          <w:sz w:val="26"/>
          <w:szCs w:val="26"/>
        </w:rPr>
        <w:lastRenderedPageBreak/>
        <w:t>requiere de una mayor acreditación del daño moral cuando ha quedado demostrado el hecho ilícito</w:t>
      </w:r>
      <w:r w:rsidR="00230877" w:rsidRPr="002072C9">
        <w:rPr>
          <w:rFonts w:cs="Arial"/>
          <w:sz w:val="26"/>
          <w:szCs w:val="26"/>
        </w:rPr>
        <w:t>. Para la Sala, ello deriva de</w:t>
      </w:r>
      <w:r w:rsidR="00C6392D" w:rsidRPr="002072C9">
        <w:rPr>
          <w:rFonts w:cs="Arial"/>
          <w:sz w:val="26"/>
          <w:szCs w:val="26"/>
        </w:rPr>
        <w:t xml:space="preserve"> la naturaleza de las cosas o las máximas de la experiencia, </w:t>
      </w:r>
      <w:r w:rsidR="00230877" w:rsidRPr="002072C9">
        <w:rPr>
          <w:rFonts w:cs="Arial"/>
          <w:sz w:val="26"/>
          <w:szCs w:val="26"/>
        </w:rPr>
        <w:t>“</w:t>
      </w:r>
      <w:r w:rsidR="00C6392D" w:rsidRPr="002072C9">
        <w:rPr>
          <w:rFonts w:cs="Arial"/>
          <w:sz w:val="26"/>
          <w:szCs w:val="26"/>
        </w:rPr>
        <w:t>de las que se deduce en forma natural y ordinaria la consecuencia de la lesión subjetiva</w:t>
      </w:r>
      <w:r w:rsidR="00230877" w:rsidRPr="002072C9">
        <w:rPr>
          <w:rFonts w:cs="Arial"/>
          <w:sz w:val="26"/>
          <w:szCs w:val="26"/>
        </w:rPr>
        <w:t>”</w:t>
      </w:r>
      <w:r w:rsidR="00E73CDF" w:rsidRPr="002072C9">
        <w:rPr>
          <w:rStyle w:val="Refdenotaalpie"/>
          <w:rFonts w:cs="Arial"/>
          <w:sz w:val="26"/>
          <w:szCs w:val="26"/>
        </w:rPr>
        <w:footnoteReference w:id="97"/>
      </w:r>
      <w:r w:rsidR="00C6392D" w:rsidRPr="002072C9">
        <w:rPr>
          <w:rFonts w:cs="Arial"/>
          <w:sz w:val="26"/>
          <w:szCs w:val="26"/>
        </w:rPr>
        <w:t>.</w:t>
      </w:r>
    </w:p>
    <w:p w14:paraId="239FEDF6" w14:textId="77777777" w:rsidR="00FE621C" w:rsidRPr="002072C9" w:rsidRDefault="00FE621C" w:rsidP="001A476B">
      <w:pPr>
        <w:pStyle w:val="corte4fondo"/>
        <w:ind w:right="51" w:hanging="567"/>
        <w:rPr>
          <w:rFonts w:cs="Arial"/>
          <w:sz w:val="26"/>
          <w:szCs w:val="26"/>
        </w:rPr>
      </w:pPr>
    </w:p>
    <w:p w14:paraId="7F61A176" w14:textId="37270DEC" w:rsidR="002A7807" w:rsidRPr="00125298" w:rsidRDefault="00FE621C" w:rsidP="001A476B">
      <w:pPr>
        <w:pStyle w:val="corte4fondo"/>
        <w:numPr>
          <w:ilvl w:val="0"/>
          <w:numId w:val="2"/>
        </w:numPr>
        <w:ind w:left="0" w:right="51" w:hanging="567"/>
        <w:rPr>
          <w:rFonts w:cs="Arial"/>
          <w:color w:val="000000" w:themeColor="text1"/>
          <w:sz w:val="26"/>
          <w:szCs w:val="26"/>
          <w:lang w:val="es-ES"/>
        </w:rPr>
      </w:pPr>
      <w:r w:rsidRPr="00125298">
        <w:rPr>
          <w:rFonts w:cs="Arial"/>
          <w:sz w:val="26"/>
          <w:szCs w:val="26"/>
        </w:rPr>
        <w:t xml:space="preserve">A partir de lo anterior, </w:t>
      </w:r>
      <w:r w:rsidRPr="00125298">
        <w:rPr>
          <w:rFonts w:asciiTheme="minorBidi" w:hAnsiTheme="minorBidi" w:cstheme="minorBidi"/>
          <w:sz w:val="26"/>
          <w:szCs w:val="26"/>
        </w:rPr>
        <w:t xml:space="preserve">como acertadamente identificaron las </w:t>
      </w:r>
      <w:r w:rsidR="00B96447" w:rsidRPr="00125298">
        <w:rPr>
          <w:rFonts w:asciiTheme="minorBidi" w:hAnsiTheme="minorBidi" w:cstheme="minorBidi"/>
          <w:sz w:val="26"/>
          <w:szCs w:val="26"/>
        </w:rPr>
        <w:t>actoras</w:t>
      </w:r>
      <w:r w:rsidR="00A83D1D" w:rsidRPr="00125298">
        <w:rPr>
          <w:rFonts w:asciiTheme="minorBidi" w:hAnsiTheme="minorBidi" w:cstheme="minorBidi"/>
          <w:sz w:val="26"/>
          <w:szCs w:val="26"/>
        </w:rPr>
        <w:t xml:space="preserve"> en su recurso de apelación y demanda de amparo</w:t>
      </w:r>
      <w:r w:rsidRPr="00125298">
        <w:rPr>
          <w:rFonts w:asciiTheme="minorBidi" w:hAnsiTheme="minorBidi" w:cstheme="minorBidi"/>
          <w:sz w:val="26"/>
          <w:szCs w:val="26"/>
        </w:rPr>
        <w:t xml:space="preserve">, esta </w:t>
      </w:r>
      <w:r w:rsidR="00CD467D" w:rsidRPr="00125298">
        <w:rPr>
          <w:rFonts w:asciiTheme="minorBidi" w:hAnsiTheme="minorBidi" w:cstheme="minorBidi"/>
          <w:sz w:val="26"/>
          <w:szCs w:val="26"/>
        </w:rPr>
        <w:t>Suprema Corte a</w:t>
      </w:r>
      <w:r w:rsidRPr="00125298">
        <w:rPr>
          <w:rFonts w:asciiTheme="minorBidi" w:hAnsiTheme="minorBidi" w:cstheme="minorBidi"/>
          <w:sz w:val="26"/>
          <w:szCs w:val="26"/>
        </w:rPr>
        <w:t>dvierte que</w:t>
      </w:r>
      <w:r w:rsidR="00A83D1D" w:rsidRPr="00125298">
        <w:rPr>
          <w:rFonts w:asciiTheme="minorBidi" w:hAnsiTheme="minorBidi" w:cstheme="minorBidi"/>
          <w:sz w:val="26"/>
          <w:szCs w:val="26"/>
        </w:rPr>
        <w:t xml:space="preserve"> </w:t>
      </w:r>
      <w:r w:rsidR="00350772" w:rsidRPr="00125298">
        <w:rPr>
          <w:rFonts w:asciiTheme="minorBidi" w:hAnsiTheme="minorBidi" w:cstheme="minorBidi"/>
          <w:sz w:val="26"/>
          <w:szCs w:val="26"/>
        </w:rPr>
        <w:t xml:space="preserve">el artículo </w:t>
      </w:r>
      <w:r w:rsidR="004E78F0" w:rsidRPr="00125298">
        <w:rPr>
          <w:rFonts w:asciiTheme="minorBidi" w:hAnsiTheme="minorBidi" w:cstheme="minorBidi"/>
          <w:sz w:val="26"/>
          <w:szCs w:val="26"/>
        </w:rPr>
        <w:t>1</w:t>
      </w:r>
      <w:r w:rsidR="00E568A9" w:rsidRPr="00125298">
        <w:rPr>
          <w:rFonts w:asciiTheme="minorBidi" w:hAnsiTheme="minorBidi" w:cstheme="minorBidi"/>
          <w:sz w:val="26"/>
          <w:szCs w:val="26"/>
        </w:rPr>
        <w:t>916</w:t>
      </w:r>
      <w:r w:rsidR="004E78F0" w:rsidRPr="00125298">
        <w:rPr>
          <w:rFonts w:asciiTheme="minorBidi" w:hAnsiTheme="minorBidi" w:cstheme="minorBidi"/>
          <w:sz w:val="26"/>
          <w:szCs w:val="26"/>
        </w:rPr>
        <w:t xml:space="preserve"> del Código Civil</w:t>
      </w:r>
      <w:r w:rsidR="00037D2A" w:rsidRPr="00125298">
        <w:rPr>
          <w:rFonts w:asciiTheme="minorBidi" w:hAnsiTheme="minorBidi" w:cstheme="minorBidi"/>
          <w:sz w:val="26"/>
          <w:szCs w:val="26"/>
        </w:rPr>
        <w:t xml:space="preserve"> para el Distrito Federal</w:t>
      </w:r>
      <w:r w:rsidR="004E78F0" w:rsidRPr="00125298">
        <w:rPr>
          <w:rFonts w:asciiTheme="minorBidi" w:hAnsiTheme="minorBidi" w:cstheme="minorBidi"/>
          <w:sz w:val="26"/>
          <w:szCs w:val="26"/>
        </w:rPr>
        <w:t xml:space="preserve"> </w:t>
      </w:r>
      <w:r w:rsidR="00B96447" w:rsidRPr="00125298">
        <w:rPr>
          <w:rFonts w:asciiTheme="minorBidi" w:hAnsiTheme="minorBidi" w:cstheme="minorBidi"/>
          <w:sz w:val="26"/>
          <w:szCs w:val="26"/>
        </w:rPr>
        <w:t xml:space="preserve">recoge la </w:t>
      </w:r>
      <w:r w:rsidR="00B96447" w:rsidRPr="00125298">
        <w:rPr>
          <w:rFonts w:cs="Arial"/>
          <w:sz w:val="26"/>
          <w:szCs w:val="26"/>
          <w:lang w:eastAsia="es-ES"/>
        </w:rPr>
        <w:t xml:space="preserve">teoría de la prueba objetiva del daño moral. Por una parte, el precepto define el daño moral como </w:t>
      </w:r>
      <w:r w:rsidR="00B96447" w:rsidRPr="00125298">
        <w:rPr>
          <w:rFonts w:cs="Arial"/>
          <w:sz w:val="26"/>
          <w:szCs w:val="26"/>
        </w:rPr>
        <w:t>“</w:t>
      </w:r>
      <w:r w:rsidR="00E568A9" w:rsidRPr="00125298">
        <w:rPr>
          <w:rFonts w:cs="Arial"/>
          <w:sz w:val="26"/>
          <w:szCs w:val="26"/>
        </w:rPr>
        <w:t>la afectación que una persona sufre en sus sentimientos, afectos, creencias, decoro, honor, reputación, vida privada, configuración y aspectos físicos, o bien en la consideración que de sí misma tienen los demás</w:t>
      </w:r>
      <w:r w:rsidR="00AE5230" w:rsidRPr="00125298">
        <w:rPr>
          <w:rFonts w:cs="Arial"/>
          <w:sz w:val="26"/>
          <w:szCs w:val="26"/>
        </w:rPr>
        <w:t>”</w:t>
      </w:r>
      <w:r w:rsidR="00E568A9" w:rsidRPr="00125298">
        <w:rPr>
          <w:rFonts w:cs="Arial"/>
          <w:sz w:val="26"/>
          <w:szCs w:val="26"/>
        </w:rPr>
        <w:t xml:space="preserve">. </w:t>
      </w:r>
      <w:r w:rsidR="00AE5230" w:rsidRPr="00125298">
        <w:rPr>
          <w:rFonts w:cs="Arial"/>
          <w:sz w:val="26"/>
          <w:szCs w:val="26"/>
        </w:rPr>
        <w:t xml:space="preserve">Posteriormente, </w:t>
      </w:r>
      <w:r w:rsidR="00CD467D" w:rsidRPr="00125298">
        <w:rPr>
          <w:rFonts w:cs="Arial"/>
          <w:sz w:val="26"/>
          <w:szCs w:val="26"/>
        </w:rPr>
        <w:t xml:space="preserve">en atención a la teoría </w:t>
      </w:r>
      <w:r w:rsidR="00513D95" w:rsidRPr="00125298">
        <w:rPr>
          <w:rFonts w:cs="Arial"/>
          <w:sz w:val="26"/>
          <w:szCs w:val="26"/>
        </w:rPr>
        <w:t>antes descrita</w:t>
      </w:r>
      <w:r w:rsidR="00CD467D" w:rsidRPr="00125298">
        <w:rPr>
          <w:rFonts w:cs="Arial"/>
          <w:sz w:val="26"/>
          <w:szCs w:val="26"/>
        </w:rPr>
        <w:t xml:space="preserve">, </w:t>
      </w:r>
      <w:r w:rsidR="00AE5230" w:rsidRPr="00125298">
        <w:rPr>
          <w:rFonts w:cs="Arial"/>
          <w:sz w:val="26"/>
          <w:szCs w:val="26"/>
        </w:rPr>
        <w:t xml:space="preserve">el artículo establece una presunción del daño moral, en los casos en que </w:t>
      </w:r>
      <w:r w:rsidR="00E568A9" w:rsidRPr="00125298">
        <w:rPr>
          <w:rFonts w:cs="Arial"/>
          <w:sz w:val="26"/>
          <w:szCs w:val="26"/>
        </w:rPr>
        <w:t>se vulnere o menoscabe ilegítimamente la libertad o la integridad física o psíquica de las personas</w:t>
      </w:r>
      <w:r w:rsidR="00AE5230" w:rsidRPr="00125298">
        <w:rPr>
          <w:rFonts w:cs="Arial"/>
          <w:sz w:val="26"/>
          <w:szCs w:val="26"/>
        </w:rPr>
        <w:t>”</w:t>
      </w:r>
      <w:r w:rsidR="00CC7042" w:rsidRPr="00125298">
        <w:rPr>
          <w:rStyle w:val="Refdenotaalpie"/>
          <w:rFonts w:cs="Arial"/>
          <w:sz w:val="26"/>
          <w:szCs w:val="26"/>
        </w:rPr>
        <w:footnoteReference w:id="98"/>
      </w:r>
      <w:r w:rsidR="00E568A9" w:rsidRPr="00125298">
        <w:rPr>
          <w:rFonts w:cs="Arial"/>
          <w:sz w:val="26"/>
          <w:szCs w:val="26"/>
        </w:rPr>
        <w:t>.</w:t>
      </w:r>
      <w:r w:rsidR="002A7807" w:rsidRPr="00125298">
        <w:rPr>
          <w:rFonts w:cs="Arial"/>
          <w:sz w:val="26"/>
          <w:szCs w:val="26"/>
        </w:rPr>
        <w:t xml:space="preserve"> Como hemos dicho, esta presunción </w:t>
      </w:r>
      <w:r w:rsidR="002A7807" w:rsidRPr="00125298">
        <w:rPr>
          <w:rFonts w:cs="Arial"/>
          <w:color w:val="000000" w:themeColor="text1"/>
          <w:sz w:val="26"/>
          <w:szCs w:val="26"/>
          <w:lang w:val="es-ES"/>
        </w:rPr>
        <w:t xml:space="preserve">tiene como objetivo primordial hacer eficaz la posibilidad de que quienes resientan una lesión a sus intereses más íntimos y personales puedan encontrar en el derecho y en los tribunales una </w:t>
      </w:r>
      <w:r w:rsidR="003C126B" w:rsidRPr="00125298">
        <w:rPr>
          <w:rFonts w:cs="Arial"/>
          <w:color w:val="000000" w:themeColor="text1"/>
          <w:sz w:val="26"/>
          <w:szCs w:val="26"/>
          <w:lang w:val="es-ES"/>
        </w:rPr>
        <w:t xml:space="preserve">forma </w:t>
      </w:r>
      <w:r w:rsidR="002A7807" w:rsidRPr="00125298">
        <w:rPr>
          <w:rFonts w:cs="Arial"/>
          <w:color w:val="000000" w:themeColor="text1"/>
          <w:sz w:val="26"/>
          <w:szCs w:val="26"/>
          <w:lang w:val="es-ES"/>
        </w:rPr>
        <w:t xml:space="preserve">para resarcir tales afectaciones. </w:t>
      </w:r>
    </w:p>
    <w:p w14:paraId="5EA8059A" w14:textId="77777777" w:rsidR="007D624B" w:rsidRPr="00125298" w:rsidRDefault="007D624B" w:rsidP="001A476B">
      <w:pPr>
        <w:pStyle w:val="corte4fondo"/>
        <w:ind w:right="51" w:hanging="567"/>
        <w:rPr>
          <w:rFonts w:cs="Arial"/>
          <w:sz w:val="26"/>
          <w:szCs w:val="26"/>
        </w:rPr>
      </w:pPr>
    </w:p>
    <w:p w14:paraId="7827BA7C" w14:textId="516939C4" w:rsidR="00322B33" w:rsidRPr="00125298" w:rsidRDefault="00322B33" w:rsidP="001A476B">
      <w:pPr>
        <w:pStyle w:val="corte4fondo"/>
        <w:numPr>
          <w:ilvl w:val="0"/>
          <w:numId w:val="2"/>
        </w:numPr>
        <w:ind w:left="0" w:right="51" w:hanging="567"/>
        <w:rPr>
          <w:rFonts w:cs="Arial"/>
          <w:sz w:val="26"/>
          <w:szCs w:val="26"/>
        </w:rPr>
      </w:pPr>
      <w:r w:rsidRPr="00125298">
        <w:rPr>
          <w:rFonts w:cs="Arial"/>
          <w:sz w:val="26"/>
          <w:szCs w:val="26"/>
        </w:rPr>
        <w:t xml:space="preserve">Ahora, en su </w:t>
      </w:r>
      <w:r w:rsidR="008F68AA" w:rsidRPr="00125298">
        <w:rPr>
          <w:rFonts w:cs="Arial"/>
          <w:sz w:val="26"/>
          <w:szCs w:val="26"/>
        </w:rPr>
        <w:t>tercer concepto de violación</w:t>
      </w:r>
      <w:r w:rsidRPr="00125298">
        <w:rPr>
          <w:rFonts w:cs="Arial"/>
          <w:sz w:val="26"/>
          <w:szCs w:val="26"/>
        </w:rPr>
        <w:t xml:space="preserve">, las quejosas sostienen que fue </w:t>
      </w:r>
      <w:r w:rsidR="0049690D" w:rsidRPr="00125298">
        <w:rPr>
          <w:rFonts w:cs="Arial"/>
          <w:sz w:val="26"/>
          <w:szCs w:val="26"/>
        </w:rPr>
        <w:t xml:space="preserve">contrario a la perspectiva de género y a su derecho a la igualdad y no discriminación que la sala de apelación no </w:t>
      </w:r>
      <w:r w:rsidR="00CF79A0" w:rsidRPr="00125298">
        <w:rPr>
          <w:rFonts w:cs="Arial"/>
          <w:sz w:val="26"/>
          <w:szCs w:val="26"/>
        </w:rPr>
        <w:t xml:space="preserve">aplicara la presunción del artículo 1916 en el caso. Para las quejosas, los hechos discriminatorios constituyeron una afectación en su integridad psíquica, por lo que, conforme al precepto, el daño moral debía presumirse. </w:t>
      </w:r>
    </w:p>
    <w:p w14:paraId="16AFC68E" w14:textId="77777777" w:rsidR="00FB692B" w:rsidRPr="00125298" w:rsidRDefault="00FB692B" w:rsidP="001A476B">
      <w:pPr>
        <w:pStyle w:val="corte4fondo"/>
        <w:ind w:right="51" w:hanging="567"/>
        <w:rPr>
          <w:rFonts w:cs="Arial"/>
          <w:sz w:val="26"/>
          <w:szCs w:val="26"/>
        </w:rPr>
      </w:pPr>
    </w:p>
    <w:p w14:paraId="365BC45C" w14:textId="3711A9E8" w:rsidR="00FB692B" w:rsidRPr="00125298" w:rsidRDefault="00FB692B" w:rsidP="001A476B">
      <w:pPr>
        <w:pStyle w:val="corte4fondo"/>
        <w:numPr>
          <w:ilvl w:val="0"/>
          <w:numId w:val="2"/>
        </w:numPr>
        <w:ind w:left="0" w:right="51" w:hanging="567"/>
        <w:rPr>
          <w:rFonts w:cs="Arial"/>
          <w:sz w:val="26"/>
          <w:szCs w:val="26"/>
        </w:rPr>
      </w:pPr>
      <w:r w:rsidRPr="00125298">
        <w:rPr>
          <w:rFonts w:cs="Arial"/>
          <w:sz w:val="26"/>
          <w:szCs w:val="26"/>
        </w:rPr>
        <w:t xml:space="preserve">Esta Primera Sala considera que asiste la razón a las quejosas en este punto. </w:t>
      </w:r>
      <w:r w:rsidR="008F68AA" w:rsidRPr="00125298">
        <w:rPr>
          <w:rFonts w:cs="Arial"/>
          <w:sz w:val="26"/>
          <w:szCs w:val="26"/>
        </w:rPr>
        <w:t>Al analizar si el daño moral quedaba acreditado en el caso o no, la</w:t>
      </w:r>
      <w:r w:rsidRPr="00125298">
        <w:rPr>
          <w:rFonts w:cs="Arial"/>
          <w:sz w:val="26"/>
          <w:szCs w:val="26"/>
        </w:rPr>
        <w:t xml:space="preserve"> sala de apelación debió </w:t>
      </w:r>
      <w:r w:rsidR="008F68AA" w:rsidRPr="00125298">
        <w:rPr>
          <w:rFonts w:cs="Arial"/>
          <w:sz w:val="26"/>
          <w:szCs w:val="26"/>
        </w:rPr>
        <w:t xml:space="preserve">atender a que </w:t>
      </w:r>
      <w:r w:rsidR="005C3820">
        <w:rPr>
          <w:rFonts w:cs="Arial"/>
          <w:sz w:val="26"/>
          <w:szCs w:val="26"/>
        </w:rPr>
        <w:t xml:space="preserve">la </w:t>
      </w:r>
      <w:r w:rsidR="005C3820" w:rsidRPr="009C51F2">
        <w:rPr>
          <w:rFonts w:cs="Arial"/>
          <w:sz w:val="26"/>
          <w:szCs w:val="26"/>
        </w:rPr>
        <w:t xml:space="preserve">discriminación </w:t>
      </w:r>
      <w:r w:rsidR="005C3820" w:rsidRPr="000B739A">
        <w:rPr>
          <w:rFonts w:cs="Arial"/>
          <w:sz w:val="26"/>
          <w:szCs w:val="26"/>
        </w:rPr>
        <w:t>basada</w:t>
      </w:r>
      <w:r w:rsidR="00526BBB" w:rsidRPr="000B739A">
        <w:rPr>
          <w:rFonts w:cs="Arial"/>
          <w:sz w:val="26"/>
          <w:szCs w:val="26"/>
        </w:rPr>
        <w:t xml:space="preserve"> en </w:t>
      </w:r>
      <w:r w:rsidR="002E3E39" w:rsidRPr="000B739A">
        <w:rPr>
          <w:rFonts w:cs="Arial"/>
          <w:sz w:val="26"/>
          <w:szCs w:val="26"/>
        </w:rPr>
        <w:t xml:space="preserve">alguna de </w:t>
      </w:r>
      <w:r w:rsidR="00AE15F2" w:rsidRPr="000B739A">
        <w:rPr>
          <w:rFonts w:cs="Arial"/>
          <w:sz w:val="26"/>
          <w:szCs w:val="26"/>
        </w:rPr>
        <w:t xml:space="preserve">las categorías </w:t>
      </w:r>
      <w:r w:rsidR="002E3E39" w:rsidRPr="000B739A">
        <w:rPr>
          <w:rFonts w:cs="Arial"/>
          <w:sz w:val="26"/>
          <w:szCs w:val="26"/>
        </w:rPr>
        <w:t>d</w:t>
      </w:r>
      <w:r w:rsidR="005C3820" w:rsidRPr="000B739A">
        <w:rPr>
          <w:rFonts w:cs="Arial"/>
          <w:sz w:val="26"/>
          <w:szCs w:val="26"/>
        </w:rPr>
        <w:t>el artículo 1o constitucional</w:t>
      </w:r>
      <w:r w:rsidR="005C3820">
        <w:rPr>
          <w:rFonts w:cs="Arial"/>
          <w:sz w:val="26"/>
          <w:szCs w:val="26"/>
        </w:rPr>
        <w:t xml:space="preserve"> </w:t>
      </w:r>
      <w:r w:rsidR="008F68AA" w:rsidRPr="00125298">
        <w:rPr>
          <w:rFonts w:cs="Arial"/>
          <w:sz w:val="26"/>
          <w:szCs w:val="26"/>
        </w:rPr>
        <w:t xml:space="preserve">conlleva una afectación en la </w:t>
      </w:r>
      <w:r w:rsidR="008F68AA" w:rsidRPr="00125298">
        <w:rPr>
          <w:rFonts w:cs="Arial"/>
          <w:sz w:val="26"/>
          <w:szCs w:val="26"/>
        </w:rPr>
        <w:lastRenderedPageBreak/>
        <w:t>integridad de las personas, por lo que</w:t>
      </w:r>
      <w:r w:rsidR="00704DDA" w:rsidRPr="00125298">
        <w:rPr>
          <w:rFonts w:cs="Arial"/>
          <w:sz w:val="26"/>
          <w:szCs w:val="26"/>
        </w:rPr>
        <w:t xml:space="preserve">, </w:t>
      </w:r>
      <w:r w:rsidR="00037D2A" w:rsidRPr="00125298">
        <w:rPr>
          <w:rFonts w:cs="Arial"/>
          <w:sz w:val="26"/>
          <w:szCs w:val="26"/>
        </w:rPr>
        <w:t>ante el acreditamiento</w:t>
      </w:r>
      <w:r w:rsidR="00704DDA" w:rsidRPr="00125298">
        <w:rPr>
          <w:rFonts w:cs="Arial"/>
          <w:sz w:val="26"/>
          <w:szCs w:val="26"/>
        </w:rPr>
        <w:t xml:space="preserve"> de estos hechos</w:t>
      </w:r>
      <w:r w:rsidR="00D72203" w:rsidRPr="00125298">
        <w:rPr>
          <w:rFonts w:cs="Arial"/>
          <w:sz w:val="26"/>
          <w:szCs w:val="26"/>
        </w:rPr>
        <w:t xml:space="preserve"> </w:t>
      </w:r>
      <w:r w:rsidR="00AE15F2">
        <w:rPr>
          <w:rFonts w:cs="Arial"/>
          <w:sz w:val="26"/>
          <w:szCs w:val="26"/>
        </w:rPr>
        <w:t xml:space="preserve">discriminatorios </w:t>
      </w:r>
      <w:r w:rsidR="00D72203" w:rsidRPr="00125298">
        <w:rPr>
          <w:rFonts w:cs="Arial"/>
          <w:sz w:val="26"/>
          <w:szCs w:val="26"/>
        </w:rPr>
        <w:t>en un juicio de responsabilidad civil extracontractual</w:t>
      </w:r>
      <w:r w:rsidR="00704DDA" w:rsidRPr="00125298">
        <w:rPr>
          <w:rFonts w:cs="Arial"/>
          <w:sz w:val="26"/>
          <w:szCs w:val="26"/>
        </w:rPr>
        <w:t xml:space="preserve">, </w:t>
      </w:r>
      <w:r w:rsidR="00037D2A" w:rsidRPr="00125298">
        <w:rPr>
          <w:rFonts w:cs="Arial"/>
          <w:sz w:val="26"/>
          <w:szCs w:val="26"/>
        </w:rPr>
        <w:t>debe presumirse el daño moral conforme artículo 1916 del Código Civil para el Distrito Federal.</w:t>
      </w:r>
    </w:p>
    <w:p w14:paraId="24CC1DC0" w14:textId="77777777" w:rsidR="00950341" w:rsidRPr="008F58B1" w:rsidRDefault="00950341" w:rsidP="001A476B">
      <w:pPr>
        <w:pStyle w:val="corte4fondo"/>
        <w:tabs>
          <w:tab w:val="left" w:pos="0"/>
        </w:tabs>
        <w:ind w:right="51" w:hanging="567"/>
        <w:rPr>
          <w:rFonts w:cs="Arial"/>
          <w:bCs/>
          <w:sz w:val="26"/>
          <w:szCs w:val="26"/>
        </w:rPr>
      </w:pPr>
    </w:p>
    <w:p w14:paraId="2474D154" w14:textId="377AAFFB" w:rsidR="00A5307E" w:rsidRPr="000D12EC" w:rsidRDefault="002C3176" w:rsidP="001A476B">
      <w:pPr>
        <w:pStyle w:val="corte4fondo"/>
        <w:numPr>
          <w:ilvl w:val="0"/>
          <w:numId w:val="2"/>
        </w:numPr>
        <w:ind w:left="0" w:right="51" w:hanging="567"/>
        <w:rPr>
          <w:rFonts w:cs="Arial"/>
          <w:sz w:val="26"/>
          <w:szCs w:val="26"/>
        </w:rPr>
      </w:pPr>
      <w:r w:rsidRPr="00D43630">
        <w:rPr>
          <w:rFonts w:cs="Arial"/>
          <w:sz w:val="26"/>
          <w:szCs w:val="26"/>
        </w:rPr>
        <w:t>Para sustentar lo anterior, recordamos que</w:t>
      </w:r>
      <w:r w:rsidRPr="00D43630">
        <w:rPr>
          <w:rFonts w:cs="Arial"/>
          <w:bCs/>
          <w:sz w:val="26"/>
          <w:szCs w:val="26"/>
        </w:rPr>
        <w:t xml:space="preserve"> e</w:t>
      </w:r>
      <w:r w:rsidR="00950341" w:rsidRPr="00D43630">
        <w:rPr>
          <w:rFonts w:cs="Arial"/>
          <w:bCs/>
          <w:sz w:val="26"/>
          <w:szCs w:val="26"/>
        </w:rPr>
        <w:t>l</w:t>
      </w:r>
      <w:r w:rsidR="00950341" w:rsidRPr="00D43630">
        <w:rPr>
          <w:rFonts w:cs="Arial"/>
          <w:sz w:val="26"/>
          <w:szCs w:val="26"/>
        </w:rPr>
        <w:t xml:space="preserve"> artículo 1</w:t>
      </w:r>
      <w:r w:rsidR="00702141" w:rsidRPr="00D43630">
        <w:rPr>
          <w:rFonts w:cs="Arial"/>
          <w:sz w:val="26"/>
          <w:szCs w:val="26"/>
        </w:rPr>
        <w:t>o</w:t>
      </w:r>
      <w:r w:rsidR="00950341" w:rsidRPr="00D43630">
        <w:rPr>
          <w:rFonts w:cs="Arial"/>
          <w:sz w:val="26"/>
          <w:szCs w:val="26"/>
        </w:rPr>
        <w:t xml:space="preserve"> constitucional prohíbe la discriminación con base en categorías sospechosas</w:t>
      </w:r>
      <w:r w:rsidR="00673E27" w:rsidRPr="00D43630">
        <w:rPr>
          <w:rFonts w:cs="Arial"/>
          <w:sz w:val="26"/>
          <w:szCs w:val="26"/>
        </w:rPr>
        <w:t>,</w:t>
      </w:r>
      <w:r w:rsidR="00436619" w:rsidRPr="00D43630">
        <w:rPr>
          <w:rFonts w:cs="Arial"/>
          <w:sz w:val="26"/>
          <w:szCs w:val="26"/>
        </w:rPr>
        <w:t xml:space="preserve"> como </w:t>
      </w:r>
      <w:r w:rsidR="00673E27" w:rsidRPr="00D43630">
        <w:rPr>
          <w:rFonts w:cs="Arial"/>
          <w:sz w:val="26"/>
          <w:szCs w:val="26"/>
        </w:rPr>
        <w:t xml:space="preserve">son </w:t>
      </w:r>
      <w:r w:rsidR="00436619" w:rsidRPr="00D43630">
        <w:rPr>
          <w:rFonts w:cs="Arial"/>
          <w:sz w:val="26"/>
          <w:szCs w:val="26"/>
          <w:lang w:val="es-MX"/>
        </w:rPr>
        <w:t>el género, la orientación sexual</w:t>
      </w:r>
      <w:r w:rsidR="00A941AF">
        <w:rPr>
          <w:rFonts w:cs="Arial"/>
          <w:sz w:val="26"/>
          <w:szCs w:val="26"/>
          <w:lang w:val="es-MX"/>
        </w:rPr>
        <w:t>,</w:t>
      </w:r>
      <w:r w:rsidR="00436619" w:rsidRPr="00D43630">
        <w:rPr>
          <w:rFonts w:cs="Arial"/>
          <w:sz w:val="26"/>
          <w:szCs w:val="26"/>
          <w:lang w:val="es-MX"/>
        </w:rPr>
        <w:t xml:space="preserve"> </w:t>
      </w:r>
      <w:r w:rsidR="00D43630" w:rsidRPr="00D43630">
        <w:rPr>
          <w:rFonts w:cs="Arial"/>
          <w:sz w:val="26"/>
          <w:szCs w:val="26"/>
        </w:rPr>
        <w:t>y</w:t>
      </w:r>
      <w:r w:rsidR="00950341" w:rsidRPr="00D43630">
        <w:rPr>
          <w:rFonts w:cs="Arial"/>
          <w:sz w:val="26"/>
          <w:szCs w:val="26"/>
        </w:rPr>
        <w:t xml:space="preserve"> cualquier otra que atente contra la dignidad humana y tenga por objeto anular o menoscabar los derechos y libertades de las personas. </w:t>
      </w:r>
      <w:r w:rsidR="006E4468" w:rsidRPr="00D43630">
        <w:rPr>
          <w:rFonts w:cs="Arial"/>
          <w:sz w:val="26"/>
          <w:szCs w:val="26"/>
        </w:rPr>
        <w:t>Conforme a los precedentes de</w:t>
      </w:r>
      <w:r w:rsidR="0004590A">
        <w:rPr>
          <w:rFonts w:cs="Arial"/>
          <w:sz w:val="26"/>
          <w:szCs w:val="26"/>
        </w:rPr>
        <w:t xml:space="preserve"> la Primera Sala</w:t>
      </w:r>
      <w:r w:rsidR="006E4468" w:rsidRPr="00D43630">
        <w:rPr>
          <w:rFonts w:cs="Arial"/>
          <w:sz w:val="26"/>
          <w:szCs w:val="26"/>
        </w:rPr>
        <w:t xml:space="preserve">, </w:t>
      </w:r>
      <w:r w:rsidR="0004590A">
        <w:rPr>
          <w:rFonts w:cs="Arial"/>
          <w:sz w:val="26"/>
          <w:szCs w:val="26"/>
        </w:rPr>
        <w:t>estas</w:t>
      </w:r>
      <w:r w:rsidR="006E4468" w:rsidRPr="00D43630">
        <w:rPr>
          <w:rFonts w:cs="Arial"/>
          <w:sz w:val="26"/>
          <w:szCs w:val="26"/>
        </w:rPr>
        <w:t xml:space="preserve"> categorías </w:t>
      </w:r>
      <w:r w:rsidR="00950341" w:rsidRPr="00D43630">
        <w:rPr>
          <w:rFonts w:cs="Arial"/>
          <w:sz w:val="26"/>
          <w:szCs w:val="26"/>
        </w:rPr>
        <w:t xml:space="preserve">están asociadas a </w:t>
      </w:r>
      <w:r w:rsidR="00650D9A">
        <w:rPr>
          <w:rFonts w:cs="Arial"/>
          <w:sz w:val="26"/>
          <w:szCs w:val="26"/>
        </w:rPr>
        <w:t xml:space="preserve">la </w:t>
      </w:r>
      <w:r w:rsidR="00950341" w:rsidRPr="00D43630">
        <w:rPr>
          <w:rFonts w:cs="Arial"/>
          <w:sz w:val="26"/>
          <w:szCs w:val="26"/>
        </w:rPr>
        <w:t>desvaloración cultural, desventaja social y marginación política</w:t>
      </w:r>
      <w:r w:rsidR="00650D9A">
        <w:rPr>
          <w:rFonts w:cs="Arial"/>
          <w:sz w:val="26"/>
          <w:szCs w:val="26"/>
        </w:rPr>
        <w:t xml:space="preserve"> de los miembros de tales grupos</w:t>
      </w:r>
      <w:r w:rsidR="00B325A3">
        <w:rPr>
          <w:rStyle w:val="Refdenotaalpie"/>
          <w:rFonts w:cs="Arial"/>
          <w:sz w:val="26"/>
          <w:szCs w:val="26"/>
        </w:rPr>
        <w:footnoteReference w:id="99"/>
      </w:r>
      <w:r w:rsidR="00950341" w:rsidRPr="00D43630">
        <w:rPr>
          <w:rFonts w:cs="Arial"/>
          <w:sz w:val="26"/>
          <w:szCs w:val="26"/>
        </w:rPr>
        <w:t xml:space="preserve">. </w:t>
      </w:r>
      <w:r w:rsidR="00A5307E" w:rsidRPr="000D12EC">
        <w:rPr>
          <w:rFonts w:cs="Arial"/>
          <w:sz w:val="26"/>
          <w:szCs w:val="26"/>
        </w:rPr>
        <w:t>Asimismo, es criterio reiterado de</w:t>
      </w:r>
      <w:r w:rsidR="00CB1333">
        <w:rPr>
          <w:rFonts w:cs="Arial"/>
          <w:sz w:val="26"/>
          <w:szCs w:val="26"/>
        </w:rPr>
        <w:t xml:space="preserve"> esta Suprema Corte </w:t>
      </w:r>
      <w:r w:rsidR="00A5307E" w:rsidRPr="000D12EC">
        <w:rPr>
          <w:rFonts w:cs="Arial"/>
          <w:sz w:val="26"/>
          <w:szCs w:val="26"/>
        </w:rPr>
        <w:t>que la discriminación ocurre</w:t>
      </w:r>
      <w:r w:rsidR="00B762D5">
        <w:rPr>
          <w:rFonts w:cs="Arial"/>
          <w:sz w:val="26"/>
          <w:szCs w:val="26"/>
        </w:rPr>
        <w:t xml:space="preserve"> tanto </w:t>
      </w:r>
      <w:r w:rsidR="00A5307E" w:rsidRPr="000D12EC">
        <w:rPr>
          <w:rFonts w:cs="Arial"/>
          <w:sz w:val="26"/>
          <w:szCs w:val="26"/>
        </w:rPr>
        <w:t xml:space="preserve">cuando las normas, políticas, prácticas y programas invocan explícitamente un factor prohibido de discriminación </w:t>
      </w:r>
      <w:r w:rsidR="000D12EC" w:rsidRPr="000D12EC">
        <w:rPr>
          <w:rFonts w:cs="Arial"/>
          <w:sz w:val="26"/>
          <w:szCs w:val="26"/>
        </w:rPr>
        <w:t xml:space="preserve">(o </w:t>
      </w:r>
      <w:r w:rsidR="00A5307E" w:rsidRPr="000D12EC">
        <w:rPr>
          <w:rFonts w:cs="Arial"/>
          <w:sz w:val="26"/>
          <w:szCs w:val="26"/>
        </w:rPr>
        <w:t>categoría sospechosa</w:t>
      </w:r>
      <w:r w:rsidR="000D12EC" w:rsidRPr="000D12EC">
        <w:rPr>
          <w:rFonts w:cs="Arial"/>
          <w:sz w:val="26"/>
          <w:szCs w:val="26"/>
        </w:rPr>
        <w:t xml:space="preserve">), </w:t>
      </w:r>
      <w:r w:rsidR="00B762D5">
        <w:rPr>
          <w:rFonts w:cs="Arial"/>
          <w:sz w:val="26"/>
          <w:szCs w:val="26"/>
        </w:rPr>
        <w:t>como</w:t>
      </w:r>
      <w:r w:rsidR="00A5307E" w:rsidRPr="000D12EC">
        <w:rPr>
          <w:rFonts w:cs="Arial"/>
          <w:sz w:val="26"/>
          <w:szCs w:val="26"/>
        </w:rPr>
        <w:t xml:space="preserve"> cuando éstas, por su contenido o aplicación, generan un impacto desproporcionado en personas o grupos en situación de desventaja histórica, sin que exista para ello una justificación objetiva y razonable</w:t>
      </w:r>
      <w:r w:rsidR="00A5307E">
        <w:rPr>
          <w:rStyle w:val="Refdenotaalpie"/>
          <w:rFonts w:cs="Arial"/>
          <w:sz w:val="26"/>
          <w:szCs w:val="26"/>
        </w:rPr>
        <w:footnoteReference w:id="100"/>
      </w:r>
      <w:r w:rsidR="00A5307E" w:rsidRPr="000D12EC">
        <w:rPr>
          <w:rFonts w:cs="Arial"/>
          <w:sz w:val="26"/>
          <w:szCs w:val="26"/>
        </w:rPr>
        <w:t>.</w:t>
      </w:r>
    </w:p>
    <w:p w14:paraId="0B81D6CE" w14:textId="5C3531A0" w:rsidR="00950341" w:rsidRPr="00CF0562" w:rsidRDefault="00950341" w:rsidP="001A476B">
      <w:pPr>
        <w:spacing w:line="360" w:lineRule="auto"/>
        <w:ind w:hanging="567"/>
        <w:jc w:val="both"/>
        <w:rPr>
          <w:rFonts w:cs="Arial"/>
          <w:sz w:val="26"/>
          <w:szCs w:val="26"/>
        </w:rPr>
      </w:pPr>
      <w:r w:rsidRPr="008F58B1">
        <w:rPr>
          <w:rFonts w:ascii="Arial" w:hAnsi="Arial" w:cs="Arial"/>
          <w:sz w:val="26"/>
          <w:szCs w:val="26"/>
        </w:rPr>
        <w:t xml:space="preserve"> </w:t>
      </w:r>
    </w:p>
    <w:p w14:paraId="1C0AB3A3" w14:textId="359F0861" w:rsidR="00041B22" w:rsidRPr="00CF0562" w:rsidRDefault="00CF0562" w:rsidP="001A476B">
      <w:pPr>
        <w:pStyle w:val="corte4fondo"/>
        <w:numPr>
          <w:ilvl w:val="0"/>
          <w:numId w:val="2"/>
        </w:numPr>
        <w:ind w:left="0" w:right="51" w:hanging="567"/>
        <w:rPr>
          <w:rFonts w:cs="Arial"/>
          <w:sz w:val="26"/>
          <w:szCs w:val="26"/>
        </w:rPr>
      </w:pPr>
      <w:r w:rsidRPr="00CF0562">
        <w:rPr>
          <w:rFonts w:cs="Arial"/>
          <w:sz w:val="26"/>
          <w:szCs w:val="26"/>
          <w:lang w:val="es-MX"/>
        </w:rPr>
        <w:t xml:space="preserve">Al respecto, </w:t>
      </w:r>
      <w:r w:rsidR="00EF6792">
        <w:rPr>
          <w:rFonts w:cs="Arial"/>
          <w:sz w:val="26"/>
          <w:szCs w:val="26"/>
          <w:lang w:val="es-MX"/>
        </w:rPr>
        <w:t xml:space="preserve">destacamos que </w:t>
      </w:r>
      <w:r w:rsidRPr="00CF0562">
        <w:rPr>
          <w:rFonts w:cs="Arial"/>
          <w:sz w:val="26"/>
          <w:szCs w:val="26"/>
          <w:lang w:val="es-MX"/>
        </w:rPr>
        <w:t>e</w:t>
      </w:r>
      <w:r w:rsidR="00041B22" w:rsidRPr="00CF0562">
        <w:rPr>
          <w:rFonts w:cs="Arial"/>
          <w:sz w:val="26"/>
          <w:szCs w:val="26"/>
          <w:lang w:val="es-MX"/>
        </w:rPr>
        <w:t xml:space="preserve">n la teoría de la discriminación existen diversas perspectivas sobre qué es </w:t>
      </w:r>
      <w:r w:rsidR="00D74D37" w:rsidRPr="00CF0562">
        <w:rPr>
          <w:rFonts w:cs="Arial"/>
          <w:sz w:val="26"/>
          <w:szCs w:val="26"/>
          <w:lang w:val="es-MX"/>
        </w:rPr>
        <w:t xml:space="preserve">lo que está mal </w:t>
      </w:r>
      <w:r w:rsidR="008B7124">
        <w:rPr>
          <w:rFonts w:cs="Arial"/>
          <w:sz w:val="26"/>
          <w:szCs w:val="26"/>
          <w:lang w:val="es-MX"/>
        </w:rPr>
        <w:t xml:space="preserve">o </w:t>
      </w:r>
      <w:r w:rsidR="0062728D">
        <w:rPr>
          <w:rFonts w:cs="Arial"/>
          <w:sz w:val="26"/>
          <w:szCs w:val="26"/>
          <w:lang w:val="es-MX"/>
        </w:rPr>
        <w:t xml:space="preserve">de </w:t>
      </w:r>
      <w:r w:rsidR="00DE6BC7" w:rsidRPr="00CF0562">
        <w:rPr>
          <w:rFonts w:cs="Arial"/>
          <w:sz w:val="26"/>
          <w:szCs w:val="26"/>
          <w:lang w:val="es-MX"/>
        </w:rPr>
        <w:t xml:space="preserve">cuando </w:t>
      </w:r>
      <w:r w:rsidR="00D74D37" w:rsidRPr="00CF0562">
        <w:rPr>
          <w:rFonts w:cs="Arial"/>
          <w:sz w:val="26"/>
          <w:szCs w:val="26"/>
          <w:lang w:val="es-MX"/>
        </w:rPr>
        <w:t>es reprochable la discriminación</w:t>
      </w:r>
      <w:r w:rsidR="00041B22" w:rsidRPr="00CF0562">
        <w:rPr>
          <w:rFonts w:cs="Arial"/>
          <w:sz w:val="26"/>
          <w:szCs w:val="26"/>
          <w:lang w:val="es-MX"/>
        </w:rPr>
        <w:t xml:space="preserve">, </w:t>
      </w:r>
      <w:r w:rsidR="00876F30">
        <w:rPr>
          <w:rFonts w:cs="Arial"/>
          <w:sz w:val="26"/>
          <w:szCs w:val="26"/>
          <w:lang w:val="es-MX"/>
        </w:rPr>
        <w:t>pero</w:t>
      </w:r>
      <w:r w:rsidR="00876F30" w:rsidRPr="00CF0562">
        <w:rPr>
          <w:rFonts w:cs="Arial"/>
          <w:sz w:val="26"/>
          <w:szCs w:val="26"/>
          <w:lang w:val="es-MX"/>
        </w:rPr>
        <w:t xml:space="preserve"> </w:t>
      </w:r>
      <w:r w:rsidR="00041B22" w:rsidRPr="00CF0562">
        <w:rPr>
          <w:rFonts w:cs="Arial"/>
          <w:sz w:val="26"/>
          <w:szCs w:val="26"/>
          <w:lang w:val="es-MX"/>
        </w:rPr>
        <w:t>todas coinciden en que sus efectos son dañinos</w:t>
      </w:r>
      <w:r w:rsidR="00257DCA">
        <w:rPr>
          <w:rFonts w:cs="Arial"/>
          <w:sz w:val="26"/>
          <w:szCs w:val="26"/>
          <w:lang w:val="es-MX"/>
        </w:rPr>
        <w:t xml:space="preserve"> en las personas</w:t>
      </w:r>
      <w:r w:rsidR="002B6D04">
        <w:rPr>
          <w:rStyle w:val="Refdenotaalpie"/>
          <w:rFonts w:cs="Arial"/>
          <w:sz w:val="26"/>
          <w:szCs w:val="26"/>
          <w:lang w:val="es-MX"/>
        </w:rPr>
        <w:footnoteReference w:id="101"/>
      </w:r>
      <w:r w:rsidR="00041B22" w:rsidRPr="00CF0562">
        <w:rPr>
          <w:rFonts w:cs="Arial"/>
          <w:sz w:val="26"/>
          <w:szCs w:val="26"/>
          <w:lang w:val="es-MX"/>
        </w:rPr>
        <w:t>. Una visión sostiene que discriminar es reprochable cuando devalúa la dignidad de las personas, tratándolas como menos dignas o menos humanas</w:t>
      </w:r>
      <w:r w:rsidR="00E114E1" w:rsidRPr="00CF0562">
        <w:rPr>
          <w:rStyle w:val="Refdenotaalpie"/>
          <w:rFonts w:cs="Arial"/>
          <w:sz w:val="26"/>
          <w:szCs w:val="26"/>
        </w:rPr>
        <w:footnoteReference w:id="102"/>
      </w:r>
      <w:r w:rsidR="004E5A19" w:rsidRPr="00CF0562">
        <w:rPr>
          <w:rFonts w:cs="Arial"/>
          <w:sz w:val="26"/>
          <w:szCs w:val="26"/>
          <w:lang w:val="es-MX"/>
        </w:rPr>
        <w:t>,</w:t>
      </w:r>
      <w:r w:rsidR="00041B22" w:rsidRPr="00CF0562">
        <w:rPr>
          <w:rFonts w:cs="Arial"/>
          <w:sz w:val="26"/>
          <w:szCs w:val="26"/>
          <w:lang w:val="es-MX"/>
        </w:rPr>
        <w:t xml:space="preserve"> lo que justifica la </w:t>
      </w:r>
      <w:r w:rsidR="007D55EC">
        <w:rPr>
          <w:rFonts w:cs="Arial"/>
          <w:sz w:val="26"/>
          <w:szCs w:val="26"/>
          <w:lang w:val="es-MX"/>
        </w:rPr>
        <w:t xml:space="preserve">creación </w:t>
      </w:r>
      <w:r w:rsidR="00041B22" w:rsidRPr="00CF0562">
        <w:rPr>
          <w:rFonts w:cs="Arial"/>
          <w:sz w:val="26"/>
          <w:szCs w:val="26"/>
          <w:lang w:val="es-MX"/>
        </w:rPr>
        <w:t xml:space="preserve">de leyes que </w:t>
      </w:r>
      <w:r w:rsidR="00041B22" w:rsidRPr="00CF0562">
        <w:rPr>
          <w:rFonts w:cs="Arial"/>
          <w:sz w:val="26"/>
          <w:szCs w:val="26"/>
          <w:lang w:val="es-MX"/>
        </w:rPr>
        <w:lastRenderedPageBreak/>
        <w:t>prohíban distinciones que rebajen el valor moral de los individuos</w:t>
      </w:r>
      <w:r w:rsidR="009A5825">
        <w:rPr>
          <w:rStyle w:val="Refdenotaalpie"/>
          <w:rFonts w:cs="Arial"/>
          <w:sz w:val="26"/>
          <w:szCs w:val="26"/>
          <w:lang w:val="es-MX"/>
        </w:rPr>
        <w:footnoteReference w:id="103"/>
      </w:r>
      <w:r w:rsidR="00041B22" w:rsidRPr="00CF0562">
        <w:rPr>
          <w:rFonts w:cs="Arial"/>
          <w:sz w:val="26"/>
          <w:szCs w:val="26"/>
          <w:lang w:val="es-MX"/>
        </w:rPr>
        <w:t>. Otra perspectiva enfatiza que la discriminación es injusta debido al daño que causa a las víctimas, al perpetuar prejuicios, limitar sus libertades y negar su plena humanidad</w:t>
      </w:r>
      <w:r w:rsidR="00234CDC" w:rsidRPr="00CF0562">
        <w:rPr>
          <w:rFonts w:cs="Arial"/>
          <w:sz w:val="26"/>
          <w:szCs w:val="26"/>
          <w:lang w:val="es-MX"/>
        </w:rPr>
        <w:t>, respecto de personas que forma</w:t>
      </w:r>
      <w:r w:rsidR="00DD7128">
        <w:rPr>
          <w:rFonts w:cs="Arial"/>
          <w:sz w:val="26"/>
          <w:szCs w:val="26"/>
          <w:lang w:val="es-MX"/>
        </w:rPr>
        <w:t>n</w:t>
      </w:r>
      <w:r w:rsidR="00234CDC" w:rsidRPr="00CF0562">
        <w:rPr>
          <w:rFonts w:cs="Arial"/>
          <w:sz w:val="26"/>
          <w:szCs w:val="26"/>
          <w:lang w:val="es-MX"/>
        </w:rPr>
        <w:t xml:space="preserve"> parte de</w:t>
      </w:r>
      <w:r w:rsidR="00041B22" w:rsidRPr="00CF0562">
        <w:rPr>
          <w:rFonts w:cs="Arial"/>
          <w:sz w:val="26"/>
          <w:szCs w:val="26"/>
          <w:lang w:val="es-MX"/>
        </w:rPr>
        <w:t xml:space="preserve"> grupos históricamente marginados</w:t>
      </w:r>
      <w:r w:rsidR="00234CDC" w:rsidRPr="00CF0562">
        <w:rPr>
          <w:rStyle w:val="Refdenotaalpie"/>
          <w:rFonts w:cs="Arial"/>
          <w:sz w:val="26"/>
          <w:szCs w:val="26"/>
        </w:rPr>
        <w:footnoteReference w:id="104"/>
      </w:r>
      <w:r w:rsidR="00041B22" w:rsidRPr="00CF0562">
        <w:rPr>
          <w:rFonts w:cs="Arial"/>
          <w:sz w:val="26"/>
          <w:szCs w:val="26"/>
          <w:lang w:val="es-MX"/>
        </w:rPr>
        <w:t>.</w:t>
      </w:r>
      <w:r w:rsidR="00036B8F" w:rsidRPr="00CF0562">
        <w:rPr>
          <w:rFonts w:cs="Arial"/>
          <w:sz w:val="26"/>
          <w:szCs w:val="26"/>
          <w:lang w:val="es-MX"/>
        </w:rPr>
        <w:t xml:space="preserve"> </w:t>
      </w:r>
      <w:r w:rsidR="00036B8F" w:rsidRPr="00CF0562">
        <w:rPr>
          <w:rFonts w:cs="Arial"/>
          <w:sz w:val="26"/>
          <w:szCs w:val="26"/>
        </w:rPr>
        <w:t xml:space="preserve">En este sentido, también se ha considerado que un acto de discriminación es reprochable </w:t>
      </w:r>
      <w:r w:rsidR="00CF3218">
        <w:rPr>
          <w:rFonts w:cs="Arial"/>
          <w:sz w:val="26"/>
          <w:szCs w:val="26"/>
        </w:rPr>
        <w:t>porque</w:t>
      </w:r>
      <w:r w:rsidR="00036B8F" w:rsidRPr="00CF0562">
        <w:rPr>
          <w:rFonts w:cs="Arial"/>
          <w:sz w:val="26"/>
          <w:szCs w:val="26"/>
        </w:rPr>
        <w:t xml:space="preserve"> empeora la situación de las personas discriminadas</w:t>
      </w:r>
      <w:r w:rsidR="00036B8F" w:rsidRPr="00CF0562">
        <w:rPr>
          <w:rStyle w:val="Refdenotaalpie"/>
          <w:rFonts w:cs="Arial"/>
          <w:sz w:val="26"/>
          <w:szCs w:val="26"/>
        </w:rPr>
        <w:footnoteReference w:id="105"/>
      </w:r>
      <w:r w:rsidR="00036B8F" w:rsidRPr="00CF0562">
        <w:rPr>
          <w:rFonts w:cs="Arial"/>
          <w:sz w:val="26"/>
          <w:szCs w:val="26"/>
        </w:rPr>
        <w:t>.</w:t>
      </w:r>
    </w:p>
    <w:p w14:paraId="05E394A2" w14:textId="77777777" w:rsidR="007F37B7" w:rsidRPr="00CF0562" w:rsidRDefault="007F37B7" w:rsidP="001A476B">
      <w:pPr>
        <w:pStyle w:val="corte4fondo"/>
        <w:ind w:right="51" w:hanging="567"/>
        <w:rPr>
          <w:rFonts w:cs="Arial"/>
          <w:sz w:val="26"/>
          <w:szCs w:val="26"/>
          <w:lang w:val="es-MX"/>
        </w:rPr>
      </w:pPr>
    </w:p>
    <w:p w14:paraId="619A4104" w14:textId="1A4A1490" w:rsidR="00041B22" w:rsidRPr="00CF0562" w:rsidRDefault="00041B22" w:rsidP="001A476B">
      <w:pPr>
        <w:pStyle w:val="corte4fondo"/>
        <w:numPr>
          <w:ilvl w:val="0"/>
          <w:numId w:val="2"/>
        </w:numPr>
        <w:ind w:left="0" w:right="51" w:hanging="567"/>
        <w:rPr>
          <w:rFonts w:cs="Arial"/>
          <w:sz w:val="26"/>
          <w:szCs w:val="26"/>
          <w:lang w:val="es-MX"/>
        </w:rPr>
      </w:pPr>
      <w:r w:rsidRPr="00CF0562">
        <w:rPr>
          <w:rFonts w:cs="Arial"/>
          <w:sz w:val="26"/>
          <w:szCs w:val="26"/>
          <w:lang w:val="es-MX"/>
        </w:rPr>
        <w:t xml:space="preserve">Además, se </w:t>
      </w:r>
      <w:r w:rsidR="00A8516F">
        <w:rPr>
          <w:rFonts w:cs="Arial"/>
          <w:sz w:val="26"/>
          <w:szCs w:val="26"/>
          <w:lang w:val="es-MX"/>
        </w:rPr>
        <w:t>argumenta</w:t>
      </w:r>
      <w:r w:rsidRPr="00CF0562">
        <w:rPr>
          <w:rFonts w:cs="Arial"/>
          <w:sz w:val="26"/>
          <w:szCs w:val="26"/>
          <w:lang w:val="es-MX"/>
        </w:rPr>
        <w:t xml:space="preserve"> que la discriminación no solo tiene efectos negativos a nivel </w:t>
      </w:r>
      <w:r w:rsidRPr="00FE52E2">
        <w:rPr>
          <w:rFonts w:cs="Arial"/>
          <w:sz w:val="26"/>
          <w:szCs w:val="26"/>
        </w:rPr>
        <w:t>individual</w:t>
      </w:r>
      <w:r w:rsidRPr="00CF0562">
        <w:rPr>
          <w:rFonts w:cs="Arial"/>
          <w:sz w:val="26"/>
          <w:szCs w:val="26"/>
          <w:lang w:val="es-MX"/>
        </w:rPr>
        <w:t>, sino también sistémico. Los actos discriminatorios generalizados agravan la desventaja de los grupos afectados, incrementando su marginación. A nivel particular, se considera que la discriminación impone sufrimiento a las víctimas por pertenecer a un grupo socialmente irrelevante o de menor valor. En conjunto, estos efectos hacen que los actos discriminatorios sean doblemente ilícitos</w:t>
      </w:r>
      <w:r w:rsidR="00C21D49" w:rsidRPr="00CF0562">
        <w:rPr>
          <w:rFonts w:cs="Arial"/>
          <w:sz w:val="26"/>
          <w:szCs w:val="26"/>
          <w:lang w:val="es-MX"/>
        </w:rPr>
        <w:t xml:space="preserve"> y especialmente perniciosos</w:t>
      </w:r>
      <w:r w:rsidRPr="00CF0562">
        <w:rPr>
          <w:rFonts w:cs="Arial"/>
          <w:sz w:val="26"/>
          <w:szCs w:val="26"/>
          <w:lang w:val="es-MX"/>
        </w:rPr>
        <w:t xml:space="preserve">: amplifican las desigualdades sociales y causan un sufrimiento innecesario a las personas, lo que justifica la necesidad de leyes </w:t>
      </w:r>
      <w:r w:rsidR="00D5078E">
        <w:rPr>
          <w:rFonts w:cs="Arial"/>
          <w:sz w:val="26"/>
          <w:szCs w:val="26"/>
          <w:lang w:val="es-MX"/>
        </w:rPr>
        <w:t xml:space="preserve">y políticas </w:t>
      </w:r>
      <w:r w:rsidRPr="00CF0562">
        <w:rPr>
          <w:rFonts w:cs="Arial"/>
          <w:sz w:val="26"/>
          <w:szCs w:val="26"/>
          <w:lang w:val="es-MX"/>
        </w:rPr>
        <w:t>que los combatan</w:t>
      </w:r>
      <w:r w:rsidR="00925BCC" w:rsidRPr="00CF0562">
        <w:rPr>
          <w:rStyle w:val="Refdenotaalpie"/>
          <w:rFonts w:cs="Arial"/>
          <w:sz w:val="26"/>
          <w:szCs w:val="26"/>
        </w:rPr>
        <w:footnoteReference w:id="106"/>
      </w:r>
      <w:r w:rsidRPr="00CF0562">
        <w:rPr>
          <w:rFonts w:cs="Arial"/>
          <w:sz w:val="26"/>
          <w:szCs w:val="26"/>
          <w:lang w:val="es-MX"/>
        </w:rPr>
        <w:t>.</w:t>
      </w:r>
    </w:p>
    <w:p w14:paraId="465D75C6" w14:textId="77777777" w:rsidR="00705137" w:rsidRPr="00345470" w:rsidRDefault="00705137" w:rsidP="001A476B">
      <w:pPr>
        <w:pStyle w:val="corte4fondo"/>
        <w:ind w:right="51" w:hanging="567"/>
        <w:rPr>
          <w:rFonts w:cs="Arial"/>
          <w:sz w:val="26"/>
          <w:szCs w:val="26"/>
        </w:rPr>
      </w:pPr>
    </w:p>
    <w:p w14:paraId="471F35BE" w14:textId="186ADCC7" w:rsidR="002757B9" w:rsidRPr="002757B9" w:rsidRDefault="00424E51" w:rsidP="002757B9">
      <w:pPr>
        <w:pStyle w:val="corte4fondo"/>
        <w:numPr>
          <w:ilvl w:val="0"/>
          <w:numId w:val="2"/>
        </w:numPr>
        <w:ind w:left="0" w:right="51" w:hanging="567"/>
        <w:rPr>
          <w:rFonts w:cs="Arial"/>
          <w:sz w:val="26"/>
          <w:szCs w:val="26"/>
        </w:rPr>
      </w:pPr>
      <w:r w:rsidRPr="00413AA2">
        <w:rPr>
          <w:rFonts w:cs="Arial"/>
          <w:sz w:val="26"/>
          <w:szCs w:val="26"/>
        </w:rPr>
        <w:t xml:space="preserve">Con base en lo </w:t>
      </w:r>
      <w:r w:rsidR="008376DF" w:rsidRPr="00413AA2">
        <w:rPr>
          <w:rFonts w:cs="Arial"/>
          <w:sz w:val="26"/>
          <w:szCs w:val="26"/>
        </w:rPr>
        <w:t>anterior</w:t>
      </w:r>
      <w:r w:rsidR="00711293" w:rsidRPr="00413AA2">
        <w:rPr>
          <w:rFonts w:cs="Arial"/>
          <w:sz w:val="26"/>
          <w:szCs w:val="26"/>
        </w:rPr>
        <w:t xml:space="preserve">, esta </w:t>
      </w:r>
      <w:r w:rsidR="00633C01" w:rsidRPr="00413AA2">
        <w:rPr>
          <w:rFonts w:cs="Arial"/>
          <w:sz w:val="26"/>
          <w:szCs w:val="26"/>
        </w:rPr>
        <w:t xml:space="preserve">Primera </w:t>
      </w:r>
      <w:r w:rsidR="00711293" w:rsidRPr="00413AA2">
        <w:rPr>
          <w:rFonts w:cs="Arial"/>
          <w:sz w:val="26"/>
          <w:szCs w:val="26"/>
        </w:rPr>
        <w:t xml:space="preserve">Sala </w:t>
      </w:r>
      <w:r w:rsidR="001054E0" w:rsidRPr="00413AA2">
        <w:rPr>
          <w:rFonts w:cs="Arial"/>
          <w:sz w:val="26"/>
          <w:szCs w:val="26"/>
        </w:rPr>
        <w:t>nota que hay</w:t>
      </w:r>
      <w:r w:rsidR="00711293" w:rsidRPr="00413AA2">
        <w:rPr>
          <w:rFonts w:cs="Arial"/>
          <w:sz w:val="26"/>
          <w:szCs w:val="26"/>
        </w:rPr>
        <w:t xml:space="preserve"> diferencias importantes entre</w:t>
      </w:r>
      <w:r w:rsidR="00633C01" w:rsidRPr="00413AA2">
        <w:rPr>
          <w:rFonts w:cs="Arial"/>
          <w:sz w:val="26"/>
          <w:szCs w:val="26"/>
        </w:rPr>
        <w:t xml:space="preserve"> las teorías</w:t>
      </w:r>
      <w:r w:rsidR="00711293" w:rsidRPr="00413AA2">
        <w:rPr>
          <w:rFonts w:cs="Arial"/>
          <w:sz w:val="26"/>
          <w:szCs w:val="26"/>
        </w:rPr>
        <w:t xml:space="preserve"> sobre</w:t>
      </w:r>
      <w:r w:rsidR="00633C01" w:rsidRPr="00413AA2">
        <w:rPr>
          <w:rFonts w:cs="Arial"/>
          <w:sz w:val="26"/>
          <w:szCs w:val="26"/>
        </w:rPr>
        <w:t xml:space="preserve"> </w:t>
      </w:r>
      <w:r w:rsidR="00D77006" w:rsidRPr="00413AA2">
        <w:rPr>
          <w:rFonts w:cs="Arial"/>
          <w:sz w:val="26"/>
          <w:szCs w:val="26"/>
        </w:rPr>
        <w:t>lo reprochable de la</w:t>
      </w:r>
      <w:r w:rsidR="00711293" w:rsidRPr="00413AA2">
        <w:rPr>
          <w:rFonts w:cs="Arial"/>
          <w:sz w:val="26"/>
          <w:szCs w:val="26"/>
        </w:rPr>
        <w:t xml:space="preserve"> discriminación</w:t>
      </w:r>
      <w:r w:rsidR="00B762A1" w:rsidRPr="00413AA2">
        <w:rPr>
          <w:rFonts w:cs="Arial"/>
          <w:sz w:val="26"/>
          <w:szCs w:val="26"/>
        </w:rPr>
        <w:t>. No obstante,</w:t>
      </w:r>
      <w:r w:rsidR="00711293" w:rsidRPr="00413AA2">
        <w:rPr>
          <w:rFonts w:cs="Arial"/>
          <w:sz w:val="26"/>
          <w:szCs w:val="26"/>
        </w:rPr>
        <w:t xml:space="preserve"> </w:t>
      </w:r>
      <w:r w:rsidR="00B973D3" w:rsidRPr="00413AA2">
        <w:rPr>
          <w:rFonts w:cs="Arial"/>
          <w:sz w:val="26"/>
          <w:szCs w:val="26"/>
        </w:rPr>
        <w:t>parecen tener</w:t>
      </w:r>
      <w:r w:rsidR="00711293" w:rsidRPr="00413AA2">
        <w:rPr>
          <w:rFonts w:cs="Arial"/>
          <w:sz w:val="26"/>
          <w:szCs w:val="26"/>
        </w:rPr>
        <w:t xml:space="preserve"> </w:t>
      </w:r>
      <w:r w:rsidR="001930F8" w:rsidRPr="00413AA2">
        <w:rPr>
          <w:rFonts w:cs="Arial"/>
          <w:sz w:val="26"/>
          <w:szCs w:val="26"/>
        </w:rPr>
        <w:t>en común que la discriminación</w:t>
      </w:r>
      <w:r w:rsidR="00573D89" w:rsidRPr="00413AA2">
        <w:rPr>
          <w:rFonts w:cs="Arial"/>
          <w:sz w:val="26"/>
          <w:szCs w:val="26"/>
        </w:rPr>
        <w:t xml:space="preserve"> </w:t>
      </w:r>
      <w:r w:rsidR="003A3A29" w:rsidRPr="00413AA2">
        <w:rPr>
          <w:rFonts w:cs="Arial"/>
          <w:sz w:val="26"/>
          <w:szCs w:val="26"/>
        </w:rPr>
        <w:t xml:space="preserve">reprochable </w:t>
      </w:r>
      <w:r w:rsidR="000D1BE1" w:rsidRPr="00413AA2">
        <w:rPr>
          <w:rFonts w:cs="Arial"/>
          <w:i/>
          <w:iCs/>
          <w:sz w:val="26"/>
          <w:szCs w:val="26"/>
        </w:rPr>
        <w:t>afecta</w:t>
      </w:r>
      <w:r w:rsidR="00260851" w:rsidRPr="00413AA2">
        <w:rPr>
          <w:rFonts w:cs="Arial"/>
          <w:i/>
          <w:iCs/>
          <w:sz w:val="26"/>
          <w:szCs w:val="26"/>
        </w:rPr>
        <w:t xml:space="preserve"> negativamente</w:t>
      </w:r>
      <w:r w:rsidR="000D1BE1" w:rsidRPr="00413AA2">
        <w:rPr>
          <w:rFonts w:cs="Arial"/>
          <w:i/>
          <w:iCs/>
          <w:sz w:val="26"/>
          <w:szCs w:val="26"/>
        </w:rPr>
        <w:t xml:space="preserve"> </w:t>
      </w:r>
      <w:r w:rsidR="00CC3011" w:rsidRPr="00413AA2">
        <w:rPr>
          <w:rFonts w:cs="Arial"/>
          <w:i/>
          <w:iCs/>
          <w:sz w:val="26"/>
          <w:szCs w:val="26"/>
        </w:rPr>
        <w:t>a</w:t>
      </w:r>
      <w:r w:rsidR="000D1BE1" w:rsidRPr="00413AA2">
        <w:rPr>
          <w:rFonts w:cs="Arial"/>
          <w:i/>
          <w:iCs/>
          <w:sz w:val="26"/>
          <w:szCs w:val="26"/>
        </w:rPr>
        <w:t xml:space="preserve"> </w:t>
      </w:r>
      <w:r w:rsidR="00360FC3" w:rsidRPr="00413AA2">
        <w:rPr>
          <w:rFonts w:cs="Arial"/>
          <w:i/>
          <w:iCs/>
          <w:sz w:val="26"/>
          <w:szCs w:val="26"/>
        </w:rPr>
        <w:t>las personas</w:t>
      </w:r>
      <w:r w:rsidR="00AA6646" w:rsidRPr="00413AA2">
        <w:rPr>
          <w:rFonts w:cs="Arial"/>
          <w:i/>
          <w:iCs/>
          <w:sz w:val="26"/>
          <w:szCs w:val="26"/>
        </w:rPr>
        <w:t>,</w:t>
      </w:r>
      <w:r w:rsidR="00AA6646" w:rsidRPr="00413AA2">
        <w:rPr>
          <w:rFonts w:cs="Arial"/>
          <w:sz w:val="26"/>
          <w:szCs w:val="26"/>
        </w:rPr>
        <w:t xml:space="preserve"> independientemente de la</w:t>
      </w:r>
      <w:r w:rsidR="006D21AA" w:rsidRPr="00413AA2">
        <w:rPr>
          <w:rFonts w:cs="Arial"/>
          <w:sz w:val="26"/>
          <w:szCs w:val="26"/>
        </w:rPr>
        <w:t xml:space="preserve">s características concretas </w:t>
      </w:r>
      <w:r w:rsidR="00052FA2" w:rsidRPr="00413AA2">
        <w:rPr>
          <w:rFonts w:cs="Arial"/>
          <w:sz w:val="26"/>
          <w:szCs w:val="26"/>
        </w:rPr>
        <w:t>sobre cómo se concibe</w:t>
      </w:r>
      <w:r w:rsidR="00AA6646" w:rsidRPr="00413AA2">
        <w:rPr>
          <w:rFonts w:cs="Arial"/>
          <w:sz w:val="26"/>
          <w:szCs w:val="26"/>
        </w:rPr>
        <w:t xml:space="preserve"> tal afectación</w:t>
      </w:r>
      <w:r w:rsidR="0025316A" w:rsidRPr="00413AA2">
        <w:rPr>
          <w:rFonts w:cs="Arial"/>
          <w:sz w:val="26"/>
          <w:szCs w:val="26"/>
        </w:rPr>
        <w:t>.</w:t>
      </w:r>
      <w:r w:rsidR="00C561C3" w:rsidRPr="00413AA2">
        <w:rPr>
          <w:rFonts w:cs="Arial"/>
          <w:sz w:val="26"/>
          <w:szCs w:val="26"/>
        </w:rPr>
        <w:t xml:space="preserve"> </w:t>
      </w:r>
      <w:r w:rsidR="002757B9">
        <w:rPr>
          <w:rFonts w:cs="Arial"/>
          <w:sz w:val="26"/>
          <w:szCs w:val="26"/>
        </w:rPr>
        <w:t xml:space="preserve">Esta conclusión se refuerza si aceptamos, además, que </w:t>
      </w:r>
      <w:r w:rsidR="0035624A" w:rsidRPr="002757B9">
        <w:rPr>
          <w:rFonts w:cs="Arial"/>
          <w:sz w:val="26"/>
          <w:szCs w:val="26"/>
        </w:rPr>
        <w:t>es una máxima de la experiencia que la</w:t>
      </w:r>
      <w:r w:rsidR="00AB599E">
        <w:rPr>
          <w:rFonts w:cs="Arial"/>
          <w:sz w:val="26"/>
          <w:szCs w:val="26"/>
        </w:rPr>
        <w:t>s personas que enfrentan</w:t>
      </w:r>
      <w:r w:rsidR="0035624A" w:rsidRPr="002757B9">
        <w:rPr>
          <w:rFonts w:cs="Arial"/>
          <w:sz w:val="26"/>
          <w:szCs w:val="26"/>
        </w:rPr>
        <w:t xml:space="preserve"> discriminación </w:t>
      </w:r>
      <w:r w:rsidR="00DB4ADF" w:rsidRPr="002757B9">
        <w:rPr>
          <w:rFonts w:cs="Arial"/>
          <w:sz w:val="26"/>
          <w:szCs w:val="26"/>
        </w:rPr>
        <w:t>generalmente</w:t>
      </w:r>
      <w:r w:rsidR="0035624A" w:rsidRPr="002757B9">
        <w:rPr>
          <w:rFonts w:cs="Arial"/>
          <w:sz w:val="26"/>
          <w:szCs w:val="26"/>
        </w:rPr>
        <w:t xml:space="preserve"> </w:t>
      </w:r>
      <w:r w:rsidR="00AB599E">
        <w:rPr>
          <w:rFonts w:cs="Arial"/>
          <w:sz w:val="26"/>
          <w:szCs w:val="26"/>
        </w:rPr>
        <w:t>se sienten afectadas</w:t>
      </w:r>
      <w:r w:rsidR="00E84A27" w:rsidRPr="002757B9">
        <w:rPr>
          <w:rFonts w:cs="Arial"/>
          <w:sz w:val="26"/>
          <w:szCs w:val="26"/>
        </w:rPr>
        <w:t xml:space="preserve"> en </w:t>
      </w:r>
      <w:r w:rsidR="00620607" w:rsidRPr="002757B9">
        <w:rPr>
          <w:rFonts w:cs="Arial"/>
          <w:sz w:val="26"/>
          <w:szCs w:val="26"/>
        </w:rPr>
        <w:t>sus</w:t>
      </w:r>
      <w:r w:rsidR="00E84A27" w:rsidRPr="002757B9">
        <w:rPr>
          <w:rFonts w:cs="Arial"/>
          <w:sz w:val="26"/>
          <w:szCs w:val="26"/>
        </w:rPr>
        <w:t xml:space="preserve"> sentimientos</w:t>
      </w:r>
      <w:r w:rsidR="009009A8">
        <w:rPr>
          <w:rFonts w:cs="Arial"/>
          <w:sz w:val="26"/>
          <w:szCs w:val="26"/>
        </w:rPr>
        <w:t xml:space="preserve"> y </w:t>
      </w:r>
      <w:r w:rsidR="00620607" w:rsidRPr="002757B9">
        <w:rPr>
          <w:rFonts w:cs="Arial"/>
          <w:sz w:val="26"/>
          <w:szCs w:val="26"/>
        </w:rPr>
        <w:t>percepción de sí mism</w:t>
      </w:r>
      <w:r w:rsidR="00237BE2" w:rsidRPr="002757B9">
        <w:rPr>
          <w:rFonts w:cs="Arial"/>
          <w:sz w:val="26"/>
          <w:szCs w:val="26"/>
        </w:rPr>
        <w:t>a</w:t>
      </w:r>
      <w:r w:rsidR="00620607" w:rsidRPr="002757B9">
        <w:rPr>
          <w:rFonts w:cs="Arial"/>
          <w:sz w:val="26"/>
          <w:szCs w:val="26"/>
        </w:rPr>
        <w:t>s</w:t>
      </w:r>
      <w:r w:rsidR="008764E8">
        <w:rPr>
          <w:rFonts w:cs="Arial"/>
          <w:sz w:val="26"/>
          <w:szCs w:val="26"/>
        </w:rPr>
        <w:t xml:space="preserve"> por estos actos</w:t>
      </w:r>
      <w:r w:rsidR="000F2E54">
        <w:rPr>
          <w:rFonts w:cs="Arial"/>
          <w:sz w:val="26"/>
          <w:szCs w:val="26"/>
        </w:rPr>
        <w:t>.</w:t>
      </w:r>
    </w:p>
    <w:p w14:paraId="135D9DAE" w14:textId="77777777" w:rsidR="002757B9" w:rsidRDefault="002757B9" w:rsidP="00781A96">
      <w:pPr>
        <w:pStyle w:val="Prrafodelista"/>
        <w:spacing w:line="360" w:lineRule="auto"/>
        <w:ind w:left="709"/>
        <w:rPr>
          <w:rFonts w:cs="Arial"/>
          <w:sz w:val="26"/>
          <w:szCs w:val="26"/>
        </w:rPr>
      </w:pPr>
    </w:p>
    <w:p w14:paraId="6B9A1834" w14:textId="0B2C3754" w:rsidR="00705137" w:rsidRPr="00345470" w:rsidRDefault="003B1DD7" w:rsidP="001A476B">
      <w:pPr>
        <w:pStyle w:val="corte4fondo"/>
        <w:numPr>
          <w:ilvl w:val="0"/>
          <w:numId w:val="2"/>
        </w:numPr>
        <w:ind w:left="0" w:right="51" w:hanging="567"/>
        <w:rPr>
          <w:rFonts w:cs="Arial"/>
          <w:sz w:val="26"/>
          <w:szCs w:val="26"/>
        </w:rPr>
      </w:pPr>
      <w:r w:rsidRPr="00656331">
        <w:rPr>
          <w:rFonts w:cs="Arial"/>
          <w:sz w:val="26"/>
          <w:szCs w:val="26"/>
        </w:rPr>
        <w:t xml:space="preserve">Ante ello, </w:t>
      </w:r>
      <w:r w:rsidR="00395087">
        <w:rPr>
          <w:rFonts w:cs="Arial"/>
          <w:sz w:val="26"/>
          <w:szCs w:val="26"/>
        </w:rPr>
        <w:t>concluimos</w:t>
      </w:r>
      <w:r w:rsidRPr="00656331">
        <w:rPr>
          <w:rFonts w:cs="Arial"/>
          <w:sz w:val="26"/>
          <w:szCs w:val="26"/>
        </w:rPr>
        <w:t xml:space="preserve"> que </w:t>
      </w:r>
      <w:r w:rsidR="00BE6894" w:rsidRPr="00656331">
        <w:rPr>
          <w:rFonts w:cs="Arial"/>
          <w:sz w:val="26"/>
          <w:szCs w:val="26"/>
        </w:rPr>
        <w:t xml:space="preserve">la presencia de un hecho discriminatorio </w:t>
      </w:r>
      <w:r w:rsidR="005841A0" w:rsidRPr="00656331">
        <w:rPr>
          <w:rFonts w:cs="Arial"/>
          <w:sz w:val="26"/>
          <w:szCs w:val="26"/>
        </w:rPr>
        <w:t xml:space="preserve">basado en una categoría sospechosa, </w:t>
      </w:r>
      <w:r w:rsidR="00BE6894" w:rsidRPr="003529DC">
        <w:rPr>
          <w:rFonts w:cs="Arial"/>
          <w:sz w:val="26"/>
          <w:szCs w:val="26"/>
        </w:rPr>
        <w:t>en contra de una persona</w:t>
      </w:r>
      <w:r w:rsidR="0029482B" w:rsidRPr="003529DC">
        <w:rPr>
          <w:rFonts w:cs="Arial"/>
          <w:sz w:val="26"/>
          <w:szCs w:val="26"/>
        </w:rPr>
        <w:t xml:space="preserve"> </w:t>
      </w:r>
      <w:r w:rsidR="000A1376" w:rsidRPr="003529DC">
        <w:rPr>
          <w:rFonts w:cs="Arial"/>
          <w:sz w:val="26"/>
          <w:szCs w:val="26"/>
        </w:rPr>
        <w:t xml:space="preserve">o unas personas </w:t>
      </w:r>
      <w:r w:rsidR="00457D80" w:rsidRPr="003529DC">
        <w:rPr>
          <w:rFonts w:cs="Arial"/>
          <w:sz w:val="26"/>
          <w:szCs w:val="26"/>
        </w:rPr>
        <w:t>determinadas</w:t>
      </w:r>
      <w:r w:rsidR="005841A0" w:rsidRPr="003529DC">
        <w:rPr>
          <w:rFonts w:cs="Arial"/>
          <w:sz w:val="26"/>
          <w:szCs w:val="26"/>
        </w:rPr>
        <w:t>,</w:t>
      </w:r>
      <w:r w:rsidR="00CA7541" w:rsidRPr="003529DC">
        <w:rPr>
          <w:rFonts w:cs="Arial"/>
          <w:sz w:val="26"/>
          <w:szCs w:val="26"/>
        </w:rPr>
        <w:t xml:space="preserve"> </w:t>
      </w:r>
      <w:r w:rsidRPr="003529DC">
        <w:rPr>
          <w:rFonts w:cs="Arial"/>
          <w:sz w:val="26"/>
          <w:szCs w:val="26"/>
        </w:rPr>
        <w:t>conlleva</w:t>
      </w:r>
      <w:r w:rsidR="00BE6894" w:rsidRPr="003529DC">
        <w:rPr>
          <w:rFonts w:cs="Arial"/>
          <w:sz w:val="26"/>
          <w:szCs w:val="26"/>
        </w:rPr>
        <w:t xml:space="preserve"> la </w:t>
      </w:r>
      <w:r w:rsidR="00BE6894" w:rsidRPr="003529DC">
        <w:rPr>
          <w:rFonts w:cs="Arial"/>
          <w:color w:val="000000" w:themeColor="text1"/>
          <w:sz w:val="26"/>
          <w:szCs w:val="26"/>
          <w:lang w:val="es-ES"/>
        </w:rPr>
        <w:t xml:space="preserve">presunción del daño moral, en términos del artículo </w:t>
      </w:r>
      <w:r w:rsidR="00BE6894" w:rsidRPr="003529DC">
        <w:rPr>
          <w:rFonts w:cs="Arial"/>
          <w:color w:val="000000" w:themeColor="text1"/>
          <w:sz w:val="26"/>
          <w:szCs w:val="26"/>
          <w:lang w:val="es-ES"/>
        </w:rPr>
        <w:lastRenderedPageBreak/>
        <w:t>1916 del Código Civil para el Distrito Federal</w:t>
      </w:r>
      <w:r w:rsidR="00457D80" w:rsidRPr="003529DC">
        <w:rPr>
          <w:rStyle w:val="Refdenotaalpie"/>
          <w:rFonts w:cs="Arial"/>
          <w:color w:val="000000" w:themeColor="text1"/>
          <w:sz w:val="26"/>
          <w:szCs w:val="26"/>
          <w:lang w:val="es-ES"/>
        </w:rPr>
        <w:footnoteReference w:id="107"/>
      </w:r>
      <w:r w:rsidR="00BE6894" w:rsidRPr="003529DC">
        <w:rPr>
          <w:rFonts w:cs="Arial"/>
          <w:color w:val="000000" w:themeColor="text1"/>
          <w:sz w:val="26"/>
          <w:szCs w:val="26"/>
          <w:lang w:val="es-ES"/>
        </w:rPr>
        <w:t>.</w:t>
      </w:r>
      <w:r w:rsidR="00E7385F" w:rsidRPr="003529DC">
        <w:rPr>
          <w:rFonts w:cs="Arial"/>
          <w:color w:val="000000" w:themeColor="text1"/>
          <w:sz w:val="26"/>
          <w:szCs w:val="26"/>
          <w:lang w:val="es-ES"/>
        </w:rPr>
        <w:t xml:space="preserve"> </w:t>
      </w:r>
      <w:r w:rsidR="005232BA" w:rsidRPr="003529DC">
        <w:rPr>
          <w:rFonts w:cs="Arial"/>
          <w:color w:val="000000" w:themeColor="text1"/>
          <w:sz w:val="26"/>
          <w:szCs w:val="26"/>
          <w:lang w:val="es-ES"/>
        </w:rPr>
        <w:t>E</w:t>
      </w:r>
      <w:r w:rsidR="002B7D21" w:rsidRPr="003529DC">
        <w:rPr>
          <w:rFonts w:cs="Arial"/>
          <w:color w:val="000000" w:themeColor="text1"/>
          <w:sz w:val="26"/>
          <w:szCs w:val="26"/>
          <w:lang w:val="es-ES"/>
        </w:rPr>
        <w:t xml:space="preserve">sta </w:t>
      </w:r>
      <w:r w:rsidR="00554329" w:rsidRPr="003529DC">
        <w:rPr>
          <w:rFonts w:cs="Arial"/>
          <w:color w:val="000000" w:themeColor="text1"/>
          <w:sz w:val="26"/>
          <w:szCs w:val="26"/>
          <w:lang w:val="es-ES"/>
        </w:rPr>
        <w:t xml:space="preserve">presunción </w:t>
      </w:r>
      <w:r w:rsidR="006C3E38" w:rsidRPr="003529DC">
        <w:rPr>
          <w:rFonts w:cs="Arial"/>
          <w:color w:val="000000" w:themeColor="text1"/>
          <w:sz w:val="26"/>
          <w:szCs w:val="26"/>
          <w:lang w:val="es-ES"/>
        </w:rPr>
        <w:t>se actualiza</w:t>
      </w:r>
      <w:r w:rsidR="005841A0" w:rsidRPr="003529DC">
        <w:rPr>
          <w:rFonts w:cs="Arial"/>
          <w:color w:val="000000" w:themeColor="text1"/>
          <w:sz w:val="26"/>
          <w:szCs w:val="26"/>
          <w:lang w:val="es-ES"/>
        </w:rPr>
        <w:t xml:space="preserve"> </w:t>
      </w:r>
      <w:r w:rsidR="00196904" w:rsidRPr="003529DC">
        <w:rPr>
          <w:rFonts w:cs="Arial"/>
          <w:color w:val="000000" w:themeColor="text1"/>
          <w:sz w:val="26"/>
          <w:szCs w:val="26"/>
          <w:lang w:val="es-ES"/>
        </w:rPr>
        <w:t>frente a</w:t>
      </w:r>
      <w:r w:rsidR="005841A0" w:rsidRPr="003529DC">
        <w:rPr>
          <w:rFonts w:cs="Arial"/>
          <w:color w:val="000000" w:themeColor="text1"/>
          <w:sz w:val="26"/>
          <w:szCs w:val="26"/>
          <w:lang w:val="es-ES"/>
        </w:rPr>
        <w:t xml:space="preserve"> </w:t>
      </w:r>
      <w:r w:rsidR="00911CB5">
        <w:rPr>
          <w:rFonts w:cs="Arial"/>
          <w:color w:val="000000" w:themeColor="text1"/>
          <w:sz w:val="26"/>
          <w:szCs w:val="26"/>
          <w:lang w:val="es-ES"/>
        </w:rPr>
        <w:t>la discriminación</w:t>
      </w:r>
      <w:r w:rsidR="005841A0" w:rsidRPr="003529DC">
        <w:rPr>
          <w:rFonts w:cs="Arial"/>
          <w:color w:val="000000" w:themeColor="text1"/>
          <w:sz w:val="26"/>
          <w:szCs w:val="26"/>
          <w:lang w:val="es-ES"/>
        </w:rPr>
        <w:t xml:space="preserve"> </w:t>
      </w:r>
      <w:r w:rsidR="00911CB5">
        <w:rPr>
          <w:rFonts w:cs="Arial"/>
          <w:color w:val="000000" w:themeColor="text1"/>
          <w:sz w:val="26"/>
          <w:szCs w:val="26"/>
          <w:lang w:val="es-ES"/>
        </w:rPr>
        <w:t xml:space="preserve">entendida </w:t>
      </w:r>
      <w:r w:rsidR="005841A0" w:rsidRPr="003529DC">
        <w:rPr>
          <w:rFonts w:cs="Arial"/>
          <w:color w:val="000000" w:themeColor="text1"/>
          <w:sz w:val="26"/>
          <w:szCs w:val="26"/>
          <w:lang w:val="es-ES"/>
        </w:rPr>
        <w:t xml:space="preserve">en términos del </w:t>
      </w:r>
      <w:r w:rsidR="007A1C90" w:rsidRPr="003529DC">
        <w:rPr>
          <w:rFonts w:cs="Arial"/>
          <w:sz w:val="26"/>
          <w:szCs w:val="26"/>
        </w:rPr>
        <w:t>artículo 1o constitucional</w:t>
      </w:r>
      <w:r w:rsidR="005841A0" w:rsidRPr="003529DC">
        <w:rPr>
          <w:rFonts w:cs="Arial"/>
          <w:sz w:val="26"/>
          <w:szCs w:val="26"/>
        </w:rPr>
        <w:t xml:space="preserve">, </w:t>
      </w:r>
      <w:r w:rsidR="00D82D03" w:rsidRPr="003529DC">
        <w:rPr>
          <w:rFonts w:cs="Arial"/>
          <w:sz w:val="26"/>
          <w:szCs w:val="26"/>
        </w:rPr>
        <w:t xml:space="preserve">y </w:t>
      </w:r>
      <w:r w:rsidR="005841A0" w:rsidRPr="003529DC">
        <w:rPr>
          <w:rFonts w:cs="Arial"/>
          <w:sz w:val="26"/>
          <w:szCs w:val="26"/>
        </w:rPr>
        <w:t xml:space="preserve">no </w:t>
      </w:r>
      <w:r w:rsidR="003E6973" w:rsidRPr="003529DC">
        <w:rPr>
          <w:rFonts w:cs="Arial"/>
          <w:sz w:val="26"/>
          <w:szCs w:val="26"/>
        </w:rPr>
        <w:t xml:space="preserve">ante </w:t>
      </w:r>
      <w:r w:rsidR="005841A0" w:rsidRPr="003529DC">
        <w:rPr>
          <w:rFonts w:cs="Arial"/>
          <w:sz w:val="26"/>
          <w:szCs w:val="26"/>
        </w:rPr>
        <w:t>cualquier distinción arbitraria</w:t>
      </w:r>
      <w:r w:rsidR="00E347CC" w:rsidRPr="003529DC">
        <w:rPr>
          <w:rStyle w:val="Refdenotaalpie"/>
          <w:rFonts w:cs="Arial"/>
          <w:sz w:val="26"/>
          <w:szCs w:val="26"/>
        </w:rPr>
        <w:footnoteReference w:id="108"/>
      </w:r>
      <w:r w:rsidR="00400C4C">
        <w:rPr>
          <w:rFonts w:cs="Arial"/>
          <w:sz w:val="26"/>
          <w:szCs w:val="26"/>
        </w:rPr>
        <w:t>, pues s</w:t>
      </w:r>
      <w:r w:rsidR="005E4677" w:rsidRPr="005E4677">
        <w:rPr>
          <w:rFonts w:cs="Arial"/>
          <w:sz w:val="26"/>
          <w:szCs w:val="26"/>
          <w:lang w:val="es-MX"/>
        </w:rPr>
        <w:t>on precisamente los actos discriminatorios basados en criterios como el género, orientación sexual y la raza, entre otros, los que tienen una protección reforzada en nuestro ordenamiento jurídico, ante su relación estrecha con la dignidad de las personas y su capacidad de perpetuar la exclusión o marginación de grupos históricamente desaventajados</w:t>
      </w:r>
      <w:r w:rsidR="005E4677">
        <w:rPr>
          <w:rFonts w:cs="Arial"/>
          <w:sz w:val="26"/>
          <w:szCs w:val="26"/>
          <w:lang w:val="es-MX"/>
        </w:rPr>
        <w:t>.</w:t>
      </w:r>
      <w:r w:rsidR="000A7BE2" w:rsidRPr="000A7BE2">
        <w:rPr>
          <w:rStyle w:val="Refdenotaalpie"/>
          <w:rFonts w:cs="Arial"/>
          <w:sz w:val="26"/>
          <w:szCs w:val="26"/>
        </w:rPr>
        <w:t xml:space="preserve"> </w:t>
      </w:r>
      <w:r w:rsidR="00B12BD7">
        <w:rPr>
          <w:rFonts w:cs="Arial"/>
          <w:color w:val="000000" w:themeColor="text1"/>
          <w:sz w:val="26"/>
          <w:szCs w:val="26"/>
        </w:rPr>
        <w:t xml:space="preserve">Una </w:t>
      </w:r>
      <w:r w:rsidR="00E7385F" w:rsidRPr="00656331">
        <w:rPr>
          <w:rFonts w:cs="Arial"/>
          <w:color w:val="000000" w:themeColor="text1"/>
          <w:sz w:val="26"/>
          <w:szCs w:val="26"/>
          <w:lang w:val="es-ES"/>
        </w:rPr>
        <w:t>cuestión</w:t>
      </w:r>
      <w:r w:rsidR="005841A0" w:rsidRPr="00656331">
        <w:rPr>
          <w:rFonts w:cs="Arial"/>
          <w:color w:val="000000" w:themeColor="text1"/>
          <w:sz w:val="26"/>
          <w:szCs w:val="26"/>
          <w:lang w:val="es-ES"/>
        </w:rPr>
        <w:t xml:space="preserve"> d</w:t>
      </w:r>
      <w:r w:rsidR="00E7385F" w:rsidRPr="00656331">
        <w:rPr>
          <w:rFonts w:cs="Arial"/>
          <w:color w:val="000000" w:themeColor="text1"/>
          <w:sz w:val="26"/>
          <w:szCs w:val="26"/>
          <w:lang w:val="es-ES"/>
        </w:rPr>
        <w:t>istinta, como veremos más adelante, será la magnitud del daño moral que hay</w:t>
      </w:r>
      <w:r w:rsidR="00E7385F" w:rsidRPr="00345470">
        <w:rPr>
          <w:rFonts w:cs="Arial"/>
          <w:color w:val="000000" w:themeColor="text1"/>
          <w:sz w:val="26"/>
          <w:szCs w:val="26"/>
          <w:lang w:val="es-ES"/>
        </w:rPr>
        <w:t>a sufrido cada víctima de discriminación</w:t>
      </w:r>
      <w:r w:rsidR="00172C3F" w:rsidRPr="00345470">
        <w:rPr>
          <w:rFonts w:cs="Arial"/>
          <w:color w:val="000000" w:themeColor="text1"/>
          <w:sz w:val="26"/>
          <w:szCs w:val="26"/>
          <w:lang w:val="es-ES"/>
        </w:rPr>
        <w:t xml:space="preserve"> en </w:t>
      </w:r>
      <w:r w:rsidR="007752F2">
        <w:rPr>
          <w:rFonts w:cs="Arial"/>
          <w:color w:val="000000" w:themeColor="text1"/>
          <w:sz w:val="26"/>
          <w:szCs w:val="26"/>
          <w:lang w:val="es-ES"/>
        </w:rPr>
        <w:t>cada</w:t>
      </w:r>
      <w:r w:rsidR="00172C3F" w:rsidRPr="00345470">
        <w:rPr>
          <w:rFonts w:cs="Arial"/>
          <w:color w:val="000000" w:themeColor="text1"/>
          <w:sz w:val="26"/>
          <w:szCs w:val="26"/>
          <w:lang w:val="es-ES"/>
        </w:rPr>
        <w:t xml:space="preserve"> caso concreto</w:t>
      </w:r>
      <w:r w:rsidR="00E7385F" w:rsidRPr="00345470">
        <w:rPr>
          <w:rFonts w:cs="Arial"/>
          <w:color w:val="000000" w:themeColor="text1"/>
          <w:sz w:val="26"/>
          <w:szCs w:val="26"/>
          <w:lang w:val="es-ES"/>
        </w:rPr>
        <w:t xml:space="preserve">. </w:t>
      </w:r>
    </w:p>
    <w:p w14:paraId="56AB6567" w14:textId="77777777" w:rsidR="000733E6" w:rsidRPr="00662C77" w:rsidRDefault="000733E6" w:rsidP="001A476B">
      <w:pPr>
        <w:pStyle w:val="corte4fondo"/>
        <w:ind w:right="51" w:hanging="567"/>
        <w:rPr>
          <w:rFonts w:cs="Arial"/>
          <w:color w:val="000000" w:themeColor="text1"/>
          <w:sz w:val="26"/>
          <w:szCs w:val="26"/>
        </w:rPr>
      </w:pPr>
    </w:p>
    <w:p w14:paraId="01A1158C" w14:textId="1E2A9461" w:rsidR="00625645" w:rsidRPr="00625645" w:rsidRDefault="00021B0C" w:rsidP="001A476B">
      <w:pPr>
        <w:pStyle w:val="corte4fondo"/>
        <w:numPr>
          <w:ilvl w:val="0"/>
          <w:numId w:val="2"/>
        </w:numPr>
        <w:ind w:left="0" w:right="51" w:hanging="567"/>
        <w:rPr>
          <w:rFonts w:cs="Arial"/>
          <w:sz w:val="26"/>
          <w:szCs w:val="26"/>
          <w:lang w:val="es-ES"/>
        </w:rPr>
      </w:pPr>
      <w:r>
        <w:rPr>
          <w:rFonts w:cs="Arial"/>
          <w:color w:val="000000" w:themeColor="text1"/>
          <w:sz w:val="26"/>
          <w:szCs w:val="26"/>
          <w:lang w:val="es-ES"/>
        </w:rPr>
        <w:t>A partir de lo anterior</w:t>
      </w:r>
      <w:r w:rsidR="00A75CDC" w:rsidRPr="00662C77">
        <w:rPr>
          <w:rFonts w:cs="Arial"/>
          <w:color w:val="000000" w:themeColor="text1"/>
          <w:sz w:val="26"/>
          <w:szCs w:val="26"/>
          <w:lang w:val="es-ES"/>
        </w:rPr>
        <w:t xml:space="preserve">, esta Primera Sala </w:t>
      </w:r>
      <w:r w:rsidR="008F48F1">
        <w:rPr>
          <w:rFonts w:cs="Arial"/>
          <w:color w:val="000000" w:themeColor="text1"/>
          <w:sz w:val="26"/>
          <w:szCs w:val="26"/>
          <w:lang w:val="es-ES"/>
        </w:rPr>
        <w:t>estima</w:t>
      </w:r>
      <w:r w:rsidR="00A75CDC" w:rsidRPr="00662C77">
        <w:rPr>
          <w:rFonts w:cs="Arial"/>
          <w:color w:val="000000" w:themeColor="text1"/>
          <w:sz w:val="26"/>
          <w:szCs w:val="26"/>
          <w:lang w:val="es-ES"/>
        </w:rPr>
        <w:t xml:space="preserve"> que,</w:t>
      </w:r>
      <w:r w:rsidR="00B36024" w:rsidRPr="00662C77">
        <w:rPr>
          <w:rFonts w:cs="Arial"/>
          <w:color w:val="000000" w:themeColor="text1"/>
          <w:sz w:val="26"/>
          <w:szCs w:val="26"/>
          <w:lang w:val="es-ES"/>
        </w:rPr>
        <w:t xml:space="preserve"> </w:t>
      </w:r>
      <w:r w:rsidR="00013987" w:rsidRPr="00662C77">
        <w:rPr>
          <w:rFonts w:cs="Arial"/>
          <w:color w:val="000000" w:themeColor="text1"/>
          <w:sz w:val="26"/>
          <w:szCs w:val="26"/>
          <w:lang w:val="es-ES"/>
        </w:rPr>
        <w:t>al tener por acreditado</w:t>
      </w:r>
      <w:r w:rsidR="008E0BCB" w:rsidRPr="00662C77">
        <w:rPr>
          <w:rFonts w:cs="Arial"/>
          <w:color w:val="000000" w:themeColor="text1"/>
          <w:sz w:val="26"/>
          <w:szCs w:val="26"/>
          <w:lang w:val="es-ES"/>
        </w:rPr>
        <w:t xml:space="preserve">s </w:t>
      </w:r>
      <w:r w:rsidR="0091436D">
        <w:rPr>
          <w:rFonts w:cs="Arial"/>
          <w:color w:val="000000" w:themeColor="text1"/>
          <w:sz w:val="26"/>
          <w:szCs w:val="26"/>
          <w:lang w:val="es-ES"/>
        </w:rPr>
        <w:t xml:space="preserve">los </w:t>
      </w:r>
      <w:r w:rsidR="00F31925" w:rsidRPr="00662C77">
        <w:rPr>
          <w:rFonts w:cs="Arial"/>
          <w:color w:val="000000" w:themeColor="text1"/>
          <w:sz w:val="26"/>
          <w:szCs w:val="26"/>
          <w:lang w:val="es-ES"/>
        </w:rPr>
        <w:t xml:space="preserve">actos </w:t>
      </w:r>
      <w:r w:rsidR="00013987" w:rsidRPr="00662C77">
        <w:rPr>
          <w:rFonts w:cs="Arial"/>
          <w:color w:val="000000" w:themeColor="text1"/>
          <w:sz w:val="26"/>
          <w:szCs w:val="26"/>
          <w:lang w:val="es-ES"/>
        </w:rPr>
        <w:t xml:space="preserve">de discriminación </w:t>
      </w:r>
      <w:r w:rsidR="000B023E" w:rsidRPr="00662C77">
        <w:rPr>
          <w:rFonts w:cs="Arial"/>
          <w:color w:val="000000" w:themeColor="text1"/>
          <w:sz w:val="26"/>
          <w:szCs w:val="26"/>
          <w:lang w:val="es-ES"/>
        </w:rPr>
        <w:t xml:space="preserve">por identidad </w:t>
      </w:r>
      <w:r w:rsidR="00BF07D5" w:rsidRPr="00662C77">
        <w:rPr>
          <w:rFonts w:cs="Arial"/>
          <w:color w:val="000000" w:themeColor="text1"/>
          <w:sz w:val="26"/>
          <w:szCs w:val="26"/>
          <w:lang w:val="es-ES"/>
        </w:rPr>
        <w:t xml:space="preserve">y expresión </w:t>
      </w:r>
      <w:r w:rsidR="000B023E" w:rsidRPr="00662C77">
        <w:rPr>
          <w:rFonts w:cs="Arial"/>
          <w:color w:val="000000" w:themeColor="text1"/>
          <w:sz w:val="26"/>
          <w:szCs w:val="26"/>
          <w:lang w:val="es-ES"/>
        </w:rPr>
        <w:t xml:space="preserve">de género </w:t>
      </w:r>
      <w:r w:rsidR="00625645">
        <w:rPr>
          <w:rFonts w:cs="Arial"/>
          <w:color w:val="000000" w:themeColor="text1"/>
          <w:sz w:val="26"/>
          <w:szCs w:val="26"/>
          <w:lang w:val="es-ES"/>
        </w:rPr>
        <w:t xml:space="preserve">ocurridos en el sanitario de mujeres </w:t>
      </w:r>
      <w:r w:rsidR="00625645" w:rsidRPr="0044214E">
        <w:rPr>
          <w:rFonts w:cs="Arial"/>
          <w:color w:val="000000" w:themeColor="text1"/>
          <w:sz w:val="26"/>
          <w:szCs w:val="26"/>
        </w:rPr>
        <w:t>de “</w:t>
      </w:r>
      <w:r w:rsidR="00625645" w:rsidRPr="00A36289">
        <w:rPr>
          <w:rFonts w:cs="Arial"/>
          <w:sz w:val="26"/>
          <w:szCs w:val="26"/>
        </w:rPr>
        <w:t xml:space="preserve">Reforma 222” </w:t>
      </w:r>
      <w:r w:rsidR="000B023E" w:rsidRPr="00662C77">
        <w:rPr>
          <w:rFonts w:cs="Arial"/>
          <w:color w:val="000000" w:themeColor="text1"/>
          <w:sz w:val="26"/>
          <w:szCs w:val="26"/>
          <w:lang w:val="es-ES"/>
        </w:rPr>
        <w:t xml:space="preserve">en perjuicio </w:t>
      </w:r>
      <w:r w:rsidR="00AA7032">
        <w:rPr>
          <w:rFonts w:cs="Arial"/>
          <w:color w:val="000000" w:themeColor="text1"/>
          <w:sz w:val="26"/>
          <w:szCs w:val="26"/>
          <w:lang w:val="es-ES"/>
        </w:rPr>
        <w:t xml:space="preserve">de </w:t>
      </w:r>
      <w:r w:rsidR="0091436D">
        <w:rPr>
          <w:rFonts w:cs="Arial"/>
          <w:color w:val="000000" w:themeColor="text1"/>
          <w:sz w:val="26"/>
          <w:szCs w:val="26"/>
          <w:lang w:val="es-ES"/>
        </w:rPr>
        <w:t xml:space="preserve">la </w:t>
      </w:r>
      <w:r w:rsidR="0091436D" w:rsidRPr="00662C77">
        <w:rPr>
          <w:rFonts w:cs="Arial"/>
          <w:color w:val="000000" w:themeColor="text1"/>
          <w:sz w:val="26"/>
          <w:szCs w:val="26"/>
        </w:rPr>
        <w:t xml:space="preserve">señora </w:t>
      </w:r>
      <w:r w:rsidR="0091436D" w:rsidRPr="00662C77">
        <w:rPr>
          <w:rFonts w:cs="Arial"/>
          <w:color w:val="FF0000"/>
          <w:sz w:val="26"/>
          <w:szCs w:val="26"/>
        </w:rPr>
        <w:t>DF</w:t>
      </w:r>
      <w:r w:rsidR="00F31925" w:rsidRPr="00662C77">
        <w:rPr>
          <w:rFonts w:cs="Arial"/>
          <w:color w:val="000000" w:themeColor="text1"/>
          <w:sz w:val="26"/>
          <w:szCs w:val="26"/>
          <w:lang w:val="es-ES"/>
        </w:rPr>
        <w:t>,</w:t>
      </w:r>
      <w:r w:rsidR="000B023E" w:rsidRPr="00662C77">
        <w:rPr>
          <w:rFonts w:cs="Arial"/>
          <w:color w:val="000000" w:themeColor="text1"/>
          <w:sz w:val="26"/>
          <w:szCs w:val="26"/>
          <w:lang w:val="es-ES"/>
        </w:rPr>
        <w:t xml:space="preserve"> </w:t>
      </w:r>
      <w:r w:rsidR="0043069D" w:rsidRPr="00662C77">
        <w:rPr>
          <w:rFonts w:cs="Arial"/>
          <w:color w:val="000000" w:themeColor="text1"/>
          <w:sz w:val="26"/>
          <w:szCs w:val="26"/>
          <w:lang w:val="es-ES"/>
        </w:rPr>
        <w:t xml:space="preserve">la sala debió entender que </w:t>
      </w:r>
      <w:r w:rsidR="0027112B" w:rsidRPr="00662C77">
        <w:rPr>
          <w:rFonts w:cs="Arial"/>
          <w:color w:val="000000" w:themeColor="text1"/>
          <w:sz w:val="26"/>
          <w:szCs w:val="26"/>
          <w:lang w:val="es-ES"/>
        </w:rPr>
        <w:t xml:space="preserve">esto </w:t>
      </w:r>
      <w:r w:rsidR="000B023E" w:rsidRPr="00662C77">
        <w:rPr>
          <w:rFonts w:cs="Arial"/>
          <w:color w:val="000000" w:themeColor="text1"/>
          <w:sz w:val="26"/>
          <w:szCs w:val="26"/>
          <w:lang w:val="es-ES"/>
        </w:rPr>
        <w:t xml:space="preserve">se traducía en una vulneración de </w:t>
      </w:r>
      <w:r w:rsidR="00AA7032">
        <w:rPr>
          <w:rFonts w:cs="Arial"/>
          <w:color w:val="000000" w:themeColor="text1"/>
          <w:sz w:val="26"/>
          <w:szCs w:val="26"/>
          <w:lang w:val="es-ES"/>
        </w:rPr>
        <w:t>su</w:t>
      </w:r>
      <w:r w:rsidR="000B023E" w:rsidRPr="00662C77">
        <w:rPr>
          <w:rFonts w:cs="Arial"/>
          <w:color w:val="000000" w:themeColor="text1"/>
          <w:sz w:val="26"/>
          <w:szCs w:val="26"/>
          <w:lang w:val="es-ES"/>
        </w:rPr>
        <w:t xml:space="preserve"> integridad</w:t>
      </w:r>
      <w:r w:rsidR="00195A17">
        <w:rPr>
          <w:rFonts w:cs="Arial"/>
          <w:color w:val="000000" w:themeColor="text1"/>
          <w:sz w:val="26"/>
          <w:szCs w:val="26"/>
          <w:lang w:val="es-ES"/>
        </w:rPr>
        <w:t xml:space="preserve">. Por ello, </w:t>
      </w:r>
      <w:r w:rsidR="0047598A" w:rsidRPr="00662C77">
        <w:rPr>
          <w:rFonts w:cs="Arial"/>
          <w:color w:val="000000" w:themeColor="text1"/>
          <w:sz w:val="26"/>
          <w:szCs w:val="26"/>
          <w:lang w:val="es-ES"/>
        </w:rPr>
        <w:t xml:space="preserve">debió </w:t>
      </w:r>
      <w:r w:rsidR="006B5385">
        <w:rPr>
          <w:rFonts w:cs="Arial"/>
          <w:color w:val="000000" w:themeColor="text1"/>
          <w:sz w:val="26"/>
          <w:szCs w:val="26"/>
          <w:lang w:val="es-ES"/>
        </w:rPr>
        <w:t>aplicar</w:t>
      </w:r>
      <w:r w:rsidR="006B5385" w:rsidRPr="00662C77">
        <w:rPr>
          <w:rFonts w:cs="Arial"/>
          <w:color w:val="000000" w:themeColor="text1"/>
          <w:sz w:val="26"/>
          <w:szCs w:val="26"/>
          <w:lang w:val="es-ES"/>
        </w:rPr>
        <w:t xml:space="preserve"> </w:t>
      </w:r>
      <w:r w:rsidR="0047598A" w:rsidRPr="00662C77">
        <w:rPr>
          <w:rFonts w:cs="Arial"/>
          <w:color w:val="000000" w:themeColor="text1"/>
          <w:sz w:val="26"/>
          <w:szCs w:val="26"/>
          <w:lang w:val="es-ES"/>
        </w:rPr>
        <w:t xml:space="preserve">la presunción </w:t>
      </w:r>
      <w:r w:rsidR="00687E55" w:rsidRPr="00662C77">
        <w:rPr>
          <w:rFonts w:cs="Arial"/>
          <w:color w:val="000000" w:themeColor="text1"/>
          <w:sz w:val="26"/>
          <w:szCs w:val="26"/>
          <w:lang w:val="es-ES"/>
        </w:rPr>
        <w:t>de que se actualiza un</w:t>
      </w:r>
      <w:r w:rsidR="0047598A" w:rsidRPr="00662C77">
        <w:rPr>
          <w:rFonts w:cs="Arial"/>
          <w:color w:val="000000" w:themeColor="text1"/>
          <w:sz w:val="26"/>
          <w:szCs w:val="26"/>
          <w:lang w:val="es-ES"/>
        </w:rPr>
        <w:t xml:space="preserve"> daño moral</w:t>
      </w:r>
      <w:r w:rsidR="00734865" w:rsidRPr="00662C77">
        <w:rPr>
          <w:rFonts w:cs="Arial"/>
          <w:color w:val="000000" w:themeColor="text1"/>
          <w:sz w:val="26"/>
          <w:szCs w:val="26"/>
          <w:lang w:val="es-ES"/>
        </w:rPr>
        <w:t>,</w:t>
      </w:r>
      <w:r w:rsidR="0047598A" w:rsidRPr="00662C77">
        <w:rPr>
          <w:rFonts w:cs="Arial"/>
          <w:color w:val="000000" w:themeColor="text1"/>
          <w:sz w:val="26"/>
          <w:szCs w:val="26"/>
          <w:lang w:val="es-ES"/>
        </w:rPr>
        <w:t xml:space="preserve"> </w:t>
      </w:r>
      <w:r w:rsidR="00734865" w:rsidRPr="00662C77">
        <w:rPr>
          <w:rFonts w:cs="Arial"/>
          <w:color w:val="000000" w:themeColor="text1"/>
          <w:sz w:val="26"/>
          <w:szCs w:val="26"/>
          <w:lang w:val="es-ES"/>
        </w:rPr>
        <w:t xml:space="preserve">en términos del </w:t>
      </w:r>
      <w:r w:rsidR="0047598A" w:rsidRPr="00662C77">
        <w:rPr>
          <w:rFonts w:cs="Arial"/>
          <w:color w:val="000000" w:themeColor="text1"/>
          <w:sz w:val="26"/>
          <w:szCs w:val="26"/>
          <w:lang w:val="es-ES"/>
        </w:rPr>
        <w:t xml:space="preserve">artículo 1916 del Código Civil para </w:t>
      </w:r>
      <w:r w:rsidR="00453DDD" w:rsidRPr="00662C77">
        <w:rPr>
          <w:rFonts w:cs="Arial"/>
          <w:color w:val="000000" w:themeColor="text1"/>
          <w:sz w:val="26"/>
          <w:szCs w:val="26"/>
          <w:lang w:val="es-ES"/>
        </w:rPr>
        <w:t>el Distrito Federal</w:t>
      </w:r>
      <w:r w:rsidR="0047598A" w:rsidRPr="00662C77">
        <w:rPr>
          <w:rFonts w:cs="Arial"/>
          <w:color w:val="000000" w:themeColor="text1"/>
          <w:sz w:val="26"/>
          <w:szCs w:val="26"/>
          <w:lang w:val="es-ES"/>
        </w:rPr>
        <w:t>.</w:t>
      </w:r>
      <w:r w:rsidR="00C975F9" w:rsidRPr="00662C77">
        <w:rPr>
          <w:rFonts w:cs="Arial"/>
          <w:color w:val="000000" w:themeColor="text1"/>
          <w:sz w:val="26"/>
          <w:szCs w:val="26"/>
          <w:lang w:val="es-ES"/>
        </w:rPr>
        <w:t xml:space="preserve"> </w:t>
      </w:r>
    </w:p>
    <w:p w14:paraId="3EE22BFE" w14:textId="77777777" w:rsidR="00C819F8" w:rsidRDefault="00C819F8" w:rsidP="001A476B">
      <w:pPr>
        <w:pStyle w:val="corte4fondo"/>
        <w:ind w:right="51" w:hanging="567"/>
        <w:rPr>
          <w:rFonts w:cs="Arial"/>
          <w:sz w:val="26"/>
          <w:szCs w:val="26"/>
        </w:rPr>
      </w:pPr>
    </w:p>
    <w:p w14:paraId="209968F8" w14:textId="4274411B" w:rsidR="00F81A84" w:rsidRPr="00C819F8" w:rsidRDefault="00021A13" w:rsidP="001A476B">
      <w:pPr>
        <w:pStyle w:val="corte4fondo"/>
        <w:numPr>
          <w:ilvl w:val="0"/>
          <w:numId w:val="2"/>
        </w:numPr>
        <w:ind w:left="0" w:right="51" w:hanging="567"/>
        <w:rPr>
          <w:rFonts w:cs="Arial"/>
          <w:sz w:val="26"/>
          <w:szCs w:val="26"/>
        </w:rPr>
      </w:pPr>
      <w:r>
        <w:rPr>
          <w:rFonts w:cs="Arial"/>
          <w:sz w:val="26"/>
          <w:szCs w:val="26"/>
        </w:rPr>
        <w:t>Asimismo, advertimos</w:t>
      </w:r>
      <w:r w:rsidR="00F81A84" w:rsidRPr="00D8580C">
        <w:rPr>
          <w:rFonts w:cs="Arial"/>
          <w:sz w:val="26"/>
          <w:szCs w:val="26"/>
        </w:rPr>
        <w:t xml:space="preserve"> que las quejosas también reclamaron que la sala responsable indebidamente estimó que no se acreditaron los elementos de la acción, respecto de los hechos ocurridos en el módulo de quejas. </w:t>
      </w:r>
      <w:r w:rsidR="00A45039">
        <w:rPr>
          <w:rFonts w:cs="Arial"/>
          <w:sz w:val="26"/>
          <w:szCs w:val="26"/>
        </w:rPr>
        <w:t>Sobre ello, e</w:t>
      </w:r>
      <w:r w:rsidR="00F81A84" w:rsidRPr="00D8580C">
        <w:rPr>
          <w:rFonts w:cs="Arial"/>
          <w:sz w:val="26"/>
          <w:szCs w:val="26"/>
        </w:rPr>
        <w:t xml:space="preserve">n el apartado precedente </w:t>
      </w:r>
      <w:r w:rsidR="00F81A84">
        <w:rPr>
          <w:rFonts w:cs="Arial"/>
          <w:sz w:val="26"/>
          <w:szCs w:val="26"/>
        </w:rPr>
        <w:t xml:space="preserve">concluimos </w:t>
      </w:r>
      <w:r w:rsidR="00F81A84" w:rsidRPr="00D8580C">
        <w:rPr>
          <w:rFonts w:cs="Arial"/>
          <w:sz w:val="26"/>
          <w:szCs w:val="26"/>
        </w:rPr>
        <w:t>que, contrario a lo resuelto</w:t>
      </w:r>
      <w:r w:rsidR="00F81A84" w:rsidRPr="00C06012">
        <w:rPr>
          <w:rFonts w:cs="Arial"/>
          <w:sz w:val="26"/>
          <w:szCs w:val="26"/>
        </w:rPr>
        <w:t xml:space="preserve"> por la sala, </w:t>
      </w:r>
      <w:r w:rsidR="00324400">
        <w:rPr>
          <w:rFonts w:cs="Arial"/>
          <w:sz w:val="26"/>
          <w:szCs w:val="26"/>
        </w:rPr>
        <w:t xml:space="preserve">los guardias de seguridad y </w:t>
      </w:r>
      <w:r w:rsidR="00F81A84" w:rsidRPr="00C06012">
        <w:rPr>
          <w:rFonts w:cs="Arial"/>
          <w:sz w:val="26"/>
          <w:szCs w:val="26"/>
        </w:rPr>
        <w:t>el personal de</w:t>
      </w:r>
      <w:r w:rsidR="00324400">
        <w:rPr>
          <w:rFonts w:cs="Arial"/>
          <w:sz w:val="26"/>
          <w:szCs w:val="26"/>
        </w:rPr>
        <w:t xml:space="preserve">l módulo de atención </w:t>
      </w:r>
      <w:r w:rsidR="00F81A84" w:rsidRPr="00C06012">
        <w:rPr>
          <w:rFonts w:cs="Arial"/>
          <w:sz w:val="26"/>
          <w:szCs w:val="26"/>
        </w:rPr>
        <w:t>sí cometi</w:t>
      </w:r>
      <w:r w:rsidR="00324400">
        <w:rPr>
          <w:rFonts w:cs="Arial"/>
          <w:sz w:val="26"/>
          <w:szCs w:val="26"/>
        </w:rPr>
        <w:t>eron</w:t>
      </w:r>
      <w:r w:rsidR="00F81A84" w:rsidRPr="00C06012">
        <w:rPr>
          <w:rFonts w:cs="Arial"/>
          <w:sz w:val="26"/>
          <w:szCs w:val="26"/>
        </w:rPr>
        <w:t xml:space="preserve"> actos </w:t>
      </w:r>
      <w:r w:rsidR="00F81A84" w:rsidRPr="009C3374">
        <w:rPr>
          <w:rFonts w:cs="Arial"/>
          <w:color w:val="000000" w:themeColor="text1"/>
          <w:sz w:val="26"/>
          <w:szCs w:val="26"/>
        </w:rPr>
        <w:t>discriminatorios</w:t>
      </w:r>
      <w:r w:rsidR="00F81A84" w:rsidRPr="00C06012">
        <w:rPr>
          <w:rFonts w:cs="Arial"/>
          <w:sz w:val="26"/>
          <w:szCs w:val="26"/>
        </w:rPr>
        <w:t xml:space="preserve"> en el módulo de</w:t>
      </w:r>
      <w:r w:rsidR="00324400">
        <w:rPr>
          <w:rFonts w:cs="Arial"/>
          <w:sz w:val="26"/>
          <w:szCs w:val="26"/>
        </w:rPr>
        <w:t xml:space="preserve"> queja</w:t>
      </w:r>
      <w:r w:rsidR="00F81A84" w:rsidRPr="00C06012">
        <w:rPr>
          <w:rFonts w:cs="Arial"/>
          <w:sz w:val="26"/>
          <w:szCs w:val="26"/>
        </w:rPr>
        <w:t xml:space="preserve">s en contra de las señoras </w:t>
      </w:r>
      <w:r w:rsidR="00F81A84" w:rsidRPr="00C06012">
        <w:rPr>
          <w:rFonts w:cs="Arial"/>
          <w:color w:val="FF0000"/>
          <w:sz w:val="26"/>
          <w:szCs w:val="26"/>
          <w:lang w:val="es-ES"/>
        </w:rPr>
        <w:t>DF</w:t>
      </w:r>
      <w:r w:rsidR="00F81A84" w:rsidRPr="00C06012">
        <w:rPr>
          <w:rFonts w:cs="Arial"/>
          <w:sz w:val="26"/>
          <w:szCs w:val="26"/>
          <w:lang w:val="es-ES"/>
        </w:rPr>
        <w:t xml:space="preserve">, </w:t>
      </w:r>
      <w:r w:rsidR="00F81A84" w:rsidRPr="00C06012">
        <w:rPr>
          <w:rFonts w:cs="Arial"/>
          <w:color w:val="FF0000"/>
          <w:sz w:val="26"/>
          <w:szCs w:val="26"/>
          <w:lang w:val="es-ES"/>
        </w:rPr>
        <w:t>MF</w:t>
      </w:r>
      <w:r w:rsidR="00F81A84" w:rsidRPr="00C06012" w:rsidDel="00885800">
        <w:rPr>
          <w:rFonts w:cs="Arial"/>
          <w:sz w:val="26"/>
          <w:szCs w:val="26"/>
          <w:lang w:val="es-ES"/>
        </w:rPr>
        <w:t xml:space="preserve"> </w:t>
      </w:r>
      <w:r w:rsidR="00F81A84" w:rsidRPr="00C06012">
        <w:rPr>
          <w:rFonts w:cs="Arial"/>
          <w:sz w:val="26"/>
          <w:szCs w:val="26"/>
          <w:lang w:val="es-ES"/>
        </w:rPr>
        <w:t xml:space="preserve">y </w:t>
      </w:r>
      <w:r w:rsidR="00F81A84" w:rsidRPr="00C06012">
        <w:rPr>
          <w:rFonts w:cs="Arial"/>
          <w:color w:val="FF0000"/>
          <w:sz w:val="26"/>
          <w:szCs w:val="26"/>
          <w:lang w:val="es-ES"/>
        </w:rPr>
        <w:t>GB</w:t>
      </w:r>
      <w:r w:rsidR="00F81A84" w:rsidRPr="00C06012">
        <w:rPr>
          <w:rFonts w:cs="Arial"/>
          <w:sz w:val="26"/>
          <w:szCs w:val="26"/>
        </w:rPr>
        <w:t>, con motivo de su identidad de género como mujeres trans.</w:t>
      </w:r>
      <w:r w:rsidR="00F81A84">
        <w:rPr>
          <w:rFonts w:cs="Arial"/>
          <w:sz w:val="26"/>
          <w:szCs w:val="26"/>
        </w:rPr>
        <w:t xml:space="preserve"> En atención a lo anterior, y por las consideraciones expuestas en el presente estudio, esta Primera Sala considera que también se debió tener </w:t>
      </w:r>
      <w:r w:rsidR="00F81A84">
        <w:rPr>
          <w:rFonts w:cs="Arial"/>
          <w:sz w:val="26"/>
          <w:szCs w:val="26"/>
        </w:rPr>
        <w:lastRenderedPageBreak/>
        <w:t xml:space="preserve">por acreditado el daño moral </w:t>
      </w:r>
      <w:r w:rsidR="0034074C">
        <w:rPr>
          <w:rFonts w:cs="Arial"/>
          <w:sz w:val="26"/>
          <w:szCs w:val="26"/>
        </w:rPr>
        <w:t xml:space="preserve">de </w:t>
      </w:r>
      <w:r w:rsidR="00F81A84" w:rsidRPr="00C06012">
        <w:rPr>
          <w:rFonts w:cs="Arial"/>
          <w:sz w:val="26"/>
          <w:szCs w:val="26"/>
        </w:rPr>
        <w:t xml:space="preserve">las </w:t>
      </w:r>
      <w:r w:rsidR="00F81A84">
        <w:rPr>
          <w:rFonts w:cs="Arial"/>
          <w:sz w:val="26"/>
          <w:szCs w:val="26"/>
        </w:rPr>
        <w:t>quejosas</w:t>
      </w:r>
      <w:r w:rsidR="00F81A84" w:rsidRPr="00C06012">
        <w:rPr>
          <w:rFonts w:cs="Arial"/>
          <w:sz w:val="26"/>
          <w:szCs w:val="26"/>
        </w:rPr>
        <w:t xml:space="preserve"> </w:t>
      </w:r>
      <w:r w:rsidR="00F81A84" w:rsidRPr="00C06012">
        <w:rPr>
          <w:rFonts w:cs="Arial"/>
          <w:color w:val="FF0000"/>
          <w:sz w:val="26"/>
          <w:szCs w:val="26"/>
          <w:lang w:val="es-ES"/>
        </w:rPr>
        <w:t>DF</w:t>
      </w:r>
      <w:r w:rsidR="00F81A84" w:rsidRPr="00C06012" w:rsidDel="00885800">
        <w:rPr>
          <w:rFonts w:cs="Arial"/>
          <w:sz w:val="26"/>
          <w:szCs w:val="26"/>
          <w:lang w:val="es-ES"/>
        </w:rPr>
        <w:t xml:space="preserve"> </w:t>
      </w:r>
      <w:r w:rsidR="00F81A84" w:rsidRPr="00C06012">
        <w:rPr>
          <w:rFonts w:cs="Arial"/>
          <w:sz w:val="26"/>
          <w:szCs w:val="26"/>
          <w:lang w:val="es-ES"/>
        </w:rPr>
        <w:t xml:space="preserve">y </w:t>
      </w:r>
      <w:r w:rsidR="00F81A84" w:rsidRPr="00C06012">
        <w:rPr>
          <w:rFonts w:cs="Arial"/>
          <w:color w:val="FF0000"/>
          <w:sz w:val="26"/>
          <w:szCs w:val="26"/>
          <w:lang w:val="es-ES"/>
        </w:rPr>
        <w:t>GB</w:t>
      </w:r>
      <w:r w:rsidR="0034074C">
        <w:rPr>
          <w:rFonts w:cs="Arial"/>
          <w:color w:val="FF0000"/>
          <w:sz w:val="26"/>
          <w:szCs w:val="26"/>
          <w:lang w:val="es-ES"/>
        </w:rPr>
        <w:t xml:space="preserve"> </w:t>
      </w:r>
      <w:r w:rsidR="0034074C" w:rsidRPr="0034074C">
        <w:rPr>
          <w:rFonts w:cs="Arial"/>
          <w:color w:val="000000" w:themeColor="text1"/>
          <w:sz w:val="26"/>
          <w:szCs w:val="26"/>
          <w:lang w:val="es-ES"/>
        </w:rPr>
        <w:t>respecto de tales hechos</w:t>
      </w:r>
      <w:r w:rsidR="00F81A84" w:rsidRPr="0034074C">
        <w:rPr>
          <w:rFonts w:cs="Arial"/>
          <w:color w:val="000000" w:themeColor="text1"/>
          <w:sz w:val="26"/>
          <w:szCs w:val="26"/>
          <w:lang w:val="es-ES"/>
        </w:rPr>
        <w:t xml:space="preserve">, a partir de la presunción prevista en el </w:t>
      </w:r>
      <w:r w:rsidR="00F81A84" w:rsidRPr="0034074C">
        <w:rPr>
          <w:rFonts w:cs="Arial"/>
          <w:color w:val="000000" w:themeColor="text1"/>
          <w:sz w:val="26"/>
          <w:szCs w:val="26"/>
        </w:rPr>
        <w:t xml:space="preserve">artículo 1916 </w:t>
      </w:r>
      <w:r w:rsidR="003B3429">
        <w:rPr>
          <w:rFonts w:cs="Arial"/>
          <w:color w:val="000000" w:themeColor="text1"/>
          <w:sz w:val="26"/>
          <w:szCs w:val="26"/>
        </w:rPr>
        <w:t>citado.</w:t>
      </w:r>
    </w:p>
    <w:p w14:paraId="6C393F43" w14:textId="77777777" w:rsidR="0099410E" w:rsidRPr="007174B9" w:rsidRDefault="0099410E" w:rsidP="001A476B">
      <w:pPr>
        <w:pStyle w:val="corte4fondo"/>
        <w:ind w:right="51" w:hanging="567"/>
        <w:rPr>
          <w:rFonts w:cs="Arial"/>
          <w:sz w:val="26"/>
          <w:szCs w:val="26"/>
        </w:rPr>
      </w:pPr>
    </w:p>
    <w:p w14:paraId="4BC65A55" w14:textId="64FD30F2" w:rsidR="00AC1276" w:rsidRPr="009F35DC" w:rsidRDefault="003B3429" w:rsidP="001A476B">
      <w:pPr>
        <w:pStyle w:val="corte4fondo"/>
        <w:numPr>
          <w:ilvl w:val="0"/>
          <w:numId w:val="2"/>
        </w:numPr>
        <w:ind w:left="0" w:right="51" w:hanging="567"/>
        <w:rPr>
          <w:rFonts w:cs="Arial"/>
          <w:sz w:val="26"/>
          <w:szCs w:val="26"/>
          <w:lang w:val="es-ES"/>
        </w:rPr>
      </w:pPr>
      <w:r w:rsidRPr="009F35DC">
        <w:rPr>
          <w:rFonts w:cs="Arial"/>
          <w:sz w:val="26"/>
          <w:szCs w:val="26"/>
        </w:rPr>
        <w:t xml:space="preserve">Respecto del nexo causal, </w:t>
      </w:r>
      <w:r w:rsidR="009E1F17" w:rsidRPr="009F35DC">
        <w:rPr>
          <w:rFonts w:cs="Arial"/>
          <w:sz w:val="26"/>
          <w:szCs w:val="26"/>
        </w:rPr>
        <w:t xml:space="preserve">las quejosas </w:t>
      </w:r>
      <w:r w:rsidR="009F35DC" w:rsidRPr="009F35DC">
        <w:rPr>
          <w:rFonts w:cs="Arial"/>
          <w:sz w:val="26"/>
          <w:szCs w:val="26"/>
        </w:rPr>
        <w:t>sostienen que,</w:t>
      </w:r>
      <w:r w:rsidR="005D7E52" w:rsidRPr="009F35DC">
        <w:rPr>
          <w:rFonts w:cs="Arial"/>
          <w:sz w:val="26"/>
          <w:szCs w:val="26"/>
        </w:rPr>
        <w:t xml:space="preserve"> </w:t>
      </w:r>
      <w:r w:rsidR="009E1F17" w:rsidRPr="009F35DC">
        <w:rPr>
          <w:rFonts w:cs="Arial"/>
          <w:sz w:val="26"/>
          <w:szCs w:val="26"/>
        </w:rPr>
        <w:t>si la sala de apelación hubier</w:t>
      </w:r>
      <w:r w:rsidR="00C24B76" w:rsidRPr="009F35DC">
        <w:rPr>
          <w:rFonts w:cs="Arial"/>
          <w:sz w:val="26"/>
          <w:szCs w:val="26"/>
        </w:rPr>
        <w:t>a</w:t>
      </w:r>
      <w:r w:rsidR="009F35DC">
        <w:rPr>
          <w:rFonts w:cs="Arial"/>
          <w:sz w:val="26"/>
          <w:szCs w:val="26"/>
        </w:rPr>
        <w:t xml:space="preserve"> aplicado</w:t>
      </w:r>
      <w:r w:rsidR="009E1F17" w:rsidRPr="009F35DC">
        <w:rPr>
          <w:rFonts w:cs="Arial"/>
          <w:sz w:val="26"/>
          <w:szCs w:val="26"/>
        </w:rPr>
        <w:t xml:space="preserve"> la presunción </w:t>
      </w:r>
      <w:r w:rsidR="004713A0">
        <w:rPr>
          <w:rFonts w:cs="Arial"/>
          <w:sz w:val="26"/>
          <w:szCs w:val="26"/>
        </w:rPr>
        <w:t>referida</w:t>
      </w:r>
      <w:r w:rsidR="00E52221" w:rsidRPr="009F35DC">
        <w:rPr>
          <w:rFonts w:cs="Arial"/>
          <w:sz w:val="26"/>
          <w:szCs w:val="26"/>
        </w:rPr>
        <w:t xml:space="preserve">, </w:t>
      </w:r>
      <w:r w:rsidR="006961E6" w:rsidRPr="009F35DC">
        <w:rPr>
          <w:rFonts w:cs="Arial"/>
          <w:sz w:val="26"/>
          <w:szCs w:val="26"/>
        </w:rPr>
        <w:t>hubier</w:t>
      </w:r>
      <w:r w:rsidR="00C24B76" w:rsidRPr="009F35DC">
        <w:rPr>
          <w:rFonts w:cs="Arial"/>
          <w:sz w:val="26"/>
          <w:szCs w:val="26"/>
        </w:rPr>
        <w:t>a</w:t>
      </w:r>
      <w:r w:rsidR="006961E6" w:rsidRPr="009F35DC">
        <w:rPr>
          <w:rFonts w:cs="Arial"/>
          <w:sz w:val="26"/>
          <w:szCs w:val="26"/>
        </w:rPr>
        <w:t xml:space="preserve"> concluido que se acreditaba el nexo causal entre el daño moral y los hechos </w:t>
      </w:r>
      <w:r w:rsidR="00C24B76" w:rsidRPr="009F35DC">
        <w:rPr>
          <w:rFonts w:cs="Arial"/>
          <w:sz w:val="26"/>
          <w:szCs w:val="26"/>
        </w:rPr>
        <w:t>ilícitos</w:t>
      </w:r>
      <w:r w:rsidR="009E1F17" w:rsidRPr="009F35DC">
        <w:rPr>
          <w:rFonts w:cs="Arial"/>
          <w:sz w:val="26"/>
          <w:szCs w:val="26"/>
        </w:rPr>
        <w:t>.</w:t>
      </w:r>
      <w:r w:rsidR="009F35DC" w:rsidRPr="009F35DC">
        <w:rPr>
          <w:rFonts w:cs="Arial"/>
          <w:sz w:val="26"/>
          <w:szCs w:val="26"/>
        </w:rPr>
        <w:t xml:space="preserve"> </w:t>
      </w:r>
      <w:r w:rsidR="006917CF" w:rsidRPr="009F35DC">
        <w:rPr>
          <w:rFonts w:cs="Arial"/>
          <w:sz w:val="26"/>
          <w:szCs w:val="26"/>
        </w:rPr>
        <w:t xml:space="preserve">Esta Primera Sala comparte las consideraciones de las quejosas. </w:t>
      </w:r>
      <w:r w:rsidR="009F35DC" w:rsidRPr="009F35DC">
        <w:rPr>
          <w:rFonts w:cs="Arial"/>
          <w:sz w:val="26"/>
          <w:szCs w:val="26"/>
        </w:rPr>
        <w:t>D</w:t>
      </w:r>
      <w:r w:rsidR="00E311F7" w:rsidRPr="009F35DC">
        <w:rPr>
          <w:rFonts w:cs="Arial"/>
          <w:sz w:val="26"/>
          <w:szCs w:val="26"/>
        </w:rPr>
        <w:t xml:space="preserve">ado que el daño moral </w:t>
      </w:r>
      <w:r w:rsidR="003E15EC" w:rsidRPr="009F35DC">
        <w:rPr>
          <w:rFonts w:cs="Arial"/>
          <w:sz w:val="26"/>
          <w:szCs w:val="26"/>
        </w:rPr>
        <w:t xml:space="preserve">en el caso </w:t>
      </w:r>
      <w:r w:rsidR="00E311F7" w:rsidRPr="009F35DC">
        <w:rPr>
          <w:rFonts w:cs="Arial"/>
          <w:sz w:val="26"/>
          <w:szCs w:val="26"/>
        </w:rPr>
        <w:t xml:space="preserve">parte de </w:t>
      </w:r>
      <w:r w:rsidR="003E15EC" w:rsidRPr="009F35DC">
        <w:rPr>
          <w:rFonts w:cs="Arial"/>
          <w:sz w:val="26"/>
          <w:szCs w:val="26"/>
        </w:rPr>
        <w:t>la</w:t>
      </w:r>
      <w:r w:rsidR="00E311F7" w:rsidRPr="009F35DC">
        <w:rPr>
          <w:rFonts w:cs="Arial"/>
          <w:sz w:val="26"/>
          <w:szCs w:val="26"/>
        </w:rPr>
        <w:t xml:space="preserve"> presunción </w:t>
      </w:r>
      <w:r w:rsidR="00D96EAF" w:rsidRPr="009F35DC">
        <w:rPr>
          <w:rFonts w:cs="Arial"/>
          <w:sz w:val="26"/>
          <w:szCs w:val="26"/>
        </w:rPr>
        <w:t>detonada</w:t>
      </w:r>
      <w:r w:rsidR="00E311F7" w:rsidRPr="009F35DC">
        <w:rPr>
          <w:rFonts w:cs="Arial"/>
          <w:sz w:val="26"/>
          <w:szCs w:val="26"/>
        </w:rPr>
        <w:t xml:space="preserve"> </w:t>
      </w:r>
      <w:r w:rsidR="00F56551" w:rsidRPr="009F35DC">
        <w:rPr>
          <w:rFonts w:cs="Arial"/>
          <w:sz w:val="26"/>
          <w:szCs w:val="26"/>
        </w:rPr>
        <w:t>por la acreditación de un hecho ilícito discriminatorio</w:t>
      </w:r>
      <w:r w:rsidR="00380123" w:rsidRPr="009F35DC">
        <w:rPr>
          <w:rFonts w:cs="Arial"/>
          <w:sz w:val="26"/>
          <w:szCs w:val="26"/>
        </w:rPr>
        <w:t>, consecuentemente,</w:t>
      </w:r>
      <w:r w:rsidR="00F56551" w:rsidRPr="009F35DC">
        <w:rPr>
          <w:rFonts w:cs="Arial"/>
          <w:sz w:val="26"/>
          <w:szCs w:val="26"/>
        </w:rPr>
        <w:t xml:space="preserve"> </w:t>
      </w:r>
      <w:r w:rsidR="007D0232" w:rsidRPr="009F35DC">
        <w:rPr>
          <w:rFonts w:cs="Arial"/>
          <w:sz w:val="26"/>
          <w:szCs w:val="26"/>
        </w:rPr>
        <w:t>la presunción también conlleva la actualización</w:t>
      </w:r>
      <w:r w:rsidR="00EF0C75" w:rsidRPr="009F35DC">
        <w:rPr>
          <w:rFonts w:cs="Arial"/>
          <w:sz w:val="26"/>
          <w:szCs w:val="26"/>
        </w:rPr>
        <w:t xml:space="preserve"> </w:t>
      </w:r>
      <w:r w:rsidR="007D0232" w:rsidRPr="009F35DC">
        <w:rPr>
          <w:rFonts w:cs="Arial"/>
          <w:sz w:val="26"/>
          <w:szCs w:val="26"/>
        </w:rPr>
        <w:t>d</w:t>
      </w:r>
      <w:r w:rsidR="00380123" w:rsidRPr="009F35DC">
        <w:rPr>
          <w:rFonts w:cs="Arial"/>
          <w:sz w:val="26"/>
          <w:szCs w:val="26"/>
        </w:rPr>
        <w:t xml:space="preserve">el nexo causal entre el hecho ilícito </w:t>
      </w:r>
      <w:r w:rsidR="00DB2454" w:rsidRPr="009F35DC">
        <w:rPr>
          <w:rFonts w:cs="Arial"/>
          <w:sz w:val="26"/>
          <w:szCs w:val="26"/>
        </w:rPr>
        <w:t>y el daño moral</w:t>
      </w:r>
      <w:r w:rsidR="00D96EAF" w:rsidRPr="009F35DC">
        <w:rPr>
          <w:rStyle w:val="Refdenotaalpie"/>
          <w:rFonts w:cs="Arial"/>
          <w:sz w:val="26"/>
          <w:szCs w:val="26"/>
          <w:lang w:val="es-ES"/>
        </w:rPr>
        <w:footnoteReference w:id="109"/>
      </w:r>
      <w:r w:rsidR="00621724" w:rsidRPr="009F35DC">
        <w:rPr>
          <w:rFonts w:cs="Arial"/>
          <w:sz w:val="26"/>
          <w:szCs w:val="26"/>
          <w:lang w:val="es-ES"/>
        </w:rPr>
        <w:t>.</w:t>
      </w:r>
    </w:p>
    <w:p w14:paraId="17D15E87" w14:textId="77777777" w:rsidR="0099410E" w:rsidRDefault="0099410E" w:rsidP="001A476B">
      <w:pPr>
        <w:pStyle w:val="corte4fondo"/>
        <w:ind w:right="51" w:hanging="567"/>
        <w:rPr>
          <w:rFonts w:cs="Arial"/>
          <w:sz w:val="26"/>
          <w:szCs w:val="26"/>
        </w:rPr>
      </w:pPr>
    </w:p>
    <w:p w14:paraId="7FB8B9E2" w14:textId="5F384D0C" w:rsidR="0099410E" w:rsidRPr="003F6B95" w:rsidRDefault="0099410E" w:rsidP="001A476B">
      <w:pPr>
        <w:pStyle w:val="corte4fondo"/>
        <w:numPr>
          <w:ilvl w:val="0"/>
          <w:numId w:val="2"/>
        </w:numPr>
        <w:ind w:left="0" w:right="51" w:hanging="567"/>
        <w:rPr>
          <w:rFonts w:cs="Arial"/>
          <w:sz w:val="26"/>
          <w:szCs w:val="26"/>
          <w:lang w:val="es-ES"/>
        </w:rPr>
      </w:pPr>
      <w:r>
        <w:rPr>
          <w:rFonts w:cs="Arial"/>
          <w:color w:val="000000" w:themeColor="text1"/>
          <w:sz w:val="26"/>
          <w:szCs w:val="26"/>
          <w:lang w:val="es-ES"/>
        </w:rPr>
        <w:t xml:space="preserve">Finalmente, </w:t>
      </w:r>
      <w:r w:rsidR="0027608B">
        <w:rPr>
          <w:rFonts w:cs="Arial"/>
          <w:color w:val="000000" w:themeColor="text1"/>
          <w:sz w:val="26"/>
          <w:szCs w:val="26"/>
          <w:lang w:val="es-ES"/>
        </w:rPr>
        <w:t xml:space="preserve">destacamos </w:t>
      </w:r>
      <w:r>
        <w:rPr>
          <w:rFonts w:cs="Arial"/>
          <w:color w:val="000000" w:themeColor="text1"/>
          <w:sz w:val="26"/>
          <w:szCs w:val="26"/>
          <w:lang w:val="es-ES"/>
        </w:rPr>
        <w:t>que</w:t>
      </w:r>
      <w:r w:rsidR="00380886">
        <w:rPr>
          <w:rFonts w:cs="Arial"/>
          <w:color w:val="000000" w:themeColor="text1"/>
          <w:sz w:val="26"/>
          <w:szCs w:val="26"/>
          <w:lang w:val="es-ES"/>
        </w:rPr>
        <w:t>, al estudiar el daño,</w:t>
      </w:r>
      <w:r>
        <w:rPr>
          <w:rFonts w:cs="Arial"/>
          <w:color w:val="000000" w:themeColor="text1"/>
          <w:sz w:val="26"/>
          <w:szCs w:val="26"/>
          <w:lang w:val="es-ES"/>
        </w:rPr>
        <w:t xml:space="preserve"> </w:t>
      </w:r>
      <w:r w:rsidRPr="0032570F">
        <w:rPr>
          <w:rFonts w:cs="Arial"/>
          <w:sz w:val="26"/>
          <w:szCs w:val="26"/>
          <w:lang w:val="es-ES"/>
        </w:rPr>
        <w:t xml:space="preserve">la sala responsable determinó indebidamente que la conducta desplegada por los guardias del centro comercial no afectó la libertad de la señora </w:t>
      </w:r>
      <w:r w:rsidRPr="0032570F">
        <w:rPr>
          <w:rFonts w:cs="Arial"/>
          <w:color w:val="FF0000"/>
          <w:sz w:val="26"/>
          <w:szCs w:val="26"/>
          <w:lang w:val="es-ES"/>
        </w:rPr>
        <w:t>DF</w:t>
      </w:r>
      <w:r w:rsidRPr="0032570F">
        <w:rPr>
          <w:rFonts w:cs="Arial"/>
          <w:sz w:val="26"/>
          <w:szCs w:val="26"/>
          <w:lang w:val="es-ES"/>
        </w:rPr>
        <w:t xml:space="preserve">, bajo la premisa de que solo se le impidió acceder al sanitario público, pero no la libertad de </w:t>
      </w:r>
      <w:r w:rsidRPr="0032570F">
        <w:rPr>
          <w:rFonts w:cs="Arial"/>
          <w:i/>
          <w:iCs/>
          <w:sz w:val="26"/>
          <w:szCs w:val="26"/>
          <w:lang w:val="es-ES"/>
        </w:rPr>
        <w:t>ser mujer</w:t>
      </w:r>
      <w:r w:rsidRPr="0032570F">
        <w:rPr>
          <w:rFonts w:cs="Arial"/>
          <w:sz w:val="26"/>
          <w:szCs w:val="26"/>
          <w:lang w:val="es-ES"/>
        </w:rPr>
        <w:t xml:space="preserve"> o de </w:t>
      </w:r>
      <w:r w:rsidRPr="0032570F">
        <w:rPr>
          <w:rFonts w:cs="Arial"/>
          <w:i/>
          <w:iCs/>
          <w:sz w:val="26"/>
          <w:szCs w:val="26"/>
          <w:lang w:val="es-ES"/>
        </w:rPr>
        <w:t>sentirse como tal</w:t>
      </w:r>
      <w:r w:rsidRPr="0032570F">
        <w:rPr>
          <w:rFonts w:cs="Arial"/>
          <w:sz w:val="26"/>
          <w:szCs w:val="26"/>
          <w:lang w:val="es-ES"/>
        </w:rPr>
        <w:t>.</w:t>
      </w:r>
      <w:r>
        <w:rPr>
          <w:rFonts w:cs="Arial"/>
          <w:sz w:val="26"/>
          <w:szCs w:val="26"/>
          <w:lang w:val="es-ES"/>
        </w:rPr>
        <w:t xml:space="preserve"> A nuestro parecer, con tales planteamientos</w:t>
      </w:r>
      <w:r w:rsidR="0083210B">
        <w:rPr>
          <w:rFonts w:cs="Arial"/>
          <w:sz w:val="26"/>
          <w:szCs w:val="26"/>
          <w:lang w:val="es-ES"/>
        </w:rPr>
        <w:t>,</w:t>
      </w:r>
      <w:r>
        <w:rPr>
          <w:rFonts w:cs="Arial"/>
          <w:sz w:val="26"/>
          <w:szCs w:val="26"/>
          <w:lang w:val="es-ES"/>
        </w:rPr>
        <w:t xml:space="preserve"> </w:t>
      </w:r>
      <w:r>
        <w:rPr>
          <w:rFonts w:cs="Arial"/>
          <w:color w:val="000000" w:themeColor="text1"/>
          <w:sz w:val="26"/>
          <w:szCs w:val="26"/>
          <w:lang w:val="es-ES"/>
        </w:rPr>
        <w:t xml:space="preserve">la sala </w:t>
      </w:r>
      <w:r w:rsidRPr="003F6B95">
        <w:rPr>
          <w:rFonts w:cs="Arial"/>
          <w:color w:val="000000" w:themeColor="text1"/>
          <w:sz w:val="26"/>
          <w:szCs w:val="26"/>
          <w:lang w:val="es-ES"/>
        </w:rPr>
        <w:t xml:space="preserve">no atendió </w:t>
      </w:r>
      <w:r>
        <w:rPr>
          <w:rFonts w:cs="Arial"/>
          <w:color w:val="000000" w:themeColor="text1"/>
          <w:sz w:val="26"/>
          <w:szCs w:val="26"/>
          <w:lang w:val="es-ES"/>
        </w:rPr>
        <w:t>a</w:t>
      </w:r>
      <w:r w:rsidRPr="003F6B95">
        <w:rPr>
          <w:rFonts w:cs="Arial"/>
          <w:color w:val="000000" w:themeColor="text1"/>
          <w:sz w:val="26"/>
          <w:szCs w:val="26"/>
          <w:lang w:val="es-ES"/>
        </w:rPr>
        <w:t xml:space="preserve">l impacto que </w:t>
      </w:r>
      <w:r>
        <w:rPr>
          <w:rFonts w:cs="Arial"/>
          <w:color w:val="000000" w:themeColor="text1"/>
          <w:sz w:val="26"/>
          <w:szCs w:val="26"/>
          <w:lang w:val="es-ES"/>
        </w:rPr>
        <w:t xml:space="preserve">resienten </w:t>
      </w:r>
      <w:r w:rsidRPr="003F6B95">
        <w:rPr>
          <w:rFonts w:cs="Arial"/>
          <w:color w:val="000000" w:themeColor="text1"/>
          <w:sz w:val="26"/>
          <w:szCs w:val="26"/>
          <w:lang w:val="es-ES"/>
        </w:rPr>
        <w:t xml:space="preserve">las </w:t>
      </w:r>
      <w:r>
        <w:rPr>
          <w:rFonts w:cs="Arial"/>
          <w:color w:val="000000" w:themeColor="text1"/>
          <w:sz w:val="26"/>
          <w:szCs w:val="26"/>
          <w:lang w:val="es-ES"/>
        </w:rPr>
        <w:t>mujeres</w:t>
      </w:r>
      <w:r w:rsidRPr="003F6B95">
        <w:rPr>
          <w:rFonts w:cs="Arial"/>
          <w:color w:val="000000" w:themeColor="text1"/>
          <w:sz w:val="26"/>
          <w:szCs w:val="26"/>
          <w:lang w:val="es-ES"/>
        </w:rPr>
        <w:t xml:space="preserve"> trans ante un hecho </w:t>
      </w:r>
      <w:r>
        <w:rPr>
          <w:rFonts w:cs="Arial"/>
          <w:color w:val="000000" w:themeColor="text1"/>
          <w:sz w:val="26"/>
          <w:szCs w:val="26"/>
          <w:lang w:val="es-ES"/>
        </w:rPr>
        <w:t xml:space="preserve">discriminatorio </w:t>
      </w:r>
      <w:r w:rsidRPr="003F6B95">
        <w:rPr>
          <w:rFonts w:cs="Arial"/>
          <w:color w:val="000000" w:themeColor="text1"/>
          <w:sz w:val="26"/>
          <w:szCs w:val="26"/>
          <w:lang w:val="es-ES"/>
        </w:rPr>
        <w:t xml:space="preserve">de desconocimiento o negación de su identidad de género, como lo es el impedimento de acceder a los </w:t>
      </w:r>
      <w:r>
        <w:rPr>
          <w:rFonts w:cs="Arial"/>
          <w:color w:val="000000" w:themeColor="text1"/>
          <w:sz w:val="26"/>
          <w:szCs w:val="26"/>
          <w:lang w:val="es-ES"/>
        </w:rPr>
        <w:t>sanitarios</w:t>
      </w:r>
      <w:r w:rsidRPr="003F6B95">
        <w:rPr>
          <w:rFonts w:cs="Arial"/>
          <w:color w:val="000000" w:themeColor="text1"/>
          <w:sz w:val="26"/>
          <w:szCs w:val="26"/>
          <w:lang w:val="es-ES"/>
        </w:rPr>
        <w:t xml:space="preserve"> del género con el que se identifican</w:t>
      </w:r>
      <w:r>
        <w:rPr>
          <w:rFonts w:cs="Arial"/>
          <w:color w:val="000000" w:themeColor="text1"/>
          <w:sz w:val="26"/>
          <w:szCs w:val="26"/>
          <w:lang w:val="es-ES"/>
        </w:rPr>
        <w:t>. Por el contrario, la autoridad</w:t>
      </w:r>
      <w:r w:rsidRPr="003F6B95">
        <w:rPr>
          <w:rFonts w:cs="Arial"/>
          <w:color w:val="000000" w:themeColor="text1"/>
          <w:sz w:val="26"/>
          <w:szCs w:val="26"/>
          <w:lang w:val="es-ES"/>
        </w:rPr>
        <w:t xml:space="preserve"> trivializó dicha experiencia.</w:t>
      </w:r>
    </w:p>
    <w:p w14:paraId="3CF78BBE" w14:textId="77777777" w:rsidR="0099410E" w:rsidRPr="0083210B" w:rsidRDefault="0099410E" w:rsidP="001A476B">
      <w:pPr>
        <w:pStyle w:val="corte4fondo"/>
        <w:ind w:right="51" w:hanging="567"/>
        <w:rPr>
          <w:rFonts w:cs="Arial"/>
          <w:sz w:val="26"/>
          <w:szCs w:val="26"/>
          <w:lang w:val="es-ES"/>
        </w:rPr>
      </w:pPr>
    </w:p>
    <w:p w14:paraId="659EFB3C" w14:textId="5AF2D061" w:rsidR="003D0506" w:rsidRPr="00E9046F" w:rsidRDefault="00380886" w:rsidP="001A476B">
      <w:pPr>
        <w:pStyle w:val="corte4fondo"/>
        <w:numPr>
          <w:ilvl w:val="0"/>
          <w:numId w:val="2"/>
        </w:numPr>
        <w:ind w:left="0" w:right="51" w:hanging="567"/>
        <w:rPr>
          <w:rFonts w:cs="Arial"/>
          <w:sz w:val="26"/>
          <w:szCs w:val="26"/>
          <w:lang w:val="es-ES"/>
        </w:rPr>
      </w:pPr>
      <w:r w:rsidRPr="00B13263">
        <w:rPr>
          <w:rFonts w:cs="Arial"/>
          <w:sz w:val="26"/>
          <w:szCs w:val="26"/>
        </w:rPr>
        <w:t>Además, en su estudio sobre daño moral,</w:t>
      </w:r>
      <w:r w:rsidR="003D0506" w:rsidRPr="00B13263">
        <w:rPr>
          <w:rFonts w:cs="Arial"/>
          <w:sz w:val="26"/>
          <w:szCs w:val="26"/>
        </w:rPr>
        <w:t xml:space="preserve"> la sala responsable hizo depender la acreditación del daño y el nexo causal</w:t>
      </w:r>
      <w:r w:rsidR="0083210B" w:rsidRPr="00B13263">
        <w:rPr>
          <w:rFonts w:cs="Arial"/>
          <w:sz w:val="26"/>
          <w:szCs w:val="26"/>
        </w:rPr>
        <w:t xml:space="preserve"> </w:t>
      </w:r>
      <w:r w:rsidR="003D0506" w:rsidRPr="00B13263">
        <w:rPr>
          <w:rFonts w:cs="Arial"/>
          <w:sz w:val="26"/>
          <w:szCs w:val="26"/>
        </w:rPr>
        <w:t xml:space="preserve">de la valoración del dictamen de psicología aportado por las quejosas. </w:t>
      </w:r>
      <w:r w:rsidR="00B13263" w:rsidRPr="00B13263">
        <w:rPr>
          <w:rFonts w:cs="Arial"/>
          <w:sz w:val="26"/>
          <w:szCs w:val="26"/>
        </w:rPr>
        <w:t>C</w:t>
      </w:r>
      <w:r w:rsidR="003D0506" w:rsidRPr="00B13263">
        <w:rPr>
          <w:rFonts w:cs="Arial"/>
          <w:sz w:val="26"/>
          <w:szCs w:val="26"/>
        </w:rPr>
        <w:t>ontrario a lo sostenido por la sala de apelación, hemos precisado que ante la existencia de actos discriminatorios debe presumirse el daño moral, por lo que no es necesario aportar pruebas al juicio para acreditarlo y, mucho menos, condicionar el reconocimiento del daño a que se diagnostique una enfermedad o trastorno de salud mental (como pretendió hacer la sala de apelación).</w:t>
      </w:r>
      <w:r w:rsidR="00F10EBA" w:rsidRPr="00B13263">
        <w:rPr>
          <w:rFonts w:cs="Arial"/>
          <w:sz w:val="26"/>
          <w:szCs w:val="26"/>
        </w:rPr>
        <w:t xml:space="preserve"> Asimismo, </w:t>
      </w:r>
      <w:r w:rsidR="00A53430" w:rsidRPr="00B13263">
        <w:rPr>
          <w:rFonts w:cs="Arial"/>
          <w:sz w:val="26"/>
          <w:szCs w:val="26"/>
        </w:rPr>
        <w:t>recién determinamos</w:t>
      </w:r>
      <w:r w:rsidR="00F10EBA" w:rsidRPr="00B13263">
        <w:rPr>
          <w:rFonts w:cs="Arial"/>
          <w:sz w:val="26"/>
          <w:szCs w:val="26"/>
        </w:rPr>
        <w:t xml:space="preserve"> </w:t>
      </w:r>
      <w:r w:rsidR="00F10EBA" w:rsidRPr="00B13263">
        <w:rPr>
          <w:rFonts w:cs="Arial"/>
          <w:sz w:val="26"/>
          <w:szCs w:val="26"/>
        </w:rPr>
        <w:lastRenderedPageBreak/>
        <w:t xml:space="preserve">que, ante la presunción del daño moral por el hecho discriminatorio, también se actualiza un nexo causal entre éste y el </w:t>
      </w:r>
      <w:r w:rsidR="00F10EBA" w:rsidRPr="00E9046F">
        <w:rPr>
          <w:rFonts w:cs="Arial"/>
          <w:sz w:val="26"/>
          <w:szCs w:val="26"/>
        </w:rPr>
        <w:t>daño.</w:t>
      </w:r>
    </w:p>
    <w:p w14:paraId="1F1928CE" w14:textId="77777777" w:rsidR="003D0506" w:rsidRPr="00E9046F" w:rsidRDefault="003D0506" w:rsidP="001A476B">
      <w:pPr>
        <w:pStyle w:val="corte4fondo"/>
        <w:ind w:right="51" w:hanging="567"/>
        <w:rPr>
          <w:rFonts w:cs="Arial"/>
          <w:sz w:val="26"/>
          <w:szCs w:val="26"/>
        </w:rPr>
      </w:pPr>
    </w:p>
    <w:p w14:paraId="577573C3" w14:textId="7722F0C5" w:rsidR="00254786" w:rsidRPr="00E9046F" w:rsidRDefault="00954846" w:rsidP="001A476B">
      <w:pPr>
        <w:pStyle w:val="corte4fondo"/>
        <w:numPr>
          <w:ilvl w:val="0"/>
          <w:numId w:val="2"/>
        </w:numPr>
        <w:ind w:left="0" w:right="51" w:hanging="567"/>
        <w:rPr>
          <w:rFonts w:asciiTheme="minorBidi" w:hAnsiTheme="minorBidi" w:cstheme="minorBidi"/>
          <w:sz w:val="26"/>
          <w:szCs w:val="26"/>
        </w:rPr>
      </w:pPr>
      <w:r w:rsidRPr="00E9046F">
        <w:rPr>
          <w:rFonts w:cs="Arial"/>
          <w:sz w:val="26"/>
          <w:szCs w:val="26"/>
        </w:rPr>
        <w:t>A pesar de lo anterior</w:t>
      </w:r>
      <w:r w:rsidR="003D0506" w:rsidRPr="00E9046F">
        <w:rPr>
          <w:rFonts w:cs="Arial"/>
          <w:sz w:val="26"/>
          <w:szCs w:val="26"/>
        </w:rPr>
        <w:t>, est</w:t>
      </w:r>
      <w:r w:rsidR="00707CA8">
        <w:rPr>
          <w:rFonts w:cs="Arial"/>
          <w:sz w:val="26"/>
          <w:szCs w:val="26"/>
        </w:rPr>
        <w:t>a</w:t>
      </w:r>
      <w:r w:rsidR="003D0506" w:rsidRPr="00E9046F">
        <w:rPr>
          <w:rFonts w:cs="Arial"/>
          <w:sz w:val="26"/>
          <w:szCs w:val="26"/>
        </w:rPr>
        <w:t xml:space="preserve"> </w:t>
      </w:r>
      <w:r w:rsidR="00F10EBA" w:rsidRPr="00E9046F">
        <w:rPr>
          <w:rFonts w:cs="Arial"/>
          <w:sz w:val="26"/>
          <w:szCs w:val="26"/>
        </w:rPr>
        <w:t xml:space="preserve">Sala </w:t>
      </w:r>
      <w:r w:rsidR="00FC7ECE" w:rsidRPr="00E9046F">
        <w:rPr>
          <w:rFonts w:cs="Arial"/>
          <w:sz w:val="26"/>
          <w:szCs w:val="26"/>
        </w:rPr>
        <w:t>considera</w:t>
      </w:r>
      <w:r w:rsidR="00F10EBA" w:rsidRPr="00E9046F">
        <w:rPr>
          <w:rFonts w:cs="Arial"/>
          <w:sz w:val="26"/>
          <w:szCs w:val="26"/>
        </w:rPr>
        <w:t xml:space="preserve"> que</w:t>
      </w:r>
      <w:r w:rsidR="00A97B52" w:rsidRPr="00E9046F">
        <w:rPr>
          <w:rFonts w:cs="Arial"/>
          <w:sz w:val="26"/>
          <w:szCs w:val="26"/>
        </w:rPr>
        <w:t xml:space="preserve"> los dictámenes periciales </w:t>
      </w:r>
      <w:r w:rsidR="003D0506" w:rsidRPr="00E9046F">
        <w:rPr>
          <w:rFonts w:cs="Arial"/>
          <w:sz w:val="26"/>
          <w:szCs w:val="26"/>
        </w:rPr>
        <w:t>sí son relevantes para reforzar, dimensionar o precisar el daño generado por el hecho ilícito</w:t>
      </w:r>
      <w:r w:rsidR="003D0506" w:rsidRPr="00E9046F">
        <w:rPr>
          <w:rFonts w:cs="Arial"/>
          <w:sz w:val="26"/>
          <w:szCs w:val="26"/>
          <w:lang w:val="es-ES"/>
        </w:rPr>
        <w:t xml:space="preserve">, lo que, a su vez, </w:t>
      </w:r>
      <w:r w:rsidR="00415E4E" w:rsidRPr="00E9046F">
        <w:rPr>
          <w:rFonts w:cs="Arial"/>
          <w:sz w:val="26"/>
          <w:szCs w:val="26"/>
          <w:lang w:val="es-ES"/>
        </w:rPr>
        <w:t>puede ser</w:t>
      </w:r>
      <w:r w:rsidR="003D0506" w:rsidRPr="00E9046F">
        <w:rPr>
          <w:rFonts w:cs="Arial"/>
          <w:sz w:val="26"/>
          <w:szCs w:val="26"/>
          <w:lang w:val="es-ES"/>
        </w:rPr>
        <w:t xml:space="preserve"> relevante para definir la reparación o cuantificar el daño. </w:t>
      </w:r>
      <w:r w:rsidR="00A77DE6">
        <w:rPr>
          <w:rFonts w:cs="Arial"/>
          <w:sz w:val="26"/>
          <w:szCs w:val="26"/>
          <w:lang w:val="es-ES"/>
        </w:rPr>
        <w:t>Asimismo, debe considerar</w:t>
      </w:r>
      <w:r w:rsidR="00420C19">
        <w:rPr>
          <w:rFonts w:cs="Arial"/>
          <w:sz w:val="26"/>
          <w:szCs w:val="26"/>
          <w:lang w:val="es-ES"/>
        </w:rPr>
        <w:t>se</w:t>
      </w:r>
      <w:r w:rsidR="00A77DE6">
        <w:rPr>
          <w:rFonts w:cs="Arial"/>
          <w:sz w:val="26"/>
          <w:szCs w:val="26"/>
          <w:lang w:val="es-ES"/>
        </w:rPr>
        <w:t xml:space="preserve"> que n</w:t>
      </w:r>
      <w:r w:rsidR="00521632">
        <w:rPr>
          <w:rFonts w:cs="Arial"/>
          <w:sz w:val="26"/>
          <w:szCs w:val="26"/>
          <w:lang w:val="es-ES"/>
        </w:rPr>
        <w:t xml:space="preserve">o todo acto discriminatorio genera el mismo daño. </w:t>
      </w:r>
      <w:r w:rsidR="00254786" w:rsidRPr="00E9046F">
        <w:rPr>
          <w:rFonts w:asciiTheme="minorBidi" w:hAnsiTheme="minorBidi" w:cstheme="minorBidi"/>
          <w:sz w:val="26"/>
          <w:szCs w:val="26"/>
        </w:rPr>
        <w:t>No obstante,</w:t>
      </w:r>
      <w:r w:rsidR="001F26D0" w:rsidRPr="00E9046F">
        <w:rPr>
          <w:rFonts w:asciiTheme="minorBidi" w:hAnsiTheme="minorBidi" w:cstheme="minorBidi"/>
          <w:sz w:val="26"/>
          <w:szCs w:val="26"/>
        </w:rPr>
        <w:t xml:space="preserve"> </w:t>
      </w:r>
      <w:r w:rsidR="00254786" w:rsidRPr="00E9046F">
        <w:rPr>
          <w:rFonts w:asciiTheme="minorBidi" w:hAnsiTheme="minorBidi" w:cstheme="minorBidi"/>
          <w:sz w:val="26"/>
          <w:szCs w:val="26"/>
        </w:rPr>
        <w:t>clarificamos que</w:t>
      </w:r>
      <w:r w:rsidR="001F26D0" w:rsidRPr="00E9046F">
        <w:rPr>
          <w:rFonts w:cs="Arial"/>
          <w:sz w:val="26"/>
          <w:szCs w:val="26"/>
        </w:rPr>
        <w:t xml:space="preserve"> </w:t>
      </w:r>
      <w:r w:rsidR="00254786" w:rsidRPr="00E9046F">
        <w:rPr>
          <w:rFonts w:cs="Arial"/>
          <w:sz w:val="26"/>
          <w:szCs w:val="26"/>
        </w:rPr>
        <w:t xml:space="preserve">ello no implica que la dimensión </w:t>
      </w:r>
      <w:r w:rsidRPr="00E9046F">
        <w:rPr>
          <w:rFonts w:cs="Arial"/>
          <w:sz w:val="26"/>
          <w:szCs w:val="26"/>
        </w:rPr>
        <w:t xml:space="preserve">o magnitud </w:t>
      </w:r>
      <w:r w:rsidR="00254786" w:rsidRPr="00E9046F">
        <w:rPr>
          <w:rFonts w:cs="Arial"/>
          <w:sz w:val="26"/>
          <w:szCs w:val="26"/>
        </w:rPr>
        <w:t xml:space="preserve">del daño parta exclusivamente de </w:t>
      </w:r>
      <w:r w:rsidRPr="00E9046F">
        <w:rPr>
          <w:rFonts w:cs="Arial"/>
          <w:sz w:val="26"/>
          <w:szCs w:val="26"/>
        </w:rPr>
        <w:t>lo arrojado por la</w:t>
      </w:r>
      <w:r w:rsidR="00F11F79" w:rsidRPr="00E9046F">
        <w:rPr>
          <w:rFonts w:cs="Arial"/>
          <w:sz w:val="26"/>
          <w:szCs w:val="26"/>
        </w:rPr>
        <w:t>s</w:t>
      </w:r>
      <w:r w:rsidR="00254786" w:rsidRPr="00E9046F">
        <w:rPr>
          <w:rFonts w:cs="Arial"/>
          <w:sz w:val="26"/>
          <w:szCs w:val="26"/>
        </w:rPr>
        <w:t xml:space="preserve"> pruebas</w:t>
      </w:r>
      <w:r w:rsidR="000A64C4" w:rsidRPr="00E9046F">
        <w:rPr>
          <w:rFonts w:cs="Arial"/>
          <w:sz w:val="26"/>
          <w:szCs w:val="26"/>
        </w:rPr>
        <w:t xml:space="preserve"> periciales, sino que, para ello, </w:t>
      </w:r>
      <w:r w:rsidR="00D370FD" w:rsidRPr="00E9046F">
        <w:rPr>
          <w:rFonts w:cs="Arial"/>
          <w:sz w:val="26"/>
          <w:szCs w:val="26"/>
        </w:rPr>
        <w:t>la persona juzgadora debe</w:t>
      </w:r>
      <w:r w:rsidR="000A64C4" w:rsidRPr="00E9046F">
        <w:rPr>
          <w:rFonts w:cs="Arial"/>
          <w:sz w:val="26"/>
          <w:szCs w:val="26"/>
        </w:rPr>
        <w:t xml:space="preserve"> atender</w:t>
      </w:r>
      <w:r w:rsidR="00D370FD" w:rsidRPr="00E9046F">
        <w:rPr>
          <w:rFonts w:cs="Arial"/>
          <w:sz w:val="26"/>
          <w:szCs w:val="26"/>
        </w:rPr>
        <w:t xml:space="preserve"> y valorar e</w:t>
      </w:r>
      <w:r w:rsidR="000A64C4" w:rsidRPr="00E9046F">
        <w:rPr>
          <w:rFonts w:cs="Arial"/>
          <w:sz w:val="26"/>
          <w:szCs w:val="26"/>
        </w:rPr>
        <w:t xml:space="preserve">l material probatorio en su conjunto, y </w:t>
      </w:r>
      <w:r w:rsidR="00D370FD" w:rsidRPr="00E9046F">
        <w:rPr>
          <w:rFonts w:cs="Arial"/>
          <w:sz w:val="26"/>
          <w:szCs w:val="26"/>
        </w:rPr>
        <w:t>realizar</w:t>
      </w:r>
      <w:r w:rsidR="000A64C4" w:rsidRPr="00E9046F">
        <w:rPr>
          <w:rFonts w:cs="Arial"/>
          <w:sz w:val="26"/>
          <w:szCs w:val="26"/>
        </w:rPr>
        <w:t xml:space="preserve"> una apreciación contextual del daño generado en las quejosas. </w:t>
      </w:r>
    </w:p>
    <w:p w14:paraId="3A7C8E8C" w14:textId="77777777" w:rsidR="00254786" w:rsidRPr="00254786" w:rsidRDefault="00254786" w:rsidP="001A476B">
      <w:pPr>
        <w:pStyle w:val="corte4fondo"/>
        <w:ind w:right="51" w:hanging="567"/>
        <w:rPr>
          <w:rFonts w:cs="Arial"/>
          <w:sz w:val="26"/>
          <w:szCs w:val="26"/>
          <w:lang w:val="es-ES"/>
        </w:rPr>
      </w:pPr>
    </w:p>
    <w:p w14:paraId="233F31EB" w14:textId="1836D73E" w:rsidR="003D0506" w:rsidRPr="00AC6535" w:rsidRDefault="00614261" w:rsidP="001A476B">
      <w:pPr>
        <w:pStyle w:val="corte4fondo"/>
        <w:numPr>
          <w:ilvl w:val="0"/>
          <w:numId w:val="2"/>
        </w:numPr>
        <w:ind w:left="0" w:right="51" w:hanging="567"/>
        <w:rPr>
          <w:rFonts w:cs="Arial"/>
          <w:sz w:val="26"/>
          <w:szCs w:val="26"/>
          <w:lang w:val="es-ES"/>
        </w:rPr>
      </w:pPr>
      <w:r>
        <w:rPr>
          <w:rFonts w:cs="Arial"/>
          <w:sz w:val="26"/>
          <w:szCs w:val="26"/>
          <w:lang w:val="es-ES"/>
        </w:rPr>
        <w:t>Respecto de las pruebas periciales</w:t>
      </w:r>
      <w:r w:rsidR="003D0506" w:rsidRPr="00AC6535">
        <w:rPr>
          <w:rFonts w:cs="Arial"/>
          <w:sz w:val="26"/>
          <w:szCs w:val="26"/>
          <w:lang w:val="es-ES"/>
        </w:rPr>
        <w:t xml:space="preserve">, </w:t>
      </w:r>
      <w:r w:rsidR="00415E4E">
        <w:rPr>
          <w:rFonts w:cs="Arial"/>
          <w:sz w:val="26"/>
          <w:szCs w:val="26"/>
          <w:lang w:val="es-ES"/>
        </w:rPr>
        <w:t>este Tribunal considera</w:t>
      </w:r>
      <w:r w:rsidR="003D0506" w:rsidRPr="00AC6535">
        <w:rPr>
          <w:rFonts w:cs="Arial"/>
          <w:sz w:val="26"/>
          <w:szCs w:val="26"/>
          <w:lang w:val="es-ES"/>
        </w:rPr>
        <w:t xml:space="preserve"> que la sala no </w:t>
      </w:r>
      <w:r>
        <w:rPr>
          <w:rFonts w:cs="Arial"/>
          <w:sz w:val="26"/>
          <w:szCs w:val="26"/>
          <w:lang w:val="es-ES"/>
        </w:rPr>
        <w:t xml:space="preserve">las </w:t>
      </w:r>
      <w:r w:rsidR="003D0506" w:rsidRPr="00AC6535">
        <w:rPr>
          <w:rFonts w:cs="Arial"/>
          <w:sz w:val="26"/>
          <w:szCs w:val="26"/>
          <w:lang w:val="es-ES"/>
        </w:rPr>
        <w:t xml:space="preserve">analizó con un enfoque de género. Al desvirtuar su valor probatorio, consideró contradictorio que la perito, por un lado, haya encontrado a las quejosas como “socialmente funcionales” y, por el otro, haya señalado que se encuentran “desadaptadas” en cuanto a su situación emocional y social dadas las condiciones que pueden enfrentar en el espacio público por ser mujeres trans. Tal supuesta incongruencia fue suficiente para que la sala sostuviera que no fue el evento ocurrido en el centro comercial </w:t>
      </w:r>
      <w:r w:rsidR="001F5D04" w:rsidRPr="00A36289">
        <w:rPr>
          <w:rFonts w:cs="Arial"/>
          <w:sz w:val="26"/>
          <w:szCs w:val="26"/>
          <w:lang w:val="es-ES"/>
        </w:rPr>
        <w:t>“</w:t>
      </w:r>
      <w:r w:rsidR="003D0506" w:rsidRPr="00A36289">
        <w:rPr>
          <w:rFonts w:cs="Arial"/>
          <w:sz w:val="26"/>
          <w:szCs w:val="26"/>
          <w:lang w:val="es-ES"/>
        </w:rPr>
        <w:t>Reforma 222</w:t>
      </w:r>
      <w:r w:rsidR="001F5D04" w:rsidRPr="00A36289">
        <w:rPr>
          <w:rFonts w:cs="Arial"/>
          <w:sz w:val="26"/>
          <w:szCs w:val="26"/>
          <w:lang w:val="es-ES"/>
        </w:rPr>
        <w:t xml:space="preserve">” </w:t>
      </w:r>
      <w:r w:rsidR="001F5D04">
        <w:rPr>
          <w:rFonts w:cs="Arial"/>
          <w:sz w:val="26"/>
          <w:szCs w:val="26"/>
          <w:lang w:val="es-ES"/>
        </w:rPr>
        <w:t>e</w:t>
      </w:r>
      <w:r w:rsidR="003D0506" w:rsidRPr="00AC6535">
        <w:rPr>
          <w:rFonts w:cs="Arial"/>
          <w:sz w:val="26"/>
          <w:szCs w:val="26"/>
          <w:lang w:val="es-ES"/>
        </w:rPr>
        <w:t>l causante de los posibles daños que han resentido las quejosas</w:t>
      </w:r>
      <w:r w:rsidR="003D0506" w:rsidRPr="003F6B95">
        <w:rPr>
          <w:rStyle w:val="Refdenotaalpie"/>
          <w:rFonts w:cs="Arial"/>
          <w:sz w:val="26"/>
          <w:szCs w:val="26"/>
          <w:lang w:val="es-ES"/>
        </w:rPr>
        <w:footnoteReference w:id="110"/>
      </w:r>
      <w:r w:rsidR="003D0506" w:rsidRPr="00AC6535">
        <w:rPr>
          <w:rFonts w:cs="Arial"/>
          <w:sz w:val="26"/>
          <w:szCs w:val="26"/>
          <w:lang w:val="es-ES"/>
        </w:rPr>
        <w:t>.</w:t>
      </w:r>
    </w:p>
    <w:p w14:paraId="4A6AB7FF" w14:textId="77777777" w:rsidR="003D0506" w:rsidRPr="003F6B95" w:rsidRDefault="003D0506" w:rsidP="001A476B">
      <w:pPr>
        <w:pStyle w:val="corte4fondo"/>
        <w:ind w:right="51" w:hanging="567"/>
        <w:rPr>
          <w:rFonts w:cs="Arial"/>
          <w:sz w:val="26"/>
          <w:szCs w:val="26"/>
        </w:rPr>
      </w:pPr>
    </w:p>
    <w:p w14:paraId="7B21913E" w14:textId="129F90CB" w:rsidR="003D0506" w:rsidRPr="00305B1A" w:rsidRDefault="003D0506" w:rsidP="001A476B">
      <w:pPr>
        <w:pStyle w:val="corte4fondo"/>
        <w:numPr>
          <w:ilvl w:val="0"/>
          <w:numId w:val="2"/>
        </w:numPr>
        <w:ind w:left="0" w:right="51" w:hanging="567"/>
        <w:rPr>
          <w:rFonts w:cs="Arial"/>
          <w:sz w:val="26"/>
          <w:szCs w:val="26"/>
        </w:rPr>
      </w:pPr>
      <w:r w:rsidRPr="003F6B95">
        <w:rPr>
          <w:rFonts w:cs="Arial"/>
          <w:sz w:val="26"/>
          <w:szCs w:val="26"/>
        </w:rPr>
        <w:t xml:space="preserve">A juicio de esta Primera Sala, el razonamiento contenido en el dictamen pericial propiamente no entraña una contradicción. Un análisis con perspectiva de género </w:t>
      </w:r>
      <w:r w:rsidRPr="00662C77">
        <w:rPr>
          <w:rFonts w:cs="Arial"/>
          <w:color w:val="000000" w:themeColor="text1"/>
          <w:sz w:val="26"/>
          <w:szCs w:val="26"/>
          <w:shd w:val="clear" w:color="auto" w:fill="FFFFFF"/>
        </w:rPr>
        <w:t>—</w:t>
      </w:r>
      <w:r>
        <w:rPr>
          <w:rFonts w:cs="Arial"/>
          <w:sz w:val="26"/>
          <w:szCs w:val="26"/>
        </w:rPr>
        <w:t>y la presunción del daño moral que se actualiza en el caso</w:t>
      </w:r>
      <w:r w:rsidRPr="00662C77">
        <w:rPr>
          <w:rFonts w:cs="Arial"/>
          <w:color w:val="000000" w:themeColor="text1"/>
          <w:sz w:val="26"/>
          <w:szCs w:val="26"/>
          <w:shd w:val="clear" w:color="auto" w:fill="FFFFFF"/>
        </w:rPr>
        <w:t>—</w:t>
      </w:r>
      <w:r>
        <w:rPr>
          <w:rFonts w:cs="Arial"/>
          <w:color w:val="000000" w:themeColor="text1"/>
          <w:sz w:val="26"/>
          <w:szCs w:val="26"/>
          <w:shd w:val="clear" w:color="auto" w:fill="FFFFFF"/>
        </w:rPr>
        <w:t xml:space="preserve"> </w:t>
      </w:r>
      <w:r w:rsidRPr="003F6B95">
        <w:rPr>
          <w:rFonts w:cs="Arial"/>
          <w:sz w:val="26"/>
          <w:szCs w:val="26"/>
        </w:rPr>
        <w:t>permite</w:t>
      </w:r>
      <w:r>
        <w:rPr>
          <w:rFonts w:cs="Arial"/>
          <w:sz w:val="26"/>
          <w:szCs w:val="26"/>
        </w:rPr>
        <w:t>n</w:t>
      </w:r>
      <w:r w:rsidRPr="003F6B95">
        <w:rPr>
          <w:rFonts w:cs="Arial"/>
          <w:sz w:val="26"/>
          <w:szCs w:val="26"/>
        </w:rPr>
        <w:t xml:space="preserve"> sostener que, aún frente a escenarios sociales adversos, las personas trans han logrado llevar una vida “socialmente funcional”</w:t>
      </w:r>
      <w:r>
        <w:rPr>
          <w:rFonts w:cs="Arial"/>
          <w:sz w:val="26"/>
          <w:szCs w:val="26"/>
        </w:rPr>
        <w:t xml:space="preserve">. Ello, </w:t>
      </w:r>
      <w:r w:rsidRPr="003F6B95">
        <w:rPr>
          <w:rFonts w:cs="Arial"/>
          <w:sz w:val="26"/>
          <w:szCs w:val="26"/>
        </w:rPr>
        <w:t xml:space="preserve">con la fundamental diferencia de que lo han tenido que hacer a un costo muy alto, que </w:t>
      </w:r>
      <w:r w:rsidRPr="008D494D">
        <w:rPr>
          <w:rFonts w:cs="Arial"/>
          <w:color w:val="000000" w:themeColor="text1"/>
          <w:sz w:val="26"/>
          <w:szCs w:val="26"/>
          <w:shd w:val="clear" w:color="auto" w:fill="FFFFFF"/>
        </w:rPr>
        <w:t>—</w:t>
      </w:r>
      <w:r w:rsidRPr="003F6B95">
        <w:rPr>
          <w:rFonts w:cs="Arial"/>
          <w:sz w:val="26"/>
          <w:szCs w:val="26"/>
        </w:rPr>
        <w:t>como lo refiere el propio dictamen pericial y la evidencia</w:t>
      </w:r>
      <w:r w:rsidR="00242A70">
        <w:rPr>
          <w:rStyle w:val="Refdenotaalpie"/>
          <w:rFonts w:cs="Arial"/>
          <w:sz w:val="26"/>
          <w:szCs w:val="26"/>
        </w:rPr>
        <w:footnoteReference w:id="111"/>
      </w:r>
      <w:r w:rsidRPr="008D494D">
        <w:rPr>
          <w:rFonts w:cs="Arial"/>
          <w:color w:val="000000" w:themeColor="text1"/>
          <w:sz w:val="26"/>
          <w:szCs w:val="26"/>
          <w:shd w:val="clear" w:color="auto" w:fill="FFFFFF"/>
        </w:rPr>
        <w:t>—</w:t>
      </w:r>
      <w:r w:rsidRPr="003F6B95">
        <w:rPr>
          <w:rFonts w:cs="Arial"/>
          <w:sz w:val="26"/>
          <w:szCs w:val="26"/>
        </w:rPr>
        <w:t xml:space="preserve">, </w:t>
      </w:r>
      <w:r w:rsidRPr="003F6B95">
        <w:rPr>
          <w:rFonts w:cs="Arial"/>
          <w:sz w:val="26"/>
          <w:szCs w:val="26"/>
        </w:rPr>
        <w:lastRenderedPageBreak/>
        <w:t>suele generar en ellas afectaciones emocionales y psicosociales que colocan en riesgo su integridad, participación y desarrollo en la sociedad</w:t>
      </w:r>
      <w:r w:rsidRPr="00305B1A">
        <w:rPr>
          <w:rFonts w:cs="Arial"/>
          <w:sz w:val="26"/>
          <w:szCs w:val="26"/>
        </w:rPr>
        <w:t xml:space="preserve">. </w:t>
      </w:r>
      <w:r w:rsidRPr="009C3374">
        <w:rPr>
          <w:rFonts w:cs="Arial"/>
          <w:sz w:val="26"/>
          <w:szCs w:val="26"/>
        </w:rPr>
        <w:t>En otras palabras, el contexto de violencia y discriminación al que suelen enfrentarse las personas trans las ha llevado a la necesidad de desarrollar un mayor umbral de tolerancia a este tipo de fenómenos que, aunque com</w:t>
      </w:r>
      <w:r>
        <w:rPr>
          <w:rFonts w:cs="Arial"/>
          <w:sz w:val="26"/>
          <w:szCs w:val="26"/>
        </w:rPr>
        <w:t>unes</w:t>
      </w:r>
      <w:r w:rsidRPr="009C3374">
        <w:rPr>
          <w:rFonts w:cs="Arial"/>
          <w:sz w:val="26"/>
          <w:szCs w:val="26"/>
        </w:rPr>
        <w:t>, no puede</w:t>
      </w:r>
      <w:r>
        <w:rPr>
          <w:rFonts w:cs="Arial"/>
          <w:sz w:val="26"/>
          <w:szCs w:val="26"/>
        </w:rPr>
        <w:t>n</w:t>
      </w:r>
      <w:r w:rsidRPr="009C3374">
        <w:rPr>
          <w:rFonts w:cs="Arial"/>
          <w:sz w:val="26"/>
          <w:szCs w:val="26"/>
        </w:rPr>
        <w:t xml:space="preserve"> reputarse como aceptable</w:t>
      </w:r>
      <w:r>
        <w:rPr>
          <w:rFonts w:cs="Arial"/>
          <w:sz w:val="26"/>
          <w:szCs w:val="26"/>
        </w:rPr>
        <w:t>s</w:t>
      </w:r>
      <w:r w:rsidRPr="00305B1A">
        <w:rPr>
          <w:rFonts w:cs="Arial"/>
          <w:sz w:val="26"/>
          <w:szCs w:val="26"/>
        </w:rPr>
        <w:t>.</w:t>
      </w:r>
    </w:p>
    <w:p w14:paraId="04D079EB" w14:textId="77777777" w:rsidR="00242A70" w:rsidRPr="003F6B95" w:rsidRDefault="00242A70" w:rsidP="001A476B">
      <w:pPr>
        <w:pStyle w:val="corte4fondo"/>
        <w:ind w:right="51" w:hanging="567"/>
        <w:rPr>
          <w:rFonts w:cs="Arial"/>
          <w:sz w:val="26"/>
          <w:szCs w:val="26"/>
        </w:rPr>
      </w:pPr>
    </w:p>
    <w:p w14:paraId="6AF45933" w14:textId="77777777" w:rsidR="00E1169A" w:rsidRPr="00DE55F5" w:rsidRDefault="003D0506" w:rsidP="001A476B">
      <w:pPr>
        <w:pStyle w:val="corte4fondo"/>
        <w:numPr>
          <w:ilvl w:val="0"/>
          <w:numId w:val="2"/>
        </w:numPr>
        <w:ind w:left="0" w:right="51" w:hanging="567"/>
        <w:rPr>
          <w:rFonts w:cs="Arial"/>
          <w:sz w:val="26"/>
          <w:szCs w:val="26"/>
          <w:lang w:val="es-ES"/>
        </w:rPr>
      </w:pPr>
      <w:r>
        <w:rPr>
          <w:rFonts w:cs="Arial"/>
          <w:sz w:val="26"/>
          <w:szCs w:val="26"/>
          <w:lang w:val="es-ES"/>
        </w:rPr>
        <w:t xml:space="preserve">Por lo anterior, </w:t>
      </w:r>
      <w:r w:rsidR="00FC7ECE">
        <w:rPr>
          <w:rFonts w:cs="Arial"/>
          <w:sz w:val="26"/>
          <w:szCs w:val="26"/>
          <w:lang w:val="es-ES"/>
        </w:rPr>
        <w:t xml:space="preserve">consideramos </w:t>
      </w:r>
      <w:r>
        <w:rPr>
          <w:rFonts w:cs="Arial"/>
          <w:sz w:val="26"/>
          <w:szCs w:val="26"/>
          <w:lang w:val="es-ES"/>
        </w:rPr>
        <w:t>que, s</w:t>
      </w:r>
      <w:r w:rsidRPr="003F6B95">
        <w:rPr>
          <w:rFonts w:cs="Arial"/>
          <w:sz w:val="26"/>
          <w:szCs w:val="26"/>
          <w:lang w:val="es-ES"/>
        </w:rPr>
        <w:t>i bien el contexto social de discriminación que enfrentan las personas trans ha sido condición para la generación de las afectaciones psíquicas y emocionales que las quejosas han experimentado a lo largo del tiempo,</w:t>
      </w:r>
      <w:r>
        <w:rPr>
          <w:rFonts w:cs="Arial"/>
          <w:sz w:val="26"/>
          <w:szCs w:val="26"/>
          <w:lang w:val="es-ES"/>
        </w:rPr>
        <w:t xml:space="preserve"> se debe estimar </w:t>
      </w:r>
      <w:r w:rsidRPr="003F6B95">
        <w:rPr>
          <w:rFonts w:cs="Arial"/>
          <w:sz w:val="26"/>
          <w:szCs w:val="26"/>
          <w:lang w:val="es-ES"/>
        </w:rPr>
        <w:t>que la conducta de las demandadas</w:t>
      </w:r>
      <w:r>
        <w:rPr>
          <w:rFonts w:cs="Arial"/>
          <w:sz w:val="26"/>
          <w:szCs w:val="26"/>
          <w:lang w:val="es-ES"/>
        </w:rPr>
        <w:t xml:space="preserve"> </w:t>
      </w:r>
      <w:r w:rsidRPr="008D494D">
        <w:rPr>
          <w:rFonts w:cs="Arial"/>
          <w:color w:val="000000" w:themeColor="text1"/>
          <w:sz w:val="26"/>
          <w:szCs w:val="26"/>
          <w:shd w:val="clear" w:color="auto" w:fill="FFFFFF"/>
        </w:rPr>
        <w:t>—</w:t>
      </w:r>
      <w:r>
        <w:rPr>
          <w:rFonts w:cs="Arial"/>
          <w:color w:val="000000" w:themeColor="text1"/>
          <w:sz w:val="26"/>
          <w:szCs w:val="26"/>
          <w:shd w:val="clear" w:color="auto" w:fill="FFFFFF"/>
        </w:rPr>
        <w:t>acreditados como actos discriminatorios y hechos ilícitos</w:t>
      </w:r>
      <w:r w:rsidRPr="008D494D">
        <w:rPr>
          <w:rFonts w:cs="Arial"/>
          <w:color w:val="000000" w:themeColor="text1"/>
          <w:sz w:val="26"/>
          <w:szCs w:val="26"/>
          <w:shd w:val="clear" w:color="auto" w:fill="FFFFFF"/>
        </w:rPr>
        <w:t>—</w:t>
      </w:r>
      <w:r>
        <w:rPr>
          <w:rFonts w:cs="Arial"/>
          <w:color w:val="000000" w:themeColor="text1"/>
          <w:sz w:val="26"/>
          <w:szCs w:val="26"/>
          <w:shd w:val="clear" w:color="auto" w:fill="FFFFFF"/>
        </w:rPr>
        <w:t xml:space="preserve"> </w:t>
      </w:r>
      <w:r w:rsidRPr="003F6B95">
        <w:rPr>
          <w:rFonts w:cs="Arial"/>
          <w:sz w:val="26"/>
          <w:szCs w:val="26"/>
          <w:lang w:val="es-ES"/>
        </w:rPr>
        <w:t>formó parte de esas condiciones y</w:t>
      </w:r>
      <w:r>
        <w:rPr>
          <w:rFonts w:cs="Arial"/>
          <w:sz w:val="26"/>
          <w:szCs w:val="26"/>
          <w:lang w:val="es-ES"/>
        </w:rPr>
        <w:t>, sobre todo, que</w:t>
      </w:r>
      <w:r w:rsidRPr="003F6B95">
        <w:rPr>
          <w:rFonts w:cs="Arial"/>
          <w:sz w:val="26"/>
          <w:szCs w:val="26"/>
          <w:lang w:val="es-ES"/>
        </w:rPr>
        <w:t xml:space="preserve"> se tradujo en una causa concreta de afectación que las quejosas experimentaron en un momento y lugar determinado</w:t>
      </w:r>
      <w:r>
        <w:rPr>
          <w:rFonts w:cs="Arial"/>
          <w:sz w:val="26"/>
          <w:szCs w:val="26"/>
          <w:lang w:val="es-ES"/>
        </w:rPr>
        <w:t>, afectación que merece ser indemnizada</w:t>
      </w:r>
      <w:r w:rsidRPr="003F6B95">
        <w:rPr>
          <w:rFonts w:cs="Arial"/>
          <w:sz w:val="26"/>
          <w:szCs w:val="26"/>
          <w:lang w:val="es-ES"/>
        </w:rPr>
        <w:t xml:space="preserve">. </w:t>
      </w:r>
      <w:r w:rsidRPr="00E1169A">
        <w:rPr>
          <w:rFonts w:cs="Arial"/>
          <w:sz w:val="26"/>
          <w:szCs w:val="26"/>
          <w:lang w:val="es-ES"/>
        </w:rPr>
        <w:t>En ese sentido, esta Sala considera que la existencia de un contexto social adverso para el ejercicio de la identidad y expresión de género de las personas trans no puede aprovecharse para desconocer su derecho de ser protegidas ante actos de discriminación y de acceder a una re</w:t>
      </w:r>
      <w:r w:rsidRPr="00DE55F5">
        <w:rPr>
          <w:rFonts w:cs="Arial"/>
          <w:sz w:val="26"/>
          <w:szCs w:val="26"/>
          <w:lang w:val="es-ES"/>
        </w:rPr>
        <w:t xml:space="preserve">paración adecuada. </w:t>
      </w:r>
    </w:p>
    <w:p w14:paraId="00BEBB10" w14:textId="77777777" w:rsidR="00E1169A" w:rsidRPr="00DE55F5" w:rsidRDefault="00E1169A" w:rsidP="001A476B">
      <w:pPr>
        <w:pStyle w:val="corte4fondo"/>
        <w:ind w:right="51" w:hanging="567"/>
        <w:rPr>
          <w:rFonts w:cs="Arial"/>
          <w:sz w:val="26"/>
          <w:szCs w:val="26"/>
          <w:lang w:val="es-ES"/>
        </w:rPr>
      </w:pPr>
    </w:p>
    <w:p w14:paraId="301B0345" w14:textId="72DDC733" w:rsidR="00E1169A" w:rsidRPr="009C3374" w:rsidRDefault="0054136B" w:rsidP="001A476B">
      <w:pPr>
        <w:pStyle w:val="corte4fondo"/>
        <w:numPr>
          <w:ilvl w:val="0"/>
          <w:numId w:val="2"/>
        </w:numPr>
        <w:ind w:left="0" w:right="51" w:hanging="567"/>
        <w:rPr>
          <w:rFonts w:cs="Arial"/>
          <w:sz w:val="26"/>
          <w:szCs w:val="26"/>
        </w:rPr>
      </w:pPr>
      <w:r w:rsidRPr="00DE55F5">
        <w:rPr>
          <w:rFonts w:cs="Arial"/>
          <w:sz w:val="26"/>
          <w:szCs w:val="26"/>
          <w:lang w:val="es-ES"/>
        </w:rPr>
        <w:t>En</w:t>
      </w:r>
      <w:r w:rsidR="00953F0D" w:rsidRPr="00DE55F5">
        <w:rPr>
          <w:rFonts w:cs="Arial"/>
          <w:sz w:val="26"/>
          <w:szCs w:val="26"/>
          <w:lang w:val="es-ES"/>
        </w:rPr>
        <w:t xml:space="preserve"> concordancia con lo anterior</w:t>
      </w:r>
      <w:r w:rsidR="00E1169A" w:rsidRPr="00DE55F5">
        <w:rPr>
          <w:rFonts w:cs="Arial"/>
          <w:sz w:val="26"/>
          <w:szCs w:val="26"/>
          <w:lang w:val="es-ES"/>
        </w:rPr>
        <w:t xml:space="preserve">, </w:t>
      </w:r>
      <w:r w:rsidR="00A71C91">
        <w:rPr>
          <w:rFonts w:cs="Arial"/>
          <w:sz w:val="26"/>
          <w:szCs w:val="26"/>
          <w:lang w:val="es-ES"/>
        </w:rPr>
        <w:t>estimamos</w:t>
      </w:r>
      <w:r w:rsidR="00F73E57" w:rsidRPr="00DE55F5">
        <w:rPr>
          <w:rFonts w:cs="Arial"/>
          <w:sz w:val="26"/>
          <w:szCs w:val="26"/>
          <w:lang w:val="es-ES"/>
        </w:rPr>
        <w:t xml:space="preserve"> que</w:t>
      </w:r>
      <w:r w:rsidR="00466F00" w:rsidRPr="00DE55F5">
        <w:rPr>
          <w:rFonts w:cs="Arial"/>
          <w:sz w:val="26"/>
          <w:szCs w:val="26"/>
          <w:lang w:val="es-ES"/>
        </w:rPr>
        <w:t>, como sostuvieron las quejosas,</w:t>
      </w:r>
      <w:r w:rsidR="00F73E57" w:rsidRPr="00DE55F5">
        <w:rPr>
          <w:rFonts w:cs="Arial"/>
          <w:sz w:val="26"/>
          <w:szCs w:val="26"/>
          <w:lang w:val="es-ES"/>
        </w:rPr>
        <w:t xml:space="preserve"> la sala </w:t>
      </w:r>
      <w:r w:rsidR="00A71C91">
        <w:rPr>
          <w:rFonts w:cs="Arial"/>
          <w:sz w:val="26"/>
          <w:szCs w:val="26"/>
          <w:lang w:val="es-ES"/>
        </w:rPr>
        <w:t xml:space="preserve">responsable </w:t>
      </w:r>
      <w:r w:rsidR="00953F0D" w:rsidRPr="00DE55F5">
        <w:rPr>
          <w:rFonts w:cs="Arial"/>
          <w:sz w:val="26"/>
          <w:szCs w:val="26"/>
          <w:lang w:val="es-ES"/>
        </w:rPr>
        <w:t>dejó de atender</w:t>
      </w:r>
      <w:r w:rsidR="00F73E57" w:rsidRPr="00DE55F5">
        <w:rPr>
          <w:rFonts w:cs="Arial"/>
          <w:sz w:val="26"/>
          <w:szCs w:val="26"/>
          <w:lang w:val="es-ES"/>
        </w:rPr>
        <w:t xml:space="preserve"> diversas pruebas </w:t>
      </w:r>
      <w:r w:rsidR="00F73E57" w:rsidRPr="00DE55F5">
        <w:rPr>
          <w:rFonts w:cs="Arial"/>
          <w:sz w:val="26"/>
          <w:szCs w:val="26"/>
          <w:lang w:val="es-ES"/>
        </w:rPr>
        <w:lastRenderedPageBreak/>
        <w:t xml:space="preserve">desahogadas </w:t>
      </w:r>
      <w:r w:rsidR="00466F00" w:rsidRPr="00DE55F5">
        <w:rPr>
          <w:rFonts w:cs="Arial"/>
          <w:sz w:val="26"/>
          <w:szCs w:val="26"/>
          <w:lang w:val="es-ES"/>
        </w:rPr>
        <w:t>en juicio</w:t>
      </w:r>
      <w:r w:rsidR="00F73E57" w:rsidRPr="00DE55F5">
        <w:rPr>
          <w:rFonts w:cs="Arial"/>
          <w:sz w:val="26"/>
          <w:szCs w:val="26"/>
          <w:lang w:val="es-ES"/>
        </w:rPr>
        <w:t xml:space="preserve">, </w:t>
      </w:r>
      <w:r w:rsidRPr="00DE55F5">
        <w:rPr>
          <w:rFonts w:cs="Arial"/>
          <w:sz w:val="26"/>
          <w:szCs w:val="26"/>
          <w:lang w:val="es-ES"/>
        </w:rPr>
        <w:t xml:space="preserve">que </w:t>
      </w:r>
      <w:r w:rsidR="007506A2" w:rsidRPr="00DE55F5">
        <w:rPr>
          <w:rFonts w:cs="Arial"/>
          <w:sz w:val="26"/>
          <w:szCs w:val="26"/>
          <w:lang w:val="es-ES"/>
        </w:rPr>
        <w:t>hubieran permitido</w:t>
      </w:r>
      <w:r w:rsidR="00582DA8" w:rsidRPr="00DE55F5">
        <w:rPr>
          <w:rFonts w:cs="Arial"/>
          <w:sz w:val="26"/>
          <w:szCs w:val="26"/>
          <w:lang w:val="es-ES"/>
        </w:rPr>
        <w:t xml:space="preserve"> a</w:t>
      </w:r>
      <w:r w:rsidR="00F73E57" w:rsidRPr="00DE55F5">
        <w:rPr>
          <w:rFonts w:cs="Arial"/>
          <w:sz w:val="26"/>
          <w:szCs w:val="26"/>
          <w:lang w:val="es-ES"/>
        </w:rPr>
        <w:t xml:space="preserve">l tribunal de apelación </w:t>
      </w:r>
      <w:r w:rsidR="00582DA8" w:rsidRPr="00DE55F5">
        <w:rPr>
          <w:rFonts w:cs="Arial"/>
          <w:sz w:val="26"/>
          <w:szCs w:val="26"/>
          <w:lang w:val="es-ES"/>
        </w:rPr>
        <w:t xml:space="preserve">no sólo confirmar la existencia del daño, sino también dimensionarlo. </w:t>
      </w:r>
      <w:r w:rsidR="00071CD0" w:rsidRPr="00DE55F5">
        <w:rPr>
          <w:rFonts w:cs="Arial"/>
          <w:sz w:val="26"/>
          <w:szCs w:val="26"/>
          <w:lang w:val="es-ES"/>
        </w:rPr>
        <w:t>Por ejemplo,</w:t>
      </w:r>
      <w:r w:rsidR="00E1169A" w:rsidRPr="00DE55F5">
        <w:rPr>
          <w:rFonts w:cs="Arial"/>
          <w:sz w:val="26"/>
          <w:szCs w:val="26"/>
        </w:rPr>
        <w:t xml:space="preserve"> </w:t>
      </w:r>
      <w:r w:rsidR="00071CD0" w:rsidRPr="00DE55F5">
        <w:rPr>
          <w:rFonts w:cs="Arial"/>
          <w:sz w:val="26"/>
          <w:szCs w:val="26"/>
        </w:rPr>
        <w:t xml:space="preserve">el </w:t>
      </w:r>
      <w:r w:rsidR="00E1169A" w:rsidRPr="00DE55F5">
        <w:rPr>
          <w:rFonts w:cs="Arial"/>
          <w:sz w:val="26"/>
          <w:szCs w:val="26"/>
        </w:rPr>
        <w:t xml:space="preserve">señor </w:t>
      </w:r>
      <w:r w:rsidR="00E1169A" w:rsidRPr="00DE55F5">
        <w:rPr>
          <w:rFonts w:cs="Arial"/>
          <w:color w:val="FF0000"/>
          <w:sz w:val="26"/>
          <w:szCs w:val="26"/>
          <w:lang w:val="es-ES"/>
        </w:rPr>
        <w:t>AMM</w:t>
      </w:r>
      <w:r w:rsidR="00071CD0" w:rsidRPr="00DE55F5">
        <w:rPr>
          <w:rFonts w:cs="Arial"/>
          <w:color w:val="FF0000"/>
          <w:sz w:val="26"/>
          <w:szCs w:val="26"/>
          <w:lang w:val="es-ES"/>
        </w:rPr>
        <w:t xml:space="preserve"> </w:t>
      </w:r>
      <w:r w:rsidR="00071CD0" w:rsidRPr="00DE55F5">
        <w:rPr>
          <w:rFonts w:cs="Arial"/>
          <w:color w:val="000000" w:themeColor="text1"/>
          <w:sz w:val="26"/>
          <w:szCs w:val="26"/>
          <w:lang w:val="es-ES"/>
        </w:rPr>
        <w:t xml:space="preserve">recontó en su testimonio </w:t>
      </w:r>
      <w:r w:rsidR="00E1169A" w:rsidRPr="00DE55F5">
        <w:rPr>
          <w:rFonts w:cs="Arial"/>
          <w:color w:val="000000" w:themeColor="text1"/>
          <w:sz w:val="26"/>
          <w:szCs w:val="26"/>
          <w:lang w:val="es-ES"/>
        </w:rPr>
        <w:t>que, el d</w:t>
      </w:r>
      <w:r w:rsidR="00E1169A">
        <w:rPr>
          <w:rFonts w:cs="Arial"/>
          <w:color w:val="000000" w:themeColor="text1"/>
          <w:sz w:val="26"/>
          <w:szCs w:val="26"/>
          <w:lang w:val="es-ES"/>
        </w:rPr>
        <w:t>ía de los hechos, las quejosas acudieron a él en</w:t>
      </w:r>
      <w:r w:rsidR="00E1169A" w:rsidRPr="00B1694B">
        <w:rPr>
          <w:rFonts w:cs="Arial"/>
          <w:color w:val="000000" w:themeColor="text1"/>
          <w:sz w:val="26"/>
          <w:szCs w:val="26"/>
          <w:lang w:val="es-ES"/>
        </w:rPr>
        <w:t xml:space="preserve"> las instalaciones de</w:t>
      </w:r>
      <w:r w:rsidR="00E1169A">
        <w:rPr>
          <w:rFonts w:cs="Arial"/>
          <w:color w:val="000000" w:themeColor="text1"/>
          <w:sz w:val="26"/>
          <w:szCs w:val="26"/>
          <w:lang w:val="es-ES"/>
        </w:rPr>
        <w:t xml:space="preserve"> </w:t>
      </w:r>
      <w:r w:rsidR="00E1169A" w:rsidRPr="00A36289">
        <w:rPr>
          <w:rFonts w:cs="Arial"/>
          <w:sz w:val="26"/>
          <w:szCs w:val="26"/>
          <w:lang w:val="es-ES"/>
        </w:rPr>
        <w:t>“AHF México</w:t>
      </w:r>
      <w:r w:rsidR="00E1169A">
        <w:rPr>
          <w:rFonts w:cs="Arial"/>
          <w:color w:val="000000" w:themeColor="text1"/>
          <w:sz w:val="26"/>
          <w:szCs w:val="26"/>
          <w:lang w:val="es-ES"/>
        </w:rPr>
        <w:t>”,</w:t>
      </w:r>
      <w:r w:rsidR="00E1169A" w:rsidRPr="00B1694B">
        <w:rPr>
          <w:rFonts w:cs="Arial"/>
          <w:color w:val="000000" w:themeColor="text1"/>
          <w:sz w:val="26"/>
          <w:szCs w:val="26"/>
          <w:lang w:val="es-ES"/>
        </w:rPr>
        <w:t xml:space="preserve"> una asociación civil</w:t>
      </w:r>
      <w:r w:rsidR="00E1169A">
        <w:rPr>
          <w:rFonts w:cs="Arial"/>
          <w:color w:val="000000" w:themeColor="text1"/>
          <w:sz w:val="26"/>
          <w:szCs w:val="26"/>
          <w:lang w:val="es-ES"/>
        </w:rPr>
        <w:t xml:space="preserve"> dedicada</w:t>
      </w:r>
      <w:r w:rsidR="00E1169A" w:rsidRPr="00B1694B">
        <w:rPr>
          <w:rFonts w:cs="Arial"/>
          <w:color w:val="000000" w:themeColor="text1"/>
          <w:sz w:val="26"/>
          <w:szCs w:val="26"/>
          <w:lang w:val="es-ES"/>
        </w:rPr>
        <w:t xml:space="preserve"> a la defensa de los derechos humanos y a la diversidad </w:t>
      </w:r>
      <w:r w:rsidR="00E1169A">
        <w:rPr>
          <w:rFonts w:cs="Arial"/>
          <w:color w:val="000000" w:themeColor="text1"/>
          <w:sz w:val="26"/>
          <w:szCs w:val="26"/>
          <w:lang w:val="es-ES"/>
        </w:rPr>
        <w:t xml:space="preserve">sexual, para solicitar </w:t>
      </w:r>
      <w:r w:rsidR="00E1169A" w:rsidRPr="00B1694B">
        <w:rPr>
          <w:rFonts w:cs="Arial"/>
          <w:color w:val="000000" w:themeColor="text1"/>
          <w:sz w:val="26"/>
          <w:szCs w:val="26"/>
          <w:lang w:val="es-ES"/>
        </w:rPr>
        <w:t>apoyo personal</w:t>
      </w:r>
      <w:r w:rsidR="00E1169A">
        <w:rPr>
          <w:rFonts w:cs="Arial"/>
          <w:color w:val="000000" w:themeColor="text1"/>
          <w:sz w:val="26"/>
          <w:szCs w:val="26"/>
          <w:lang w:val="es-ES"/>
        </w:rPr>
        <w:t xml:space="preserve"> del testigo. El testigo enfatizó en </w:t>
      </w:r>
      <w:r w:rsidR="00E1169A" w:rsidRPr="00B1694B">
        <w:rPr>
          <w:rFonts w:cs="Arial"/>
          <w:color w:val="000000" w:themeColor="text1"/>
          <w:sz w:val="26"/>
          <w:szCs w:val="26"/>
          <w:lang w:val="es-ES"/>
        </w:rPr>
        <w:t>que “</w:t>
      </w:r>
      <w:r w:rsidR="00E1169A" w:rsidRPr="00B1694B">
        <w:rPr>
          <w:rFonts w:cs="Arial"/>
          <w:color w:val="FF0000"/>
          <w:sz w:val="26"/>
          <w:szCs w:val="26"/>
          <w:lang w:val="es-ES"/>
        </w:rPr>
        <w:t>L y J</w:t>
      </w:r>
      <w:r w:rsidR="00E1169A" w:rsidRPr="00B1694B">
        <w:rPr>
          <w:rFonts w:cs="Arial"/>
          <w:color w:val="000000" w:themeColor="text1"/>
          <w:sz w:val="26"/>
          <w:szCs w:val="26"/>
          <w:lang w:val="es-ES"/>
        </w:rPr>
        <w:t xml:space="preserve">, mostraban ansiedad, angustia, miedo, inseguridad por lo acontecido en la plaza de </w:t>
      </w:r>
      <w:r w:rsidR="00E1169A" w:rsidRPr="00A36289">
        <w:rPr>
          <w:rFonts w:cs="Arial"/>
          <w:sz w:val="26"/>
          <w:szCs w:val="26"/>
          <w:lang w:val="es-ES"/>
        </w:rPr>
        <w:t xml:space="preserve">Reforma 222”, </w:t>
      </w:r>
      <w:r w:rsidR="00E1169A" w:rsidRPr="00B1694B">
        <w:rPr>
          <w:rFonts w:cs="Arial"/>
          <w:color w:val="000000" w:themeColor="text1"/>
          <w:sz w:val="26"/>
          <w:szCs w:val="26"/>
          <w:lang w:val="es-ES"/>
        </w:rPr>
        <w:t>y que su labor tal día “fue brindar primeros auxilios psicológicos, a fin de disminuir sus emociones y sentimientos negativos”</w:t>
      </w:r>
      <w:r w:rsidR="00E1169A" w:rsidRPr="003F6B95">
        <w:rPr>
          <w:rStyle w:val="Refdenotaalpie"/>
          <w:rFonts w:cs="Arial"/>
          <w:sz w:val="26"/>
          <w:szCs w:val="26"/>
          <w:lang w:val="es-ES"/>
        </w:rPr>
        <w:footnoteReference w:id="112"/>
      </w:r>
      <w:r w:rsidR="00E1169A" w:rsidRPr="00B1694B">
        <w:rPr>
          <w:rFonts w:cs="Arial"/>
          <w:sz w:val="26"/>
          <w:szCs w:val="26"/>
          <w:lang w:val="es-ES"/>
        </w:rPr>
        <w:t>.</w:t>
      </w:r>
    </w:p>
    <w:p w14:paraId="17593939" w14:textId="77777777" w:rsidR="00E1169A" w:rsidRPr="009C3374" w:rsidRDefault="00E1169A" w:rsidP="001A476B">
      <w:pPr>
        <w:pStyle w:val="corte4fondo"/>
        <w:ind w:right="51" w:hanging="567"/>
        <w:rPr>
          <w:rFonts w:cs="Arial"/>
          <w:sz w:val="26"/>
          <w:szCs w:val="26"/>
          <w:lang w:val="es-ES"/>
        </w:rPr>
      </w:pPr>
    </w:p>
    <w:p w14:paraId="54F505CD" w14:textId="57B84020" w:rsidR="00E1169A" w:rsidRPr="00F41C89" w:rsidRDefault="00E1169A" w:rsidP="001A476B">
      <w:pPr>
        <w:pStyle w:val="corte4fondo"/>
        <w:numPr>
          <w:ilvl w:val="0"/>
          <w:numId w:val="2"/>
        </w:numPr>
        <w:ind w:left="0" w:right="51" w:hanging="567"/>
        <w:rPr>
          <w:rFonts w:cs="Arial"/>
          <w:b/>
          <w:bCs/>
          <w:sz w:val="26"/>
          <w:szCs w:val="26"/>
        </w:rPr>
      </w:pPr>
      <w:r>
        <w:rPr>
          <w:rFonts w:cs="Arial"/>
          <w:sz w:val="26"/>
          <w:szCs w:val="26"/>
        </w:rPr>
        <w:t>Además</w:t>
      </w:r>
      <w:r w:rsidRPr="00773889">
        <w:rPr>
          <w:rFonts w:cs="Arial"/>
          <w:sz w:val="26"/>
          <w:szCs w:val="26"/>
        </w:rPr>
        <w:t xml:space="preserve">, </w:t>
      </w:r>
      <w:r w:rsidR="00993E6C">
        <w:rPr>
          <w:rFonts w:cs="Arial"/>
          <w:sz w:val="26"/>
          <w:szCs w:val="26"/>
        </w:rPr>
        <w:t xml:space="preserve">la sala no atendió a que, </w:t>
      </w:r>
      <w:r w:rsidRPr="00773889">
        <w:rPr>
          <w:rFonts w:cs="Arial"/>
          <w:sz w:val="26"/>
          <w:szCs w:val="26"/>
        </w:rPr>
        <w:t xml:space="preserve">en el video </w:t>
      </w:r>
      <w:r>
        <w:rPr>
          <w:rFonts w:cs="Arial"/>
          <w:sz w:val="26"/>
          <w:szCs w:val="26"/>
        </w:rPr>
        <w:t xml:space="preserve">1 </w:t>
      </w:r>
      <w:r w:rsidRPr="00773889">
        <w:rPr>
          <w:rFonts w:cs="Arial"/>
          <w:sz w:val="26"/>
          <w:szCs w:val="26"/>
        </w:rPr>
        <w:t xml:space="preserve">transcrito en el apartado previo, se advierte como la señora </w:t>
      </w:r>
      <w:r w:rsidRPr="00773889">
        <w:rPr>
          <w:rFonts w:cs="Arial"/>
          <w:color w:val="FF0000"/>
          <w:sz w:val="26"/>
          <w:szCs w:val="26"/>
        </w:rPr>
        <w:t xml:space="preserve">DF </w:t>
      </w:r>
      <w:r>
        <w:rPr>
          <w:rFonts w:cs="Arial"/>
          <w:sz w:val="26"/>
          <w:szCs w:val="26"/>
        </w:rPr>
        <w:t>resintió</w:t>
      </w:r>
      <w:r w:rsidRPr="00773889">
        <w:rPr>
          <w:rFonts w:cs="Arial"/>
          <w:sz w:val="26"/>
          <w:szCs w:val="26"/>
        </w:rPr>
        <w:t xml:space="preserve"> el actuar del personal del centro comercial en los sanitarios como un acto de “amedrentación”.</w:t>
      </w:r>
      <w:r>
        <w:rPr>
          <w:rFonts w:cs="Arial"/>
          <w:sz w:val="26"/>
          <w:szCs w:val="26"/>
        </w:rPr>
        <w:t xml:space="preserve"> En el video 3, en el que las señoras recontaron los hechos una vez que se retiraron del centro comercial, la señora </w:t>
      </w:r>
      <w:r w:rsidRPr="00773889">
        <w:rPr>
          <w:rFonts w:cs="Arial"/>
          <w:color w:val="FF0000"/>
          <w:sz w:val="26"/>
          <w:szCs w:val="26"/>
        </w:rPr>
        <w:t xml:space="preserve">DF </w:t>
      </w:r>
      <w:r w:rsidRPr="00794EA4">
        <w:rPr>
          <w:rFonts w:cs="Arial"/>
          <w:sz w:val="26"/>
          <w:szCs w:val="26"/>
        </w:rPr>
        <w:t xml:space="preserve">también señaló </w:t>
      </w:r>
      <w:r>
        <w:rPr>
          <w:rFonts w:cs="Arial"/>
          <w:sz w:val="26"/>
          <w:szCs w:val="26"/>
        </w:rPr>
        <w:t xml:space="preserve">que no tendrían por qué haber pasado esos momentos, los cuales en el contexto del día se agravaban mucho, por lo que </w:t>
      </w:r>
      <w:r w:rsidRPr="00794EA4">
        <w:rPr>
          <w:rFonts w:cs="Arial"/>
          <w:sz w:val="26"/>
          <w:szCs w:val="26"/>
        </w:rPr>
        <w:t>se sentía “humillada” y “expuesta a las amedrentaciones” por los hechos ocurridos en el centro comercial.</w:t>
      </w:r>
      <w:r>
        <w:rPr>
          <w:rFonts w:cs="Arial"/>
          <w:sz w:val="26"/>
          <w:szCs w:val="26"/>
        </w:rPr>
        <w:t xml:space="preserve"> Finalmente, en el video 4 la señora </w:t>
      </w:r>
      <w:r w:rsidRPr="00773889">
        <w:rPr>
          <w:rFonts w:cs="Arial"/>
          <w:color w:val="FF0000"/>
          <w:sz w:val="26"/>
          <w:szCs w:val="26"/>
        </w:rPr>
        <w:t xml:space="preserve">DF </w:t>
      </w:r>
      <w:r>
        <w:rPr>
          <w:rFonts w:cs="Arial"/>
          <w:sz w:val="26"/>
          <w:szCs w:val="26"/>
        </w:rPr>
        <w:t>indicó que “no se valía” lo que habían vivido las mujeres, y que sentía la necesidad de buscar justicia, porque eso no podía pasarles a ellas ni a ninguna compañera.</w:t>
      </w:r>
    </w:p>
    <w:p w14:paraId="56EC739C" w14:textId="77777777" w:rsidR="00E1169A" w:rsidRPr="0044214E" w:rsidRDefault="00E1169A" w:rsidP="001A476B">
      <w:pPr>
        <w:pStyle w:val="corte4fondo"/>
        <w:ind w:right="51" w:hanging="567"/>
        <w:rPr>
          <w:rFonts w:cs="Arial"/>
          <w:sz w:val="26"/>
          <w:szCs w:val="26"/>
        </w:rPr>
      </w:pPr>
    </w:p>
    <w:p w14:paraId="481BF9A5" w14:textId="63D9E17C" w:rsidR="00E1169A" w:rsidRDefault="00102CD8" w:rsidP="001A476B">
      <w:pPr>
        <w:pStyle w:val="corte4fondo"/>
        <w:numPr>
          <w:ilvl w:val="0"/>
          <w:numId w:val="2"/>
        </w:numPr>
        <w:ind w:left="0" w:right="51" w:hanging="567"/>
        <w:rPr>
          <w:rFonts w:cs="Arial"/>
          <w:sz w:val="26"/>
          <w:szCs w:val="26"/>
          <w:lang w:val="es-MX"/>
        </w:rPr>
      </w:pPr>
      <w:r>
        <w:rPr>
          <w:rFonts w:cs="Arial"/>
          <w:sz w:val="26"/>
          <w:szCs w:val="26"/>
        </w:rPr>
        <w:t>Por su parte</w:t>
      </w:r>
      <w:r w:rsidR="00E1169A" w:rsidRPr="00F41C89">
        <w:rPr>
          <w:rFonts w:cs="Arial"/>
          <w:sz w:val="26"/>
          <w:szCs w:val="26"/>
        </w:rPr>
        <w:t xml:space="preserve">, </w:t>
      </w:r>
      <w:r w:rsidR="00531431">
        <w:rPr>
          <w:rFonts w:cs="Arial"/>
          <w:sz w:val="26"/>
          <w:szCs w:val="26"/>
        </w:rPr>
        <w:t xml:space="preserve">estimamos </w:t>
      </w:r>
      <w:r w:rsidR="006F65A3">
        <w:rPr>
          <w:rFonts w:cs="Arial"/>
          <w:sz w:val="26"/>
          <w:szCs w:val="26"/>
        </w:rPr>
        <w:t xml:space="preserve">que la sala debió considerar lo </w:t>
      </w:r>
      <w:r w:rsidR="003248BA">
        <w:rPr>
          <w:rFonts w:cs="Arial"/>
          <w:sz w:val="26"/>
          <w:szCs w:val="26"/>
        </w:rPr>
        <w:t>constatado</w:t>
      </w:r>
      <w:r w:rsidR="006F65A3">
        <w:rPr>
          <w:rFonts w:cs="Arial"/>
          <w:sz w:val="26"/>
          <w:szCs w:val="26"/>
        </w:rPr>
        <w:t xml:space="preserve"> por </w:t>
      </w:r>
      <w:r w:rsidR="00E1169A" w:rsidRPr="00F41C89">
        <w:rPr>
          <w:rFonts w:cs="Arial"/>
          <w:sz w:val="26"/>
          <w:szCs w:val="26"/>
        </w:rPr>
        <w:t xml:space="preserve">la psicóloga </w:t>
      </w:r>
      <w:r w:rsidR="00E1169A" w:rsidRPr="009467DB">
        <w:rPr>
          <w:rFonts w:cs="Arial"/>
          <w:sz w:val="26"/>
          <w:szCs w:val="26"/>
        </w:rPr>
        <w:t>Eva Alcántara Zavala</w:t>
      </w:r>
      <w:r w:rsidR="006F65A3" w:rsidRPr="009467DB">
        <w:rPr>
          <w:rFonts w:cs="Arial"/>
          <w:sz w:val="26"/>
          <w:szCs w:val="26"/>
        </w:rPr>
        <w:t xml:space="preserve"> </w:t>
      </w:r>
      <w:r w:rsidR="006F65A3" w:rsidRPr="006F65A3">
        <w:rPr>
          <w:rFonts w:cs="Arial"/>
          <w:color w:val="000000" w:themeColor="text1"/>
          <w:sz w:val="26"/>
          <w:szCs w:val="26"/>
        </w:rPr>
        <w:t>en el dictamen pericial</w:t>
      </w:r>
      <w:r w:rsidR="00E1169A" w:rsidRPr="006F65A3">
        <w:rPr>
          <w:rFonts w:cs="Arial"/>
          <w:color w:val="000000" w:themeColor="text1"/>
          <w:sz w:val="26"/>
          <w:szCs w:val="26"/>
        </w:rPr>
        <w:t xml:space="preserve"> </w:t>
      </w:r>
      <w:r w:rsidR="006F65A3" w:rsidRPr="006F65A3">
        <w:rPr>
          <w:rFonts w:cs="Arial"/>
          <w:color w:val="000000" w:themeColor="text1"/>
          <w:sz w:val="26"/>
          <w:szCs w:val="26"/>
        </w:rPr>
        <w:t xml:space="preserve">de </w:t>
      </w:r>
      <w:r w:rsidR="00E1169A" w:rsidRPr="006F65A3">
        <w:rPr>
          <w:rFonts w:cs="Arial"/>
          <w:color w:val="000000" w:themeColor="text1"/>
          <w:sz w:val="26"/>
          <w:szCs w:val="26"/>
        </w:rPr>
        <w:t>la</w:t>
      </w:r>
      <w:r w:rsidR="00E1169A">
        <w:rPr>
          <w:rFonts w:cs="Arial"/>
          <w:sz w:val="26"/>
          <w:szCs w:val="26"/>
        </w:rPr>
        <w:t xml:space="preserve"> señora </w:t>
      </w:r>
      <w:r w:rsidR="00E1169A" w:rsidRPr="00773889">
        <w:rPr>
          <w:rFonts w:cs="Arial"/>
          <w:color w:val="FF0000"/>
          <w:sz w:val="26"/>
          <w:szCs w:val="26"/>
        </w:rPr>
        <w:t>DF</w:t>
      </w:r>
      <w:r w:rsidR="001E6FB6" w:rsidRPr="001E6FB6">
        <w:rPr>
          <w:rFonts w:cs="Arial"/>
          <w:color w:val="000000" w:themeColor="text1"/>
          <w:sz w:val="26"/>
          <w:szCs w:val="26"/>
        </w:rPr>
        <w:t>, desde una perspectiva de género</w:t>
      </w:r>
      <w:r w:rsidR="006F65A3" w:rsidRPr="001E6FB6">
        <w:rPr>
          <w:rFonts w:cs="Arial"/>
          <w:color w:val="000000" w:themeColor="text1"/>
          <w:sz w:val="26"/>
          <w:szCs w:val="26"/>
        </w:rPr>
        <w:t>. A</w:t>
      </w:r>
      <w:r w:rsidR="006F65A3" w:rsidRPr="006F65A3">
        <w:rPr>
          <w:rFonts w:cs="Arial"/>
          <w:color w:val="000000" w:themeColor="text1"/>
          <w:sz w:val="26"/>
          <w:szCs w:val="26"/>
        </w:rPr>
        <w:t xml:space="preserve">l respecto, el dictamen </w:t>
      </w:r>
      <w:r w:rsidR="00536FD4">
        <w:rPr>
          <w:rFonts w:cs="Arial"/>
          <w:color w:val="000000" w:themeColor="text1"/>
          <w:sz w:val="26"/>
          <w:szCs w:val="26"/>
        </w:rPr>
        <w:t>señala</w:t>
      </w:r>
      <w:r w:rsidR="006F65A3" w:rsidRPr="006F65A3">
        <w:rPr>
          <w:rFonts w:cs="Arial"/>
          <w:color w:val="000000" w:themeColor="text1"/>
          <w:sz w:val="26"/>
          <w:szCs w:val="26"/>
        </w:rPr>
        <w:t xml:space="preserve"> que</w:t>
      </w:r>
      <w:r w:rsidR="00422AC0">
        <w:rPr>
          <w:rFonts w:cs="Arial"/>
          <w:color w:val="000000" w:themeColor="text1"/>
          <w:sz w:val="26"/>
          <w:szCs w:val="26"/>
        </w:rPr>
        <w:t>, conforme al relato de la actora</w:t>
      </w:r>
      <w:r w:rsidR="00E1169A" w:rsidRPr="006F65A3">
        <w:rPr>
          <w:rFonts w:cs="Arial"/>
          <w:color w:val="000000" w:themeColor="text1"/>
          <w:sz w:val="26"/>
          <w:szCs w:val="26"/>
        </w:rPr>
        <w:t>, al recordar los sucesos d</w:t>
      </w:r>
      <w:r w:rsidR="00E1169A">
        <w:rPr>
          <w:rFonts w:cs="Arial"/>
          <w:sz w:val="26"/>
          <w:szCs w:val="26"/>
        </w:rPr>
        <w:t xml:space="preserve">el 25 de noviembre de 2015, </w:t>
      </w:r>
      <w:r w:rsidR="00422AC0">
        <w:rPr>
          <w:rFonts w:cs="Arial"/>
          <w:sz w:val="26"/>
          <w:szCs w:val="26"/>
        </w:rPr>
        <w:t xml:space="preserve">la señora </w:t>
      </w:r>
      <w:r w:rsidR="00E1169A">
        <w:rPr>
          <w:rFonts w:cs="Arial"/>
          <w:sz w:val="26"/>
          <w:szCs w:val="26"/>
        </w:rPr>
        <w:t>aún muestra</w:t>
      </w:r>
      <w:r w:rsidR="00E1169A" w:rsidRPr="003410A4">
        <w:rPr>
          <w:rFonts w:cs="Arial"/>
          <w:sz w:val="26"/>
          <w:szCs w:val="26"/>
          <w:lang w:val="es-MX"/>
        </w:rPr>
        <w:t xml:space="preserve"> sentimientos de dolor y angustia, </w:t>
      </w:r>
      <w:r w:rsidR="00E1169A">
        <w:rPr>
          <w:rFonts w:cs="Arial"/>
          <w:sz w:val="26"/>
          <w:szCs w:val="26"/>
          <w:lang w:val="es-MX"/>
        </w:rPr>
        <w:t xml:space="preserve">lo cual le genera </w:t>
      </w:r>
      <w:r w:rsidR="00E1169A" w:rsidRPr="003410A4">
        <w:rPr>
          <w:rFonts w:cs="Arial"/>
          <w:sz w:val="26"/>
          <w:szCs w:val="26"/>
          <w:lang w:val="es-MX"/>
        </w:rPr>
        <w:t>tristeza y desolación</w:t>
      </w:r>
      <w:r w:rsidR="00E1169A">
        <w:rPr>
          <w:rFonts w:cs="Arial"/>
          <w:sz w:val="26"/>
          <w:szCs w:val="26"/>
          <w:lang w:val="es-MX"/>
        </w:rPr>
        <w:t xml:space="preserve">; que aún </w:t>
      </w:r>
      <w:r w:rsidR="00E1169A" w:rsidRPr="003410A4">
        <w:rPr>
          <w:rFonts w:cs="Arial"/>
          <w:sz w:val="26"/>
          <w:szCs w:val="26"/>
          <w:lang w:val="es-MX"/>
        </w:rPr>
        <w:t>manifiesta secuelas</w:t>
      </w:r>
      <w:r w:rsidR="00E1169A">
        <w:rPr>
          <w:rFonts w:cs="Arial"/>
          <w:sz w:val="26"/>
          <w:szCs w:val="26"/>
          <w:lang w:val="es-MX"/>
        </w:rPr>
        <w:t xml:space="preserve"> como</w:t>
      </w:r>
      <w:r w:rsidR="00E1169A" w:rsidRPr="003410A4">
        <w:rPr>
          <w:rFonts w:cs="Arial"/>
          <w:sz w:val="26"/>
          <w:szCs w:val="26"/>
          <w:lang w:val="es-MX"/>
        </w:rPr>
        <w:t xml:space="preserve"> no poder dormir como antes</w:t>
      </w:r>
      <w:r w:rsidR="00E1169A">
        <w:rPr>
          <w:rFonts w:cs="Arial"/>
          <w:sz w:val="26"/>
          <w:szCs w:val="26"/>
          <w:lang w:val="es-MX"/>
        </w:rPr>
        <w:t xml:space="preserve"> de los sucesos; tener </w:t>
      </w:r>
      <w:r w:rsidR="00E1169A" w:rsidRPr="003410A4">
        <w:rPr>
          <w:rFonts w:cs="Arial"/>
          <w:sz w:val="26"/>
          <w:szCs w:val="26"/>
          <w:lang w:val="es-MX"/>
        </w:rPr>
        <w:t xml:space="preserve">un largo periodo de ansiedad que favoreció la exacerbación de psoriasis </w:t>
      </w:r>
      <w:r w:rsidR="00E1169A">
        <w:rPr>
          <w:rFonts w:cs="Arial"/>
          <w:sz w:val="26"/>
          <w:szCs w:val="26"/>
          <w:lang w:val="es-MX"/>
        </w:rPr>
        <w:t xml:space="preserve">(cuya </w:t>
      </w:r>
      <w:r w:rsidR="00E1169A" w:rsidRPr="003410A4">
        <w:rPr>
          <w:rFonts w:cs="Arial"/>
          <w:sz w:val="26"/>
          <w:szCs w:val="26"/>
          <w:lang w:val="es-MX"/>
        </w:rPr>
        <w:t>intensidad</w:t>
      </w:r>
      <w:r w:rsidR="00E1169A">
        <w:rPr>
          <w:rFonts w:cs="Arial"/>
          <w:sz w:val="26"/>
          <w:szCs w:val="26"/>
          <w:lang w:val="es-MX"/>
        </w:rPr>
        <w:t xml:space="preserve"> </w:t>
      </w:r>
      <w:r w:rsidR="00E1169A" w:rsidRPr="003410A4">
        <w:rPr>
          <w:rFonts w:cs="Arial"/>
          <w:sz w:val="26"/>
          <w:szCs w:val="26"/>
          <w:lang w:val="es-MX"/>
        </w:rPr>
        <w:t>dificult</w:t>
      </w:r>
      <w:r w:rsidR="00E1169A">
        <w:rPr>
          <w:rFonts w:cs="Arial"/>
          <w:sz w:val="26"/>
          <w:szCs w:val="26"/>
          <w:lang w:val="es-MX"/>
        </w:rPr>
        <w:t>ó</w:t>
      </w:r>
      <w:r w:rsidR="00E1169A" w:rsidRPr="003410A4">
        <w:rPr>
          <w:rFonts w:cs="Arial"/>
          <w:sz w:val="26"/>
          <w:szCs w:val="26"/>
          <w:lang w:val="es-MX"/>
        </w:rPr>
        <w:t xml:space="preserve"> su vida académica, social y económica</w:t>
      </w:r>
      <w:r w:rsidR="00E1169A">
        <w:rPr>
          <w:rFonts w:cs="Arial"/>
          <w:sz w:val="26"/>
          <w:szCs w:val="26"/>
          <w:lang w:val="es-MX"/>
        </w:rPr>
        <w:t xml:space="preserve">); que </w:t>
      </w:r>
      <w:r w:rsidR="00E1169A" w:rsidRPr="003410A4">
        <w:rPr>
          <w:rFonts w:cs="Arial"/>
          <w:sz w:val="26"/>
          <w:szCs w:val="26"/>
          <w:lang w:val="es-MX"/>
        </w:rPr>
        <w:t>abandon</w:t>
      </w:r>
      <w:r w:rsidR="00E1169A">
        <w:rPr>
          <w:rFonts w:cs="Arial"/>
          <w:sz w:val="26"/>
          <w:szCs w:val="26"/>
          <w:lang w:val="es-MX"/>
        </w:rPr>
        <w:t>ó</w:t>
      </w:r>
      <w:r w:rsidR="00E1169A" w:rsidRPr="003410A4">
        <w:rPr>
          <w:rFonts w:cs="Arial"/>
          <w:sz w:val="26"/>
          <w:szCs w:val="26"/>
          <w:lang w:val="es-MX"/>
        </w:rPr>
        <w:t xml:space="preserve"> sus estudios a causa de esta </w:t>
      </w:r>
      <w:r w:rsidR="00E1169A" w:rsidRPr="003410A4">
        <w:rPr>
          <w:rFonts w:cs="Arial"/>
          <w:sz w:val="26"/>
          <w:szCs w:val="26"/>
          <w:lang w:val="es-MX"/>
        </w:rPr>
        <w:lastRenderedPageBreak/>
        <w:t>condición</w:t>
      </w:r>
      <w:r w:rsidR="00E1169A">
        <w:rPr>
          <w:rFonts w:cs="Arial"/>
          <w:sz w:val="26"/>
          <w:szCs w:val="26"/>
          <w:lang w:val="es-MX"/>
        </w:rPr>
        <w:t>, y que</w:t>
      </w:r>
      <w:r w:rsidR="00E1169A" w:rsidRPr="003410A4">
        <w:rPr>
          <w:rFonts w:cs="Arial"/>
          <w:sz w:val="26"/>
          <w:szCs w:val="26"/>
          <w:lang w:val="es-MX"/>
        </w:rPr>
        <w:t xml:space="preserve"> </w:t>
      </w:r>
      <w:r w:rsidR="00E1169A">
        <w:rPr>
          <w:rFonts w:cs="Arial"/>
          <w:sz w:val="26"/>
          <w:szCs w:val="26"/>
          <w:lang w:val="es-MX"/>
        </w:rPr>
        <w:t>inició</w:t>
      </w:r>
      <w:r w:rsidR="00E1169A" w:rsidRPr="003410A4">
        <w:rPr>
          <w:rFonts w:cs="Arial"/>
          <w:sz w:val="26"/>
          <w:szCs w:val="26"/>
          <w:lang w:val="es-MX"/>
        </w:rPr>
        <w:t xml:space="preserve"> un tratamiento psicoterapéutico de corte psicoanalítico</w:t>
      </w:r>
      <w:r w:rsidR="00E1169A">
        <w:rPr>
          <w:rStyle w:val="Refdenotaalpie"/>
          <w:rFonts w:cs="Arial"/>
          <w:sz w:val="26"/>
          <w:szCs w:val="26"/>
        </w:rPr>
        <w:footnoteReference w:id="113"/>
      </w:r>
      <w:r w:rsidR="00E1169A" w:rsidRPr="00373446">
        <w:rPr>
          <w:rFonts w:cs="Arial"/>
          <w:sz w:val="26"/>
          <w:szCs w:val="26"/>
        </w:rPr>
        <w:t>.</w:t>
      </w:r>
      <w:r w:rsidR="00E1169A">
        <w:rPr>
          <w:rFonts w:cs="Arial"/>
          <w:sz w:val="26"/>
          <w:szCs w:val="26"/>
          <w:lang w:val="es-MX"/>
        </w:rPr>
        <w:t xml:space="preserve"> </w:t>
      </w:r>
    </w:p>
    <w:p w14:paraId="7444FDD7" w14:textId="77777777" w:rsidR="00E1169A" w:rsidRDefault="00E1169A" w:rsidP="001A476B">
      <w:pPr>
        <w:pStyle w:val="corte4fondo"/>
        <w:ind w:right="51" w:hanging="567"/>
        <w:rPr>
          <w:rFonts w:cs="Arial"/>
          <w:sz w:val="26"/>
          <w:szCs w:val="26"/>
          <w:lang w:val="es-MX"/>
        </w:rPr>
      </w:pPr>
    </w:p>
    <w:p w14:paraId="15CB0536" w14:textId="772EF2DE" w:rsidR="00E1169A" w:rsidRDefault="00E1169A" w:rsidP="001A476B">
      <w:pPr>
        <w:pStyle w:val="corte4fondo"/>
        <w:numPr>
          <w:ilvl w:val="0"/>
          <w:numId w:val="2"/>
        </w:numPr>
        <w:ind w:left="0" w:right="51" w:hanging="567"/>
        <w:rPr>
          <w:rFonts w:cs="Arial"/>
          <w:sz w:val="26"/>
          <w:szCs w:val="26"/>
          <w:lang w:val="es-MX"/>
        </w:rPr>
      </w:pPr>
      <w:r>
        <w:rPr>
          <w:rFonts w:cs="Arial"/>
          <w:sz w:val="26"/>
          <w:szCs w:val="26"/>
          <w:lang w:val="es-MX"/>
        </w:rPr>
        <w:t xml:space="preserve">Asimismo, el dictamen recontó que la señora </w:t>
      </w:r>
      <w:r w:rsidRPr="00773889">
        <w:rPr>
          <w:rFonts w:cs="Arial"/>
          <w:color w:val="FF0000"/>
          <w:sz w:val="26"/>
          <w:szCs w:val="26"/>
        </w:rPr>
        <w:t>DF</w:t>
      </w:r>
      <w:r>
        <w:rPr>
          <w:rFonts w:cs="Arial"/>
          <w:color w:val="FF0000"/>
          <w:sz w:val="26"/>
          <w:szCs w:val="26"/>
        </w:rPr>
        <w:t xml:space="preserve"> </w:t>
      </w:r>
      <w:r w:rsidRPr="00F41C89">
        <w:rPr>
          <w:rFonts w:cs="Arial"/>
          <w:color w:val="000000" w:themeColor="text1"/>
          <w:sz w:val="26"/>
          <w:szCs w:val="26"/>
        </w:rPr>
        <w:t xml:space="preserve">refirió </w:t>
      </w:r>
      <w:r w:rsidRPr="003410A4">
        <w:rPr>
          <w:rFonts w:cs="Arial"/>
          <w:sz w:val="26"/>
          <w:szCs w:val="26"/>
          <w:lang w:val="es-MX"/>
        </w:rPr>
        <w:t xml:space="preserve">presentar dificultad para ir al </w:t>
      </w:r>
      <w:r>
        <w:rPr>
          <w:rFonts w:cs="Arial"/>
          <w:sz w:val="26"/>
          <w:szCs w:val="26"/>
          <w:lang w:val="es-MX"/>
        </w:rPr>
        <w:t>sanitario</w:t>
      </w:r>
      <w:r w:rsidRPr="003410A4">
        <w:rPr>
          <w:rFonts w:cs="Arial"/>
          <w:sz w:val="26"/>
          <w:szCs w:val="26"/>
          <w:lang w:val="es-MX"/>
        </w:rPr>
        <w:t xml:space="preserve"> en </w:t>
      </w:r>
      <w:r>
        <w:rPr>
          <w:rFonts w:cs="Arial"/>
          <w:sz w:val="26"/>
          <w:szCs w:val="26"/>
          <w:lang w:val="es-MX"/>
        </w:rPr>
        <w:t>un</w:t>
      </w:r>
      <w:r w:rsidRPr="003410A4">
        <w:rPr>
          <w:rFonts w:cs="Arial"/>
          <w:sz w:val="26"/>
          <w:szCs w:val="26"/>
          <w:lang w:val="es-MX"/>
        </w:rPr>
        <w:t xml:space="preserve"> espacio público, </w:t>
      </w:r>
      <w:r>
        <w:rPr>
          <w:rFonts w:cs="Arial"/>
          <w:sz w:val="26"/>
          <w:szCs w:val="26"/>
          <w:lang w:val="es-MX"/>
        </w:rPr>
        <w:t>por lo que prefiere</w:t>
      </w:r>
      <w:r w:rsidRPr="003410A4">
        <w:rPr>
          <w:rFonts w:cs="Arial"/>
          <w:sz w:val="26"/>
          <w:szCs w:val="26"/>
          <w:lang w:val="es-MX"/>
        </w:rPr>
        <w:t xml:space="preserve"> aguantar las ganas de ir al </w:t>
      </w:r>
      <w:r>
        <w:rPr>
          <w:rFonts w:cs="Arial"/>
          <w:sz w:val="26"/>
          <w:szCs w:val="26"/>
          <w:lang w:val="es-MX"/>
        </w:rPr>
        <w:t>sanitario</w:t>
      </w:r>
      <w:r w:rsidRPr="003410A4">
        <w:rPr>
          <w:rFonts w:cs="Arial"/>
          <w:sz w:val="26"/>
          <w:szCs w:val="26"/>
          <w:lang w:val="es-MX"/>
        </w:rPr>
        <w:t xml:space="preserve"> y no utilizar los servicios públicos a menos que sea absolutamente necesario</w:t>
      </w:r>
      <w:r>
        <w:rPr>
          <w:rFonts w:cs="Arial"/>
          <w:sz w:val="26"/>
          <w:szCs w:val="26"/>
          <w:lang w:val="es-MX"/>
        </w:rPr>
        <w:t xml:space="preserve"> (lo cual le ha generado</w:t>
      </w:r>
      <w:r w:rsidRPr="003410A4">
        <w:rPr>
          <w:rFonts w:cs="Arial"/>
          <w:sz w:val="26"/>
          <w:szCs w:val="26"/>
          <w:lang w:val="es-MX"/>
        </w:rPr>
        <w:t xml:space="preserve"> infecciones </w:t>
      </w:r>
      <w:r>
        <w:rPr>
          <w:rFonts w:cs="Arial"/>
          <w:sz w:val="26"/>
          <w:szCs w:val="26"/>
          <w:lang w:val="es-MX"/>
        </w:rPr>
        <w:t>recurrentes</w:t>
      </w:r>
      <w:r w:rsidRPr="003410A4">
        <w:rPr>
          <w:rFonts w:cs="Arial"/>
          <w:sz w:val="26"/>
          <w:szCs w:val="26"/>
          <w:lang w:val="es-MX"/>
        </w:rPr>
        <w:t xml:space="preserve"> </w:t>
      </w:r>
      <w:r>
        <w:rPr>
          <w:rFonts w:cs="Arial"/>
          <w:sz w:val="26"/>
          <w:szCs w:val="26"/>
          <w:lang w:val="es-MX"/>
        </w:rPr>
        <w:t xml:space="preserve">en las </w:t>
      </w:r>
      <w:r w:rsidRPr="003410A4">
        <w:rPr>
          <w:rFonts w:cs="Arial"/>
          <w:sz w:val="26"/>
          <w:szCs w:val="26"/>
          <w:lang w:val="es-MX"/>
        </w:rPr>
        <w:t>vías urinarias</w:t>
      </w:r>
      <w:r>
        <w:rPr>
          <w:rFonts w:cs="Arial"/>
          <w:sz w:val="26"/>
          <w:szCs w:val="26"/>
          <w:lang w:val="es-MX"/>
        </w:rPr>
        <w:t>), y que a</w:t>
      </w:r>
      <w:r w:rsidRPr="003410A4">
        <w:rPr>
          <w:rFonts w:cs="Arial"/>
          <w:sz w:val="26"/>
          <w:szCs w:val="26"/>
          <w:lang w:val="es-MX"/>
        </w:rPr>
        <w:t xml:space="preserve">l utilizar el </w:t>
      </w:r>
      <w:r>
        <w:rPr>
          <w:rFonts w:cs="Arial"/>
          <w:sz w:val="26"/>
          <w:szCs w:val="26"/>
          <w:lang w:val="es-MX"/>
        </w:rPr>
        <w:t>sanitario</w:t>
      </w:r>
      <w:r w:rsidRPr="003410A4">
        <w:rPr>
          <w:rFonts w:cs="Arial"/>
          <w:sz w:val="26"/>
          <w:szCs w:val="26"/>
          <w:lang w:val="es-MX"/>
        </w:rPr>
        <w:t xml:space="preserve"> aparecen sentimientos de miedo y vulnerabilidad</w:t>
      </w:r>
      <w:r>
        <w:rPr>
          <w:rFonts w:cs="Arial"/>
          <w:sz w:val="26"/>
          <w:szCs w:val="26"/>
          <w:lang w:val="es-MX"/>
        </w:rPr>
        <w:t>,</w:t>
      </w:r>
      <w:r w:rsidRPr="003410A4">
        <w:rPr>
          <w:rFonts w:cs="Arial"/>
          <w:sz w:val="26"/>
          <w:szCs w:val="26"/>
          <w:lang w:val="es-MX"/>
        </w:rPr>
        <w:t xml:space="preserve"> al presentarse la idea de que su identidad de género será cuestionada y se le acusará de no pertenecer al género femenino</w:t>
      </w:r>
      <w:r>
        <w:rPr>
          <w:rFonts w:cs="Arial"/>
          <w:sz w:val="26"/>
          <w:szCs w:val="26"/>
          <w:lang w:val="es-MX"/>
        </w:rPr>
        <w:t>,</w:t>
      </w:r>
      <w:r w:rsidRPr="003410A4">
        <w:rPr>
          <w:rFonts w:cs="Arial"/>
          <w:sz w:val="26"/>
          <w:szCs w:val="26"/>
          <w:lang w:val="es-MX"/>
        </w:rPr>
        <w:t xml:space="preserve"> lo cual produce rememoraciones en donde revive el trato humillante que recibió</w:t>
      </w:r>
      <w:r>
        <w:rPr>
          <w:rStyle w:val="Refdenotaalpie"/>
          <w:rFonts w:cs="Arial"/>
          <w:sz w:val="26"/>
          <w:szCs w:val="26"/>
        </w:rPr>
        <w:footnoteReference w:id="114"/>
      </w:r>
      <w:r>
        <w:rPr>
          <w:rFonts w:cs="Arial"/>
          <w:sz w:val="26"/>
          <w:szCs w:val="26"/>
          <w:lang w:val="es-MX"/>
        </w:rPr>
        <w:t xml:space="preserve">. </w:t>
      </w:r>
    </w:p>
    <w:p w14:paraId="2893B5DF" w14:textId="77777777" w:rsidR="00E1169A" w:rsidRDefault="00E1169A" w:rsidP="001A476B">
      <w:pPr>
        <w:pStyle w:val="corte4fondo"/>
        <w:ind w:right="51" w:hanging="567"/>
        <w:rPr>
          <w:rFonts w:cs="Arial"/>
          <w:sz w:val="26"/>
          <w:szCs w:val="26"/>
          <w:lang w:val="es-MX"/>
        </w:rPr>
      </w:pPr>
    </w:p>
    <w:p w14:paraId="45B4E9E7" w14:textId="15523108" w:rsidR="00E1169A" w:rsidRDefault="00E1169A" w:rsidP="001A476B">
      <w:pPr>
        <w:pStyle w:val="corte4fondo"/>
        <w:numPr>
          <w:ilvl w:val="0"/>
          <w:numId w:val="2"/>
        </w:numPr>
        <w:ind w:left="0" w:right="51" w:hanging="567"/>
        <w:rPr>
          <w:rFonts w:cs="Arial"/>
          <w:sz w:val="26"/>
          <w:szCs w:val="26"/>
        </w:rPr>
      </w:pPr>
      <w:r>
        <w:rPr>
          <w:rFonts w:cs="Arial"/>
          <w:sz w:val="26"/>
          <w:szCs w:val="26"/>
          <w:lang w:val="es-MX"/>
        </w:rPr>
        <w:t xml:space="preserve">Con base en lo anterior, la perita psicóloga concluyó en el dictamen que, como diagnóstico, advertía </w:t>
      </w:r>
      <w:r w:rsidRPr="007E41FE">
        <w:rPr>
          <w:rFonts w:cs="Arial"/>
          <w:sz w:val="26"/>
          <w:szCs w:val="26"/>
        </w:rPr>
        <w:t xml:space="preserve">un </w:t>
      </w:r>
      <w:r>
        <w:rPr>
          <w:rFonts w:cs="Arial"/>
          <w:sz w:val="26"/>
          <w:szCs w:val="26"/>
        </w:rPr>
        <w:t>“</w:t>
      </w:r>
      <w:r w:rsidRPr="007E41FE">
        <w:rPr>
          <w:rFonts w:cs="Arial"/>
          <w:sz w:val="26"/>
          <w:szCs w:val="26"/>
        </w:rPr>
        <w:t>trastorno de estrés postraumático, con síntomas variables en intensidad con periodos de duración también variables</w:t>
      </w:r>
      <w:r>
        <w:rPr>
          <w:rFonts w:cs="Arial"/>
          <w:sz w:val="26"/>
          <w:szCs w:val="26"/>
        </w:rPr>
        <w:t>”</w:t>
      </w:r>
      <w:r w:rsidRPr="007E41FE">
        <w:rPr>
          <w:rFonts w:cs="Arial"/>
          <w:sz w:val="26"/>
          <w:szCs w:val="26"/>
        </w:rPr>
        <w:t xml:space="preserve">. </w:t>
      </w:r>
      <w:r>
        <w:rPr>
          <w:rFonts w:cs="Arial"/>
          <w:sz w:val="26"/>
          <w:szCs w:val="26"/>
        </w:rPr>
        <w:t xml:space="preserve">Asimismo, la perita detectó </w:t>
      </w:r>
      <w:r w:rsidRPr="007E41FE">
        <w:rPr>
          <w:rFonts w:cs="Arial"/>
          <w:sz w:val="26"/>
          <w:szCs w:val="26"/>
        </w:rPr>
        <w:t xml:space="preserve">presentes </w:t>
      </w:r>
      <w:r>
        <w:rPr>
          <w:rFonts w:cs="Arial"/>
          <w:sz w:val="26"/>
          <w:szCs w:val="26"/>
        </w:rPr>
        <w:t>“</w:t>
      </w:r>
      <w:r w:rsidRPr="007E41FE">
        <w:rPr>
          <w:rFonts w:cs="Arial"/>
          <w:sz w:val="26"/>
          <w:szCs w:val="26"/>
        </w:rPr>
        <w:t>recuerdos intrusivos recurrentes, involuntarios y angustiantes del hecho traumático, angustia emocional intensa o reacciones físicas a las</w:t>
      </w:r>
      <w:r w:rsidRPr="00C72931">
        <w:rPr>
          <w:rFonts w:cs="Arial"/>
          <w:sz w:val="26"/>
          <w:szCs w:val="26"/>
        </w:rPr>
        <w:t xml:space="preserve"> cosas que recuerdan el evento traumático y ante situaciones similares al evento traumático”. Añadió que la señora </w:t>
      </w:r>
      <w:r w:rsidRPr="00773889">
        <w:rPr>
          <w:rFonts w:cs="Arial"/>
          <w:color w:val="FF0000"/>
          <w:sz w:val="26"/>
          <w:szCs w:val="26"/>
        </w:rPr>
        <w:t>DF</w:t>
      </w:r>
      <w:r w:rsidRPr="00C72931">
        <w:rPr>
          <w:rFonts w:cs="Arial"/>
          <w:sz w:val="26"/>
          <w:szCs w:val="26"/>
        </w:rPr>
        <w:t xml:space="preserve"> presenta</w:t>
      </w:r>
      <w:r>
        <w:rPr>
          <w:rFonts w:cs="Arial"/>
          <w:sz w:val="26"/>
          <w:szCs w:val="26"/>
        </w:rPr>
        <w:t>ba</w:t>
      </w:r>
      <w:r w:rsidRPr="00C72931">
        <w:rPr>
          <w:rFonts w:cs="Arial"/>
          <w:sz w:val="26"/>
          <w:szCs w:val="26"/>
        </w:rPr>
        <w:t xml:space="preserve"> conductas de evasión, pues “</w:t>
      </w:r>
      <w:r w:rsidRPr="00F41C89">
        <w:rPr>
          <w:rFonts w:eastAsiaTheme="minorHAnsi" w:cs="Arial"/>
          <w:sz w:val="26"/>
          <w:szCs w:val="26"/>
          <w:lang w:val="es-MX" w:eastAsia="en-US"/>
        </w:rPr>
        <w:t>e</w:t>
      </w:r>
      <w:r w:rsidRPr="00C72931">
        <w:rPr>
          <w:rFonts w:cs="Arial"/>
          <w:sz w:val="26"/>
          <w:szCs w:val="26"/>
        </w:rPr>
        <w:t>vita el uso de los baños públicos el lugar en donde ocurrió el evento traumático y muestra ansiedad ante las personas que le recuerdan la situación que lo originó (por ejemplo, refiere sentirse intimidada ante miradas de personal de vigilancia)</w:t>
      </w:r>
      <w:r>
        <w:rPr>
          <w:rFonts w:cs="Arial"/>
          <w:sz w:val="26"/>
          <w:szCs w:val="26"/>
        </w:rPr>
        <w:t>”</w:t>
      </w:r>
      <w:r w:rsidRPr="00C72931">
        <w:rPr>
          <w:rFonts w:cs="Arial"/>
          <w:sz w:val="26"/>
          <w:szCs w:val="26"/>
        </w:rPr>
        <w:t>.</w:t>
      </w:r>
      <w:r>
        <w:rPr>
          <w:rFonts w:cs="Arial"/>
          <w:sz w:val="26"/>
          <w:szCs w:val="26"/>
        </w:rPr>
        <w:t xml:space="preserve"> </w:t>
      </w:r>
    </w:p>
    <w:p w14:paraId="487E1E1B" w14:textId="77777777" w:rsidR="00E1169A" w:rsidRDefault="00E1169A" w:rsidP="001A476B">
      <w:pPr>
        <w:pStyle w:val="corte4fondo"/>
        <w:ind w:right="51" w:hanging="567"/>
        <w:rPr>
          <w:rFonts w:cs="Arial"/>
          <w:sz w:val="26"/>
          <w:szCs w:val="26"/>
        </w:rPr>
      </w:pPr>
    </w:p>
    <w:p w14:paraId="2955CDD2" w14:textId="28B7EB9E" w:rsidR="00E1169A" w:rsidRPr="00833CBC" w:rsidRDefault="00CB6F1E" w:rsidP="001A476B">
      <w:pPr>
        <w:pStyle w:val="corte4fondo"/>
        <w:numPr>
          <w:ilvl w:val="0"/>
          <w:numId w:val="2"/>
        </w:numPr>
        <w:ind w:left="0" w:right="51" w:hanging="567"/>
        <w:rPr>
          <w:rFonts w:asciiTheme="minorBidi" w:hAnsiTheme="minorBidi" w:cstheme="minorBidi"/>
          <w:sz w:val="26"/>
          <w:szCs w:val="26"/>
        </w:rPr>
      </w:pPr>
      <w:r>
        <w:rPr>
          <w:rFonts w:cs="Arial"/>
          <w:sz w:val="26"/>
          <w:szCs w:val="26"/>
        </w:rPr>
        <w:t>Además, la sala de apelación debió considerar que, en el dictamen, l</w:t>
      </w:r>
      <w:r w:rsidR="00E1169A">
        <w:rPr>
          <w:rFonts w:cs="Arial"/>
          <w:sz w:val="26"/>
          <w:szCs w:val="26"/>
        </w:rPr>
        <w:t>a perita también detectó c</w:t>
      </w:r>
      <w:r w:rsidR="00E1169A" w:rsidRPr="00F41C89">
        <w:rPr>
          <w:rFonts w:cs="Arial"/>
          <w:sz w:val="26"/>
          <w:szCs w:val="26"/>
        </w:rPr>
        <w:t>ambios negativos en el pensamiento y en el estado de ánimo</w:t>
      </w:r>
      <w:r w:rsidR="00E1169A">
        <w:rPr>
          <w:rFonts w:cs="Arial"/>
          <w:sz w:val="26"/>
          <w:szCs w:val="26"/>
        </w:rPr>
        <w:t xml:space="preserve"> de la señora, pues “p</w:t>
      </w:r>
      <w:r w:rsidR="00E1169A" w:rsidRPr="00F41C89">
        <w:rPr>
          <w:rFonts w:cs="Arial"/>
          <w:sz w:val="26"/>
          <w:szCs w:val="26"/>
        </w:rPr>
        <w:t xml:space="preserve">resenta pensamientos negativos reiterados asociados a la muerte. Esto se intensificó luego de que su acompañante </w:t>
      </w:r>
      <w:r w:rsidR="00E1169A" w:rsidRPr="00F41C89">
        <w:rPr>
          <w:rFonts w:cs="Arial"/>
          <w:color w:val="FF0000"/>
          <w:sz w:val="26"/>
          <w:szCs w:val="26"/>
        </w:rPr>
        <w:t>A</w:t>
      </w:r>
      <w:r w:rsidR="00E1169A" w:rsidRPr="00F41C89">
        <w:rPr>
          <w:rFonts w:cs="Arial"/>
          <w:sz w:val="26"/>
          <w:szCs w:val="26"/>
        </w:rPr>
        <w:t xml:space="preserve">, quien enfrentó con </w:t>
      </w:r>
      <w:r w:rsidR="00E1169A" w:rsidRPr="00F41C89">
        <w:rPr>
          <w:rFonts w:cs="Arial"/>
          <w:color w:val="FF0000"/>
          <w:sz w:val="26"/>
          <w:szCs w:val="26"/>
        </w:rPr>
        <w:t xml:space="preserve">J </w:t>
      </w:r>
      <w:r w:rsidR="00E1169A" w:rsidRPr="00F41C89">
        <w:rPr>
          <w:rFonts w:cs="Arial"/>
          <w:sz w:val="26"/>
          <w:szCs w:val="26"/>
        </w:rPr>
        <w:t>el mismo evento tra</w:t>
      </w:r>
      <w:r w:rsidR="00E1169A" w:rsidRPr="00833CBC">
        <w:rPr>
          <w:rFonts w:asciiTheme="minorBidi" w:hAnsiTheme="minorBidi" w:cstheme="minorBidi"/>
          <w:sz w:val="26"/>
          <w:szCs w:val="26"/>
        </w:rPr>
        <w:t>umático, fue asesinada”.</w:t>
      </w:r>
      <w:r>
        <w:rPr>
          <w:rFonts w:asciiTheme="minorBidi" w:hAnsiTheme="minorBidi" w:cstheme="minorBidi"/>
          <w:sz w:val="26"/>
          <w:szCs w:val="26"/>
        </w:rPr>
        <w:t xml:space="preserve"> L</w:t>
      </w:r>
      <w:r w:rsidR="00E1169A" w:rsidRPr="00833CBC">
        <w:rPr>
          <w:rFonts w:asciiTheme="minorBidi" w:hAnsiTheme="minorBidi" w:cstheme="minorBidi"/>
          <w:sz w:val="26"/>
          <w:szCs w:val="26"/>
        </w:rPr>
        <w:t xml:space="preserve">a perita </w:t>
      </w:r>
      <w:r>
        <w:rPr>
          <w:rFonts w:asciiTheme="minorBidi" w:hAnsiTheme="minorBidi" w:cstheme="minorBidi"/>
          <w:sz w:val="26"/>
          <w:szCs w:val="26"/>
        </w:rPr>
        <w:t xml:space="preserve">también </w:t>
      </w:r>
      <w:r w:rsidR="00E1169A" w:rsidRPr="00833CBC">
        <w:rPr>
          <w:rFonts w:asciiTheme="minorBidi" w:hAnsiTheme="minorBidi" w:cstheme="minorBidi"/>
          <w:sz w:val="26"/>
          <w:szCs w:val="26"/>
        </w:rPr>
        <w:t xml:space="preserve">advirtió cambios en las reacciones físicas y emocionales de la señora, “evidenciados en un estado de alerta constante que interpreta como </w:t>
      </w:r>
      <w:r w:rsidR="00E1169A" w:rsidRPr="00833CBC">
        <w:rPr>
          <w:rFonts w:asciiTheme="minorBidi" w:hAnsiTheme="minorBidi" w:cstheme="minorBidi"/>
          <w:sz w:val="26"/>
          <w:szCs w:val="26"/>
        </w:rPr>
        <w:lastRenderedPageBreak/>
        <w:t>estar expuesta de manera involuntaria a situaciones de peligro, que también se manifiestan en trastornos del sueño”</w:t>
      </w:r>
      <w:r w:rsidR="00E1169A" w:rsidRPr="00833CBC">
        <w:rPr>
          <w:rStyle w:val="Refdenotaalpie"/>
          <w:rFonts w:asciiTheme="minorBidi" w:hAnsiTheme="minorBidi" w:cstheme="minorBidi"/>
          <w:sz w:val="26"/>
          <w:szCs w:val="26"/>
        </w:rPr>
        <w:footnoteReference w:id="115"/>
      </w:r>
      <w:r w:rsidR="00E1169A" w:rsidRPr="00833CBC">
        <w:rPr>
          <w:rFonts w:asciiTheme="minorBidi" w:hAnsiTheme="minorBidi" w:cstheme="minorBidi"/>
          <w:sz w:val="26"/>
          <w:szCs w:val="26"/>
        </w:rPr>
        <w:t>.</w:t>
      </w:r>
    </w:p>
    <w:p w14:paraId="5BC5CD3A" w14:textId="77777777" w:rsidR="00E1169A" w:rsidRPr="00833CBC" w:rsidRDefault="00E1169A" w:rsidP="001A476B">
      <w:pPr>
        <w:pStyle w:val="corte4fondo"/>
        <w:ind w:right="51" w:hanging="567"/>
        <w:rPr>
          <w:rFonts w:asciiTheme="minorBidi" w:hAnsiTheme="minorBidi" w:cstheme="minorBidi"/>
          <w:sz w:val="26"/>
          <w:szCs w:val="26"/>
        </w:rPr>
      </w:pPr>
    </w:p>
    <w:p w14:paraId="2D6AFBB9" w14:textId="5E8AFFB8" w:rsidR="00E1169A" w:rsidRPr="00B27098" w:rsidRDefault="00E119DB" w:rsidP="001A476B">
      <w:pPr>
        <w:pStyle w:val="corte4fondo"/>
        <w:numPr>
          <w:ilvl w:val="0"/>
          <w:numId w:val="2"/>
        </w:numPr>
        <w:ind w:left="0" w:right="51" w:hanging="567"/>
        <w:rPr>
          <w:rFonts w:asciiTheme="minorBidi" w:hAnsiTheme="minorBidi" w:cstheme="minorBidi"/>
          <w:sz w:val="26"/>
          <w:szCs w:val="26"/>
        </w:rPr>
      </w:pPr>
      <w:r>
        <w:rPr>
          <w:rFonts w:asciiTheme="minorBidi" w:hAnsiTheme="minorBidi" w:cstheme="minorBidi"/>
          <w:sz w:val="26"/>
          <w:szCs w:val="26"/>
        </w:rPr>
        <w:t>Por último</w:t>
      </w:r>
      <w:r w:rsidR="00536FD4" w:rsidRPr="00833CBC">
        <w:rPr>
          <w:rFonts w:asciiTheme="minorBidi" w:hAnsiTheme="minorBidi" w:cstheme="minorBidi"/>
          <w:sz w:val="26"/>
          <w:szCs w:val="26"/>
        </w:rPr>
        <w:t>,</w:t>
      </w:r>
      <w:r w:rsidR="00071CD0" w:rsidRPr="00833CBC">
        <w:rPr>
          <w:rFonts w:asciiTheme="minorBidi" w:hAnsiTheme="minorBidi" w:cstheme="minorBidi"/>
          <w:sz w:val="26"/>
          <w:szCs w:val="26"/>
        </w:rPr>
        <w:t xml:space="preserve"> </w:t>
      </w:r>
      <w:r w:rsidR="00536FD4" w:rsidRPr="00833CBC">
        <w:rPr>
          <w:rFonts w:asciiTheme="minorBidi" w:hAnsiTheme="minorBidi" w:cstheme="minorBidi"/>
          <w:sz w:val="26"/>
          <w:szCs w:val="26"/>
        </w:rPr>
        <w:t>la sala debió tomar en consideración</w:t>
      </w:r>
      <w:r w:rsidR="002E4EDA" w:rsidRPr="00833CBC">
        <w:rPr>
          <w:rFonts w:asciiTheme="minorBidi" w:hAnsiTheme="minorBidi" w:cstheme="minorBidi"/>
          <w:sz w:val="26"/>
          <w:szCs w:val="26"/>
        </w:rPr>
        <w:t xml:space="preserve"> que, </w:t>
      </w:r>
      <w:r w:rsidR="00071CD0" w:rsidRPr="00833CBC">
        <w:rPr>
          <w:rFonts w:asciiTheme="minorBidi" w:hAnsiTheme="minorBidi" w:cstheme="minorBidi"/>
          <w:sz w:val="26"/>
          <w:szCs w:val="26"/>
        </w:rPr>
        <w:t xml:space="preserve">respecto de la </w:t>
      </w:r>
      <w:r w:rsidR="00071CD0" w:rsidRPr="00833CBC">
        <w:rPr>
          <w:rFonts w:asciiTheme="minorBidi" w:hAnsiTheme="minorBidi" w:cstheme="minorBidi"/>
          <w:color w:val="000000" w:themeColor="text1"/>
          <w:sz w:val="26"/>
          <w:szCs w:val="26"/>
          <w:lang w:val="es-ES"/>
        </w:rPr>
        <w:t xml:space="preserve">señora </w:t>
      </w:r>
      <w:r w:rsidR="00071CD0" w:rsidRPr="00833CBC">
        <w:rPr>
          <w:rFonts w:asciiTheme="minorBidi" w:hAnsiTheme="minorBidi" w:cstheme="minorBidi"/>
          <w:color w:val="FF0000"/>
          <w:sz w:val="26"/>
          <w:szCs w:val="26"/>
          <w:lang w:val="es-ES"/>
        </w:rPr>
        <w:t>GB</w:t>
      </w:r>
      <w:r w:rsidR="00071CD0" w:rsidRPr="00833CBC">
        <w:rPr>
          <w:rFonts w:asciiTheme="minorBidi" w:hAnsiTheme="minorBidi" w:cstheme="minorBidi"/>
          <w:sz w:val="26"/>
          <w:szCs w:val="26"/>
        </w:rPr>
        <w:t xml:space="preserve">, </w:t>
      </w:r>
      <w:r w:rsidR="00E1169A" w:rsidRPr="00833CBC">
        <w:rPr>
          <w:rFonts w:asciiTheme="minorBidi" w:hAnsiTheme="minorBidi" w:cstheme="minorBidi"/>
          <w:sz w:val="26"/>
          <w:szCs w:val="26"/>
        </w:rPr>
        <w:t xml:space="preserve">la </w:t>
      </w:r>
      <w:r w:rsidR="00E1169A" w:rsidRPr="00FE3F00">
        <w:rPr>
          <w:rFonts w:asciiTheme="minorBidi" w:hAnsiTheme="minorBidi" w:cstheme="minorBidi"/>
          <w:sz w:val="26"/>
          <w:szCs w:val="26"/>
        </w:rPr>
        <w:t>psicóloga Eva Alcántara Zavala co</w:t>
      </w:r>
      <w:r w:rsidR="00E1169A" w:rsidRPr="00833CBC">
        <w:rPr>
          <w:rFonts w:asciiTheme="minorBidi" w:hAnsiTheme="minorBidi" w:cstheme="minorBidi"/>
          <w:sz w:val="26"/>
          <w:szCs w:val="26"/>
        </w:rPr>
        <w:t xml:space="preserve">ncluyó </w:t>
      </w:r>
      <w:r w:rsidR="00BA7B57" w:rsidRPr="00833CBC">
        <w:rPr>
          <w:rFonts w:asciiTheme="minorBidi" w:hAnsiTheme="minorBidi" w:cstheme="minorBidi"/>
          <w:sz w:val="26"/>
          <w:szCs w:val="26"/>
        </w:rPr>
        <w:t xml:space="preserve">en su dictamen pericial </w:t>
      </w:r>
      <w:r w:rsidR="00E1169A" w:rsidRPr="00833CBC">
        <w:rPr>
          <w:rFonts w:asciiTheme="minorBidi" w:hAnsiTheme="minorBidi" w:cstheme="minorBidi"/>
          <w:sz w:val="26"/>
          <w:szCs w:val="26"/>
        </w:rPr>
        <w:t xml:space="preserve">que, como </w:t>
      </w:r>
      <w:r w:rsidR="00E1169A" w:rsidRPr="00833CBC">
        <w:rPr>
          <w:rFonts w:asciiTheme="minorBidi" w:hAnsiTheme="minorBidi" w:cstheme="minorBidi"/>
          <w:color w:val="000000" w:themeColor="text1"/>
          <w:sz w:val="26"/>
          <w:szCs w:val="26"/>
          <w:lang w:val="es-ES"/>
        </w:rPr>
        <w:t>resultado de la valoración psicológica integral realizada a</w:t>
      </w:r>
      <w:r w:rsidR="00071CD0" w:rsidRPr="00833CBC">
        <w:rPr>
          <w:rFonts w:asciiTheme="minorBidi" w:hAnsiTheme="minorBidi" w:cstheme="minorBidi"/>
          <w:color w:val="000000" w:themeColor="text1"/>
          <w:sz w:val="26"/>
          <w:szCs w:val="26"/>
          <w:lang w:val="es-ES"/>
        </w:rPr>
        <w:t xml:space="preserve"> la señora</w:t>
      </w:r>
      <w:r w:rsidR="00E1169A" w:rsidRPr="00833CBC">
        <w:rPr>
          <w:rFonts w:asciiTheme="minorBidi" w:hAnsiTheme="minorBidi" w:cstheme="minorBidi"/>
          <w:color w:val="000000" w:themeColor="text1"/>
          <w:sz w:val="26"/>
          <w:szCs w:val="26"/>
          <w:lang w:val="es-ES"/>
        </w:rPr>
        <w:t xml:space="preserve">, era posible determinar que “las afectaciones emocionales con que cursa actualmente han surgido como consecuencia del evento traumático ocurrido el 25 de noviembre de 2015 (lugar que se </w:t>
      </w:r>
      <w:r w:rsidR="00E1169A" w:rsidRPr="00833CBC">
        <w:rPr>
          <w:rFonts w:asciiTheme="minorBidi" w:hAnsiTheme="minorBidi" w:cstheme="minorBidi"/>
          <w:sz w:val="26"/>
          <w:szCs w:val="26"/>
        </w:rPr>
        <w:t>refiere</w:t>
      </w:r>
      <w:r w:rsidR="00E1169A" w:rsidRPr="00833CBC">
        <w:rPr>
          <w:rFonts w:asciiTheme="minorBidi" w:hAnsiTheme="minorBidi" w:cstheme="minorBidi"/>
          <w:color w:val="000000" w:themeColor="text1"/>
          <w:sz w:val="26"/>
          <w:szCs w:val="26"/>
          <w:lang w:val="es-ES"/>
        </w:rPr>
        <w:t xml:space="preserve"> en las entrevistas como </w:t>
      </w:r>
      <w:r w:rsidR="00E1169A" w:rsidRPr="00A36289">
        <w:rPr>
          <w:rFonts w:asciiTheme="minorBidi" w:hAnsiTheme="minorBidi" w:cstheme="minorBidi"/>
          <w:sz w:val="26"/>
          <w:szCs w:val="26"/>
          <w:lang w:val="es-ES"/>
        </w:rPr>
        <w:t>“Reforma 222”)</w:t>
      </w:r>
      <w:r w:rsidRPr="00A36289">
        <w:rPr>
          <w:rFonts w:asciiTheme="minorBidi" w:hAnsiTheme="minorBidi" w:cstheme="minorBidi"/>
          <w:sz w:val="26"/>
          <w:szCs w:val="26"/>
          <w:lang w:val="es-ES"/>
        </w:rPr>
        <w:t>”</w:t>
      </w:r>
      <w:r w:rsidR="00E1169A" w:rsidRPr="00A36289">
        <w:rPr>
          <w:rFonts w:asciiTheme="minorBidi" w:hAnsiTheme="minorBidi" w:cstheme="minorBidi"/>
          <w:sz w:val="26"/>
          <w:szCs w:val="26"/>
          <w:lang w:val="es-ES"/>
        </w:rPr>
        <w:t xml:space="preserve">. La </w:t>
      </w:r>
      <w:r w:rsidR="00E1169A" w:rsidRPr="00833CBC">
        <w:rPr>
          <w:rFonts w:asciiTheme="minorBidi" w:hAnsiTheme="minorBidi" w:cstheme="minorBidi"/>
          <w:color w:val="000000" w:themeColor="text1"/>
          <w:sz w:val="26"/>
          <w:szCs w:val="26"/>
          <w:lang w:val="es-ES"/>
        </w:rPr>
        <w:t xml:space="preserve">perita añadió que, “al encontrarse en esta situación emocional y dadas las condiciones sociales que puede enfrentar en el espacio público siendo una mujer trans, </w:t>
      </w:r>
      <w:r w:rsidR="00E1169A" w:rsidRPr="00833CBC">
        <w:rPr>
          <w:rFonts w:asciiTheme="minorBidi" w:hAnsiTheme="minorBidi" w:cstheme="minorBidi"/>
          <w:color w:val="FF0000"/>
          <w:sz w:val="26"/>
          <w:szCs w:val="26"/>
          <w:lang w:val="es-ES"/>
        </w:rPr>
        <w:t>LNGB</w:t>
      </w:r>
      <w:r w:rsidR="00E1169A" w:rsidRPr="00833CBC">
        <w:rPr>
          <w:rFonts w:asciiTheme="minorBidi" w:hAnsiTheme="minorBidi" w:cstheme="minorBidi"/>
          <w:color w:val="000000" w:themeColor="text1"/>
          <w:sz w:val="26"/>
          <w:szCs w:val="26"/>
          <w:lang w:val="es-ES"/>
        </w:rPr>
        <w:t xml:space="preserve"> se encuentra en un estado de vulnerabilidad producto de que su identidad de género sea controvertida por terceros”</w:t>
      </w:r>
      <w:r w:rsidR="00BA7B57" w:rsidRPr="00833CBC">
        <w:rPr>
          <w:rStyle w:val="Refdenotaalpie"/>
          <w:rFonts w:asciiTheme="minorBidi" w:hAnsiTheme="minorBidi" w:cstheme="minorBidi"/>
          <w:color w:val="000000" w:themeColor="text1"/>
          <w:sz w:val="26"/>
          <w:szCs w:val="26"/>
          <w:lang w:val="es-ES"/>
        </w:rPr>
        <w:footnoteReference w:id="116"/>
      </w:r>
      <w:r w:rsidR="00E1169A" w:rsidRPr="00833CBC">
        <w:rPr>
          <w:rFonts w:asciiTheme="minorBidi" w:hAnsiTheme="minorBidi" w:cstheme="minorBidi"/>
          <w:color w:val="000000" w:themeColor="text1"/>
          <w:sz w:val="26"/>
          <w:szCs w:val="26"/>
          <w:lang w:val="es-ES"/>
        </w:rPr>
        <w:t xml:space="preserve">. </w:t>
      </w:r>
    </w:p>
    <w:p w14:paraId="41C369CD" w14:textId="77777777" w:rsidR="00E1169A" w:rsidRPr="00833CBC" w:rsidRDefault="00E1169A" w:rsidP="001A476B">
      <w:pPr>
        <w:pStyle w:val="corte4fondo"/>
        <w:ind w:right="51" w:hanging="567"/>
        <w:rPr>
          <w:rFonts w:asciiTheme="minorBidi" w:hAnsiTheme="minorBidi" w:cstheme="minorBidi"/>
          <w:sz w:val="26"/>
          <w:szCs w:val="26"/>
          <w:lang w:val="es-ES"/>
        </w:rPr>
      </w:pPr>
    </w:p>
    <w:p w14:paraId="032A22E0" w14:textId="3E6D6E5A" w:rsidR="00102CD8" w:rsidRPr="009B5599" w:rsidRDefault="003D0506" w:rsidP="001A476B">
      <w:pPr>
        <w:pStyle w:val="corte4fondo"/>
        <w:numPr>
          <w:ilvl w:val="0"/>
          <w:numId w:val="2"/>
        </w:numPr>
        <w:ind w:left="0" w:right="51" w:hanging="567"/>
        <w:rPr>
          <w:rFonts w:asciiTheme="minorBidi" w:hAnsiTheme="minorBidi" w:cstheme="minorBidi"/>
          <w:sz w:val="26"/>
          <w:szCs w:val="26"/>
          <w:lang w:val="es-ES"/>
        </w:rPr>
      </w:pPr>
      <w:r w:rsidRPr="00076E57">
        <w:rPr>
          <w:rFonts w:asciiTheme="minorBidi" w:hAnsiTheme="minorBidi" w:cstheme="minorBidi"/>
          <w:sz w:val="26"/>
          <w:szCs w:val="26"/>
        </w:rPr>
        <w:t xml:space="preserve">Por las razones </w:t>
      </w:r>
      <w:r w:rsidR="009B5599" w:rsidRPr="00076E57">
        <w:rPr>
          <w:rFonts w:asciiTheme="minorBidi" w:hAnsiTheme="minorBidi" w:cstheme="minorBidi"/>
          <w:sz w:val="26"/>
          <w:szCs w:val="26"/>
        </w:rPr>
        <w:t>anteriores</w:t>
      </w:r>
      <w:r w:rsidRPr="00076E57">
        <w:rPr>
          <w:rFonts w:asciiTheme="minorBidi" w:hAnsiTheme="minorBidi" w:cstheme="minorBidi"/>
          <w:sz w:val="26"/>
          <w:szCs w:val="26"/>
        </w:rPr>
        <w:t>, se concluye que la sala responsable no atendió a los estándares aplicables para tener por acreditado el daño moral</w:t>
      </w:r>
      <w:r w:rsidR="00D12DE6" w:rsidRPr="00076E57">
        <w:rPr>
          <w:rFonts w:asciiTheme="minorBidi" w:hAnsiTheme="minorBidi" w:cstheme="minorBidi"/>
          <w:sz w:val="26"/>
          <w:szCs w:val="26"/>
        </w:rPr>
        <w:t xml:space="preserve"> y nexo causal</w:t>
      </w:r>
      <w:r w:rsidRPr="00076E57">
        <w:rPr>
          <w:rFonts w:asciiTheme="minorBidi" w:hAnsiTheme="minorBidi" w:cstheme="minorBidi"/>
          <w:sz w:val="26"/>
          <w:szCs w:val="26"/>
        </w:rPr>
        <w:t xml:space="preserve"> ante actos de discriminación </w:t>
      </w:r>
      <w:r w:rsidRPr="00076E57">
        <w:rPr>
          <w:rFonts w:asciiTheme="minorBidi" w:hAnsiTheme="minorBidi" w:cstheme="minorBidi"/>
          <w:sz w:val="26"/>
          <w:szCs w:val="26"/>
          <w:lang w:val="es-ES"/>
        </w:rPr>
        <w:t>por</w:t>
      </w:r>
      <w:r w:rsidRPr="00076E57">
        <w:rPr>
          <w:rFonts w:asciiTheme="minorBidi" w:hAnsiTheme="minorBidi" w:cstheme="minorBidi"/>
          <w:sz w:val="26"/>
          <w:szCs w:val="26"/>
        </w:rPr>
        <w:t xml:space="preserve"> razón de identidad y expresión de género, ni valoró l</w:t>
      </w:r>
      <w:r w:rsidR="00A93442" w:rsidRPr="00076E57">
        <w:rPr>
          <w:rFonts w:asciiTheme="minorBidi" w:hAnsiTheme="minorBidi" w:cstheme="minorBidi"/>
          <w:sz w:val="26"/>
          <w:szCs w:val="26"/>
        </w:rPr>
        <w:t>as pruebas ofrecidas por las actoras</w:t>
      </w:r>
      <w:r w:rsidR="00D12DE6" w:rsidRPr="00076E57">
        <w:rPr>
          <w:rFonts w:asciiTheme="minorBidi" w:hAnsiTheme="minorBidi" w:cstheme="minorBidi"/>
          <w:sz w:val="26"/>
          <w:szCs w:val="26"/>
        </w:rPr>
        <w:t xml:space="preserve"> </w:t>
      </w:r>
      <w:r w:rsidRPr="00076E57">
        <w:rPr>
          <w:rFonts w:asciiTheme="minorBidi" w:hAnsiTheme="minorBidi" w:cstheme="minorBidi"/>
          <w:sz w:val="26"/>
          <w:szCs w:val="26"/>
        </w:rPr>
        <w:t>con una perspectiva de género</w:t>
      </w:r>
      <w:r w:rsidR="002E4EDA" w:rsidRPr="00076E57">
        <w:rPr>
          <w:rFonts w:asciiTheme="minorBidi" w:hAnsiTheme="minorBidi" w:cstheme="minorBidi"/>
          <w:sz w:val="26"/>
          <w:szCs w:val="26"/>
        </w:rPr>
        <w:t>, para dimensionar el daño moral causado en las quejosas</w:t>
      </w:r>
      <w:r w:rsidRPr="00076E57">
        <w:rPr>
          <w:rFonts w:asciiTheme="minorBidi" w:hAnsiTheme="minorBidi" w:cstheme="minorBidi"/>
          <w:sz w:val="26"/>
          <w:szCs w:val="26"/>
        </w:rPr>
        <w:t>.</w:t>
      </w:r>
      <w:r w:rsidR="009B5599" w:rsidRPr="00076E57">
        <w:rPr>
          <w:rFonts w:asciiTheme="minorBidi" w:hAnsiTheme="minorBidi" w:cstheme="minorBidi"/>
          <w:sz w:val="26"/>
          <w:szCs w:val="26"/>
        </w:rPr>
        <w:t xml:space="preserve"> </w:t>
      </w:r>
      <w:r w:rsidR="00D8271F" w:rsidRPr="00076E57">
        <w:rPr>
          <w:rFonts w:asciiTheme="minorBidi" w:hAnsiTheme="minorBidi" w:cstheme="minorBidi"/>
          <w:sz w:val="26"/>
          <w:szCs w:val="26"/>
        </w:rPr>
        <w:t xml:space="preserve">En ese sentido, </w:t>
      </w:r>
      <w:r w:rsidR="0035113B" w:rsidRPr="00076E57">
        <w:rPr>
          <w:rFonts w:asciiTheme="minorBidi" w:hAnsiTheme="minorBidi" w:cstheme="minorBidi"/>
          <w:sz w:val="26"/>
          <w:szCs w:val="26"/>
        </w:rPr>
        <w:t>con base en lo determinado en los apartados</w:t>
      </w:r>
      <w:r w:rsidR="00076E57" w:rsidRPr="00076E57">
        <w:rPr>
          <w:rFonts w:asciiTheme="minorBidi" w:hAnsiTheme="minorBidi" w:cstheme="minorBidi"/>
          <w:sz w:val="26"/>
          <w:szCs w:val="26"/>
        </w:rPr>
        <w:t xml:space="preserve"> </w:t>
      </w:r>
      <w:r w:rsidR="0035113B" w:rsidRPr="00076E57">
        <w:rPr>
          <w:rFonts w:asciiTheme="minorBidi" w:hAnsiTheme="minorBidi" w:cstheme="minorBidi"/>
          <w:sz w:val="26"/>
          <w:szCs w:val="26"/>
        </w:rPr>
        <w:t xml:space="preserve">precedentes, </w:t>
      </w:r>
      <w:r w:rsidR="00813BFA" w:rsidRPr="00076E57">
        <w:rPr>
          <w:rFonts w:asciiTheme="minorBidi" w:hAnsiTheme="minorBidi" w:cstheme="minorBidi"/>
          <w:sz w:val="26"/>
          <w:szCs w:val="26"/>
        </w:rPr>
        <w:t xml:space="preserve">esta Sala </w:t>
      </w:r>
      <w:r w:rsidR="009B5599" w:rsidRPr="00076E57">
        <w:rPr>
          <w:rFonts w:asciiTheme="minorBidi" w:hAnsiTheme="minorBidi" w:cstheme="minorBidi"/>
          <w:sz w:val="26"/>
          <w:szCs w:val="26"/>
        </w:rPr>
        <w:t>considera</w:t>
      </w:r>
      <w:r w:rsidR="00813BFA" w:rsidRPr="00076E57">
        <w:rPr>
          <w:rFonts w:asciiTheme="minorBidi" w:hAnsiTheme="minorBidi" w:cstheme="minorBidi"/>
          <w:sz w:val="26"/>
          <w:szCs w:val="26"/>
        </w:rPr>
        <w:t xml:space="preserve"> que </w:t>
      </w:r>
      <w:r w:rsidR="00D8271F" w:rsidRPr="00076E57">
        <w:rPr>
          <w:rFonts w:asciiTheme="minorBidi" w:hAnsiTheme="minorBidi" w:cstheme="minorBidi"/>
          <w:sz w:val="26"/>
          <w:szCs w:val="26"/>
        </w:rPr>
        <w:t xml:space="preserve">resultan esencialmente fundados </w:t>
      </w:r>
      <w:r w:rsidR="00C56608" w:rsidRPr="00076E57">
        <w:rPr>
          <w:rFonts w:asciiTheme="minorBidi" w:hAnsiTheme="minorBidi" w:cstheme="minorBidi"/>
          <w:sz w:val="26"/>
          <w:szCs w:val="26"/>
        </w:rPr>
        <w:t xml:space="preserve">los </w:t>
      </w:r>
      <w:r w:rsidR="00EF3BD4" w:rsidRPr="00076E57">
        <w:rPr>
          <w:rFonts w:asciiTheme="minorBidi" w:hAnsiTheme="minorBidi" w:cstheme="minorBidi"/>
          <w:sz w:val="26"/>
          <w:szCs w:val="26"/>
        </w:rPr>
        <w:t>primeros tres conceptos de violación</w:t>
      </w:r>
      <w:r w:rsidR="004F488E" w:rsidRPr="00076E57">
        <w:rPr>
          <w:rFonts w:asciiTheme="minorBidi" w:hAnsiTheme="minorBidi" w:cstheme="minorBidi"/>
          <w:sz w:val="26"/>
          <w:szCs w:val="26"/>
        </w:rPr>
        <w:t xml:space="preserve"> de las quej</w:t>
      </w:r>
      <w:r w:rsidR="00526250" w:rsidRPr="00076E57">
        <w:rPr>
          <w:rFonts w:asciiTheme="minorBidi" w:hAnsiTheme="minorBidi" w:cstheme="minorBidi"/>
          <w:sz w:val="26"/>
          <w:szCs w:val="26"/>
        </w:rPr>
        <w:t>os</w:t>
      </w:r>
      <w:r w:rsidR="004F488E" w:rsidRPr="00076E57">
        <w:rPr>
          <w:rFonts w:asciiTheme="minorBidi" w:hAnsiTheme="minorBidi" w:cstheme="minorBidi"/>
          <w:sz w:val="26"/>
          <w:szCs w:val="26"/>
        </w:rPr>
        <w:t>as</w:t>
      </w:r>
      <w:r w:rsidR="004F488E" w:rsidRPr="009B5599">
        <w:rPr>
          <w:rFonts w:asciiTheme="minorBidi" w:hAnsiTheme="minorBidi" w:cstheme="minorBidi"/>
          <w:sz w:val="26"/>
          <w:szCs w:val="26"/>
        </w:rPr>
        <w:t>, por los que</w:t>
      </w:r>
      <w:r w:rsidR="00EF3BD4" w:rsidRPr="009B5599">
        <w:rPr>
          <w:rFonts w:asciiTheme="minorBidi" w:hAnsiTheme="minorBidi" w:cstheme="minorBidi"/>
          <w:sz w:val="26"/>
          <w:szCs w:val="26"/>
        </w:rPr>
        <w:t xml:space="preserve"> se </w:t>
      </w:r>
      <w:r w:rsidR="004F488E" w:rsidRPr="009B5599">
        <w:rPr>
          <w:rFonts w:asciiTheme="minorBidi" w:hAnsiTheme="minorBidi" w:cstheme="minorBidi"/>
          <w:sz w:val="26"/>
          <w:szCs w:val="26"/>
        </w:rPr>
        <w:t>dolieron</w:t>
      </w:r>
      <w:r w:rsidR="00EF3BD4" w:rsidRPr="009B5599">
        <w:rPr>
          <w:rFonts w:asciiTheme="minorBidi" w:hAnsiTheme="minorBidi" w:cstheme="minorBidi"/>
          <w:sz w:val="26"/>
          <w:szCs w:val="26"/>
        </w:rPr>
        <w:t xml:space="preserve"> transversalmente del incumplimiento de la sala responsable de juzgar con perspectiva de género</w:t>
      </w:r>
      <w:r w:rsidR="00526250" w:rsidRPr="009B5599">
        <w:rPr>
          <w:rFonts w:asciiTheme="minorBidi" w:hAnsiTheme="minorBidi" w:cstheme="minorBidi"/>
          <w:sz w:val="26"/>
          <w:szCs w:val="26"/>
        </w:rPr>
        <w:t xml:space="preserve"> en el caso</w:t>
      </w:r>
      <w:r w:rsidR="004F488E" w:rsidRPr="009B5599">
        <w:rPr>
          <w:rFonts w:asciiTheme="minorBidi" w:hAnsiTheme="minorBidi" w:cstheme="minorBidi"/>
          <w:sz w:val="26"/>
          <w:szCs w:val="26"/>
        </w:rPr>
        <w:t xml:space="preserve">. </w:t>
      </w:r>
    </w:p>
    <w:p w14:paraId="2633ABE7" w14:textId="77777777" w:rsidR="00102CD8" w:rsidRPr="00833CBC" w:rsidRDefault="00102CD8" w:rsidP="00102CD8">
      <w:pPr>
        <w:pStyle w:val="corte4fondo"/>
        <w:ind w:right="51" w:firstLine="0"/>
        <w:rPr>
          <w:rFonts w:asciiTheme="minorBidi" w:hAnsiTheme="minorBidi" w:cstheme="minorBidi"/>
          <w:sz w:val="26"/>
          <w:szCs w:val="26"/>
        </w:rPr>
      </w:pPr>
    </w:p>
    <w:p w14:paraId="0F089BBD" w14:textId="63CF63C7" w:rsidR="00860796" w:rsidRPr="00833CBC" w:rsidRDefault="00860796" w:rsidP="001A476B">
      <w:pPr>
        <w:pStyle w:val="corte4fondo"/>
        <w:numPr>
          <w:ilvl w:val="0"/>
          <w:numId w:val="2"/>
        </w:numPr>
        <w:ind w:left="0" w:right="51" w:hanging="567"/>
        <w:rPr>
          <w:rFonts w:asciiTheme="minorBidi" w:hAnsiTheme="minorBidi" w:cstheme="minorBidi"/>
          <w:sz w:val="26"/>
          <w:szCs w:val="26"/>
        </w:rPr>
      </w:pPr>
      <w:r w:rsidRPr="00833CBC">
        <w:rPr>
          <w:rFonts w:asciiTheme="minorBidi" w:hAnsiTheme="minorBidi" w:cstheme="minorBidi"/>
          <w:sz w:val="26"/>
          <w:szCs w:val="26"/>
        </w:rPr>
        <w:t>Finalmente, esta Sala estudiará el cuarto concepto de violación, por el que las quejosas reclaman una incorrecta apreciación del alcance del convenio de conciliación celebrado por el COPRED, frente a la posibilidad de las quejosas de reclamar medidas de reparación integral en un procedimiento judicial posterior.</w:t>
      </w:r>
    </w:p>
    <w:p w14:paraId="4A6ECB8F" w14:textId="77777777" w:rsidR="007A301B" w:rsidRPr="00D178F2" w:rsidRDefault="007A301B" w:rsidP="009C3374">
      <w:pPr>
        <w:rPr>
          <w:rFonts w:ascii="Arial" w:eastAsia="Times New Roman" w:hAnsi="Arial" w:cs="Arial"/>
          <w:sz w:val="26"/>
          <w:szCs w:val="26"/>
          <w:lang w:val="es-ES_tradnl" w:eastAsia="es-MX"/>
        </w:rPr>
      </w:pPr>
    </w:p>
    <w:p w14:paraId="14C3E405" w14:textId="6E74CC8B" w:rsidR="00E21D51" w:rsidRPr="00D178F2" w:rsidRDefault="00C125B5" w:rsidP="00070BFC">
      <w:pPr>
        <w:pStyle w:val="corte4fondo"/>
        <w:ind w:right="51" w:hanging="567"/>
        <w:jc w:val="center"/>
        <w:rPr>
          <w:rFonts w:cs="Arial"/>
          <w:b/>
          <w:color w:val="000000" w:themeColor="text1"/>
          <w:sz w:val="26"/>
          <w:szCs w:val="26"/>
          <w:lang w:val="es-ES"/>
        </w:rPr>
      </w:pPr>
      <w:r w:rsidRPr="0090726A">
        <w:rPr>
          <w:rFonts w:cs="Arial"/>
          <w:b/>
          <w:bCs/>
          <w:color w:val="000000" w:themeColor="text1"/>
          <w:sz w:val="26"/>
          <w:szCs w:val="26"/>
        </w:rPr>
        <w:t xml:space="preserve">iii) </w:t>
      </w:r>
      <w:r w:rsidR="00701DC3">
        <w:rPr>
          <w:rFonts w:cs="Arial"/>
          <w:b/>
          <w:bCs/>
          <w:color w:val="000000" w:themeColor="text1"/>
          <w:sz w:val="26"/>
          <w:szCs w:val="26"/>
        </w:rPr>
        <w:t>Concepto de violación relacionado con el a</w:t>
      </w:r>
      <w:r w:rsidR="00E21D51" w:rsidRPr="0090726A">
        <w:rPr>
          <w:rFonts w:cs="Arial"/>
          <w:b/>
          <w:bCs/>
          <w:color w:val="000000" w:themeColor="text1"/>
          <w:sz w:val="26"/>
          <w:szCs w:val="26"/>
        </w:rPr>
        <w:t>lcance del convenio de conciliación ante el COPRED</w:t>
      </w:r>
    </w:p>
    <w:p w14:paraId="4D3120ED" w14:textId="77777777" w:rsidR="00443810" w:rsidRPr="00D178F2" w:rsidRDefault="00443810" w:rsidP="009C3374">
      <w:pPr>
        <w:rPr>
          <w:rFonts w:ascii="Arial" w:hAnsi="Arial" w:cs="Arial"/>
          <w:sz w:val="26"/>
          <w:szCs w:val="26"/>
          <w:lang w:val="es-ES_tradnl"/>
        </w:rPr>
      </w:pPr>
    </w:p>
    <w:p w14:paraId="35630A0E" w14:textId="7048E229" w:rsidR="005E5B0A" w:rsidRPr="00A9454C" w:rsidRDefault="007E5740" w:rsidP="001A476B">
      <w:pPr>
        <w:pStyle w:val="corte4fondo"/>
        <w:numPr>
          <w:ilvl w:val="0"/>
          <w:numId w:val="2"/>
        </w:numPr>
        <w:ind w:left="0" w:right="51" w:hanging="567"/>
        <w:rPr>
          <w:rFonts w:cs="Arial"/>
          <w:sz w:val="26"/>
          <w:szCs w:val="26"/>
          <w:lang w:val="es-ES"/>
        </w:rPr>
      </w:pPr>
      <w:r w:rsidRPr="00D178F2">
        <w:rPr>
          <w:rFonts w:cs="Arial"/>
          <w:sz w:val="26"/>
          <w:szCs w:val="26"/>
          <w:lang w:val="es-ES"/>
        </w:rPr>
        <w:t xml:space="preserve">En su </w:t>
      </w:r>
      <w:r w:rsidR="00065286">
        <w:rPr>
          <w:rFonts w:cs="Arial"/>
          <w:sz w:val="26"/>
          <w:szCs w:val="26"/>
          <w:lang w:val="es-ES"/>
        </w:rPr>
        <w:t>demanda de amparo</w:t>
      </w:r>
      <w:r w:rsidRPr="00D178F2">
        <w:rPr>
          <w:rFonts w:cs="Arial"/>
          <w:sz w:val="26"/>
          <w:szCs w:val="26"/>
          <w:lang w:val="es-ES"/>
        </w:rPr>
        <w:t xml:space="preserve">, las quejosas </w:t>
      </w:r>
      <w:r w:rsidR="007F32A7">
        <w:rPr>
          <w:rFonts w:cs="Arial"/>
          <w:sz w:val="26"/>
          <w:szCs w:val="26"/>
          <w:lang w:val="es-ES"/>
        </w:rPr>
        <w:t>reclaman</w:t>
      </w:r>
      <w:r w:rsidR="00047DF9">
        <w:rPr>
          <w:rFonts w:cs="Arial"/>
          <w:sz w:val="26"/>
          <w:szCs w:val="26"/>
          <w:lang w:val="es-ES"/>
        </w:rPr>
        <w:t xml:space="preserve"> </w:t>
      </w:r>
      <w:r w:rsidR="00997C13" w:rsidRPr="003F6B95">
        <w:rPr>
          <w:rFonts w:cs="Arial"/>
          <w:sz w:val="26"/>
          <w:szCs w:val="26"/>
          <w:lang w:val="es-ES"/>
        </w:rPr>
        <w:t>qu</w:t>
      </w:r>
      <w:r w:rsidR="00047DF9">
        <w:rPr>
          <w:rFonts w:cs="Arial"/>
          <w:sz w:val="26"/>
          <w:szCs w:val="26"/>
          <w:lang w:val="es-ES"/>
        </w:rPr>
        <w:t xml:space="preserve">e </w:t>
      </w:r>
      <w:r w:rsidR="00E764C7" w:rsidRPr="003F6B95">
        <w:rPr>
          <w:rFonts w:cs="Arial"/>
          <w:sz w:val="26"/>
          <w:szCs w:val="26"/>
          <w:lang w:val="es-ES"/>
        </w:rPr>
        <w:t xml:space="preserve">la autoridad </w:t>
      </w:r>
      <w:r w:rsidR="00047DF9">
        <w:rPr>
          <w:rFonts w:cs="Arial"/>
          <w:sz w:val="26"/>
          <w:szCs w:val="26"/>
          <w:lang w:val="es-ES"/>
        </w:rPr>
        <w:t>absolvió</w:t>
      </w:r>
      <w:r w:rsidR="00047DF9" w:rsidRPr="003F6B95">
        <w:rPr>
          <w:rFonts w:cs="Arial"/>
          <w:sz w:val="26"/>
          <w:szCs w:val="26"/>
          <w:lang w:val="es-ES"/>
        </w:rPr>
        <w:t xml:space="preserve"> </w:t>
      </w:r>
      <w:r w:rsidR="00997C13" w:rsidRPr="003F6B95">
        <w:rPr>
          <w:rFonts w:cs="Arial"/>
          <w:sz w:val="26"/>
          <w:szCs w:val="26"/>
          <w:lang w:val="es-ES"/>
        </w:rPr>
        <w:t>a la</w:t>
      </w:r>
      <w:r w:rsidR="006217A0">
        <w:rPr>
          <w:rFonts w:cs="Arial"/>
          <w:sz w:val="26"/>
          <w:szCs w:val="26"/>
          <w:lang w:val="es-ES"/>
        </w:rPr>
        <w:t>s demandadas</w:t>
      </w:r>
      <w:r w:rsidR="00997C13" w:rsidRPr="003F6B95">
        <w:rPr>
          <w:rFonts w:cs="Arial"/>
          <w:sz w:val="26"/>
          <w:szCs w:val="26"/>
          <w:lang w:val="es-ES"/>
        </w:rPr>
        <w:t xml:space="preserve"> de cumplir con las prestaciones </w:t>
      </w:r>
      <w:r w:rsidR="007F32A7">
        <w:rPr>
          <w:rFonts w:cs="Arial"/>
          <w:sz w:val="26"/>
          <w:szCs w:val="26"/>
          <w:lang w:val="es-ES"/>
        </w:rPr>
        <w:t>solicitadas</w:t>
      </w:r>
      <w:r w:rsidR="0032180F" w:rsidRPr="003F6B95">
        <w:rPr>
          <w:rFonts w:cs="Arial"/>
          <w:sz w:val="26"/>
          <w:szCs w:val="26"/>
          <w:lang w:val="es-ES"/>
        </w:rPr>
        <w:t>,</w:t>
      </w:r>
      <w:r w:rsidR="00997C13" w:rsidRPr="003F6B95">
        <w:rPr>
          <w:rFonts w:cs="Arial"/>
          <w:sz w:val="26"/>
          <w:szCs w:val="26"/>
          <w:lang w:val="es-ES"/>
        </w:rPr>
        <w:t xml:space="preserve"> bajo el argumento de que </w:t>
      </w:r>
      <w:r w:rsidR="00814EE2">
        <w:rPr>
          <w:rFonts w:cs="Arial"/>
          <w:sz w:val="26"/>
          <w:szCs w:val="26"/>
          <w:lang w:val="es-ES"/>
        </w:rPr>
        <w:t xml:space="preserve">las medidas de reparación previstas </w:t>
      </w:r>
      <w:r w:rsidR="00997C13" w:rsidRPr="003F6B95">
        <w:rPr>
          <w:rFonts w:cs="Arial"/>
          <w:sz w:val="26"/>
          <w:szCs w:val="26"/>
          <w:lang w:val="es-ES"/>
        </w:rPr>
        <w:t xml:space="preserve">en el acuerdo de conciliación suscrito ante </w:t>
      </w:r>
      <w:r w:rsidR="002F545E">
        <w:rPr>
          <w:rFonts w:cs="Arial"/>
          <w:sz w:val="26"/>
          <w:szCs w:val="26"/>
          <w:lang w:val="es-ES"/>
        </w:rPr>
        <w:t xml:space="preserve">el </w:t>
      </w:r>
      <w:r w:rsidR="00997C13" w:rsidRPr="003F6B95">
        <w:rPr>
          <w:rFonts w:cs="Arial"/>
          <w:sz w:val="26"/>
          <w:szCs w:val="26"/>
          <w:lang w:val="es-ES"/>
        </w:rPr>
        <w:t>COPRED</w:t>
      </w:r>
      <w:r w:rsidR="00814EE2">
        <w:rPr>
          <w:rFonts w:cs="Arial"/>
          <w:sz w:val="26"/>
          <w:szCs w:val="26"/>
          <w:lang w:val="es-ES"/>
        </w:rPr>
        <w:t xml:space="preserve"> </w:t>
      </w:r>
      <w:r w:rsidR="00B45AE6" w:rsidRPr="003F6B95">
        <w:rPr>
          <w:rFonts w:cs="Arial"/>
          <w:sz w:val="26"/>
          <w:szCs w:val="26"/>
          <w:lang w:val="es-ES"/>
        </w:rPr>
        <w:t>constitu</w:t>
      </w:r>
      <w:r w:rsidR="00FC11A4">
        <w:rPr>
          <w:rFonts w:cs="Arial"/>
          <w:sz w:val="26"/>
          <w:szCs w:val="26"/>
          <w:lang w:val="es-ES"/>
        </w:rPr>
        <w:t>ía</w:t>
      </w:r>
      <w:r w:rsidR="00B45AE6" w:rsidRPr="003F6B95">
        <w:rPr>
          <w:rFonts w:cs="Arial"/>
          <w:sz w:val="26"/>
          <w:szCs w:val="26"/>
          <w:lang w:val="es-ES"/>
        </w:rPr>
        <w:t>n cosa juzgada</w:t>
      </w:r>
      <w:r w:rsidR="00997C13" w:rsidRPr="003F6B95">
        <w:rPr>
          <w:rFonts w:cs="Arial"/>
          <w:sz w:val="26"/>
          <w:szCs w:val="26"/>
          <w:lang w:val="es-ES"/>
        </w:rPr>
        <w:t>.</w:t>
      </w:r>
      <w:r w:rsidR="00FF2A34">
        <w:rPr>
          <w:rFonts w:cs="Arial"/>
          <w:sz w:val="26"/>
          <w:szCs w:val="26"/>
          <w:lang w:val="es-ES"/>
        </w:rPr>
        <w:t xml:space="preserve"> </w:t>
      </w:r>
      <w:r w:rsidR="00DE0D7C">
        <w:rPr>
          <w:rFonts w:cs="Arial"/>
          <w:sz w:val="26"/>
          <w:szCs w:val="26"/>
          <w:lang w:val="es-ES"/>
        </w:rPr>
        <w:t>La</w:t>
      </w:r>
      <w:r w:rsidR="0032180F" w:rsidRPr="003F6B95">
        <w:rPr>
          <w:rFonts w:cs="Arial"/>
          <w:sz w:val="26"/>
          <w:szCs w:val="26"/>
          <w:lang w:val="es-ES"/>
        </w:rPr>
        <w:t>s quejosas plantean que</w:t>
      </w:r>
      <w:r w:rsidR="009B4E45" w:rsidRPr="003F6B95">
        <w:rPr>
          <w:rFonts w:cs="Arial"/>
          <w:sz w:val="26"/>
          <w:szCs w:val="26"/>
          <w:lang w:val="es-ES"/>
        </w:rPr>
        <w:t xml:space="preserve"> el acuerdo de conciliación constituye un acto de naturaleza administrativa</w:t>
      </w:r>
      <w:r w:rsidR="0032180F" w:rsidRPr="003F6B95">
        <w:rPr>
          <w:rFonts w:cs="Arial"/>
          <w:sz w:val="26"/>
          <w:szCs w:val="26"/>
          <w:lang w:val="es-ES"/>
        </w:rPr>
        <w:t>,</w:t>
      </w:r>
      <w:r w:rsidR="009B4E45" w:rsidRPr="003F6B95">
        <w:rPr>
          <w:rFonts w:cs="Arial"/>
          <w:sz w:val="26"/>
          <w:szCs w:val="26"/>
          <w:lang w:val="es-ES"/>
        </w:rPr>
        <w:t xml:space="preserve"> por lo que negar la procedencia de las reparaciones en una vía distinta</w:t>
      </w:r>
      <w:r w:rsidR="005143A5" w:rsidRPr="003F6B95">
        <w:rPr>
          <w:rFonts w:cs="Arial"/>
          <w:sz w:val="26"/>
          <w:szCs w:val="26"/>
          <w:lang w:val="es-ES"/>
        </w:rPr>
        <w:t xml:space="preserve">, </w:t>
      </w:r>
      <w:r w:rsidR="009B4E45" w:rsidRPr="003F6B95">
        <w:rPr>
          <w:rFonts w:cs="Arial"/>
          <w:sz w:val="26"/>
          <w:szCs w:val="26"/>
          <w:lang w:val="es-ES"/>
        </w:rPr>
        <w:t>como la civil</w:t>
      </w:r>
      <w:r w:rsidR="005143A5" w:rsidRPr="003F6B95">
        <w:rPr>
          <w:rFonts w:cs="Arial"/>
          <w:sz w:val="26"/>
          <w:szCs w:val="26"/>
          <w:lang w:val="es-ES"/>
        </w:rPr>
        <w:t>,</w:t>
      </w:r>
      <w:r w:rsidR="009B4E45" w:rsidRPr="003F6B95">
        <w:rPr>
          <w:rFonts w:cs="Arial"/>
          <w:sz w:val="26"/>
          <w:szCs w:val="26"/>
          <w:lang w:val="es-ES"/>
        </w:rPr>
        <w:t xml:space="preserve"> atenta contra el ejercicio de su derecho a un recurso judicial efectivo.</w:t>
      </w:r>
      <w:r w:rsidR="005E5B0A">
        <w:rPr>
          <w:rFonts w:cs="Arial"/>
          <w:sz w:val="26"/>
          <w:szCs w:val="26"/>
          <w:lang w:val="es-ES"/>
        </w:rPr>
        <w:t xml:space="preserve"> </w:t>
      </w:r>
      <w:r w:rsidR="00F62C2F">
        <w:rPr>
          <w:rFonts w:cs="Arial"/>
          <w:sz w:val="26"/>
          <w:szCs w:val="26"/>
          <w:lang w:val="es-ES"/>
        </w:rPr>
        <w:t>E</w:t>
      </w:r>
      <w:r w:rsidR="00103399" w:rsidRPr="005E5B0A">
        <w:rPr>
          <w:rFonts w:cs="Arial"/>
          <w:sz w:val="26"/>
          <w:szCs w:val="26"/>
          <w:lang w:val="es-ES"/>
        </w:rPr>
        <w:t xml:space="preserve">sta Primera Sala considera </w:t>
      </w:r>
      <w:r w:rsidR="00F62C2F">
        <w:rPr>
          <w:rFonts w:cs="Arial"/>
          <w:sz w:val="26"/>
          <w:szCs w:val="26"/>
          <w:lang w:val="es-ES"/>
        </w:rPr>
        <w:t>in</w:t>
      </w:r>
      <w:r w:rsidR="00566E9F" w:rsidRPr="002F6720">
        <w:rPr>
          <w:rFonts w:cs="Arial"/>
          <w:sz w:val="26"/>
          <w:szCs w:val="26"/>
          <w:lang w:val="es-ES"/>
        </w:rPr>
        <w:t>fundado</w:t>
      </w:r>
      <w:r w:rsidR="00103399" w:rsidRPr="008222B4">
        <w:rPr>
          <w:rFonts w:cs="Arial"/>
          <w:sz w:val="26"/>
          <w:szCs w:val="26"/>
          <w:lang w:val="es-ES"/>
        </w:rPr>
        <w:t xml:space="preserve"> e</w:t>
      </w:r>
      <w:r w:rsidR="00103399" w:rsidRPr="005E5B0A">
        <w:rPr>
          <w:rFonts w:cs="Arial"/>
          <w:sz w:val="26"/>
          <w:szCs w:val="26"/>
          <w:lang w:val="es-ES"/>
        </w:rPr>
        <w:t>l argumento de las quejosas</w:t>
      </w:r>
      <w:r w:rsidR="005E5B0A">
        <w:rPr>
          <w:rFonts w:cs="Arial"/>
          <w:sz w:val="26"/>
          <w:szCs w:val="26"/>
          <w:lang w:val="es-ES"/>
        </w:rPr>
        <w:t xml:space="preserve">, con </w:t>
      </w:r>
      <w:r w:rsidR="005E5B0A" w:rsidRPr="00A9454C">
        <w:rPr>
          <w:rFonts w:cs="Arial"/>
          <w:sz w:val="26"/>
          <w:szCs w:val="26"/>
          <w:lang w:val="es-ES"/>
        </w:rPr>
        <w:t>base en lo siguiente</w:t>
      </w:r>
      <w:r w:rsidR="00103399" w:rsidRPr="00A9454C">
        <w:rPr>
          <w:rFonts w:cs="Arial"/>
          <w:sz w:val="26"/>
          <w:szCs w:val="26"/>
          <w:lang w:val="es-ES"/>
        </w:rPr>
        <w:t xml:space="preserve">. </w:t>
      </w:r>
    </w:p>
    <w:p w14:paraId="2E4F4E71" w14:textId="77777777" w:rsidR="005E5B0A" w:rsidRPr="00A9454C" w:rsidRDefault="005E5B0A" w:rsidP="001A476B">
      <w:pPr>
        <w:pStyle w:val="corte4fondo"/>
        <w:ind w:right="51" w:hanging="567"/>
        <w:rPr>
          <w:rFonts w:cs="Arial"/>
          <w:sz w:val="26"/>
          <w:szCs w:val="26"/>
          <w:lang w:val="es-ES"/>
        </w:rPr>
      </w:pPr>
    </w:p>
    <w:p w14:paraId="45AFC2B9" w14:textId="44394147" w:rsidR="00493991" w:rsidRDefault="00590652" w:rsidP="001A476B">
      <w:pPr>
        <w:pStyle w:val="corte4fondo"/>
        <w:numPr>
          <w:ilvl w:val="0"/>
          <w:numId w:val="2"/>
        </w:numPr>
        <w:ind w:left="0" w:right="51" w:hanging="567"/>
        <w:rPr>
          <w:rFonts w:cs="Arial"/>
          <w:sz w:val="26"/>
          <w:szCs w:val="26"/>
        </w:rPr>
      </w:pPr>
      <w:r w:rsidRPr="00A9454C">
        <w:rPr>
          <w:rFonts w:cs="Arial"/>
          <w:sz w:val="26"/>
          <w:szCs w:val="26"/>
        </w:rPr>
        <w:t xml:space="preserve">Como punto de partida, es pertinente precisar que la </w:t>
      </w:r>
      <w:r w:rsidR="00E452F2" w:rsidRPr="00A9454C">
        <w:rPr>
          <w:rFonts w:cs="Arial"/>
          <w:sz w:val="26"/>
          <w:szCs w:val="26"/>
        </w:rPr>
        <w:t>s</w:t>
      </w:r>
      <w:r w:rsidRPr="00A9454C">
        <w:rPr>
          <w:rFonts w:cs="Arial"/>
          <w:sz w:val="26"/>
          <w:szCs w:val="26"/>
        </w:rPr>
        <w:t xml:space="preserve">ala responsable incurrió en una técnica </w:t>
      </w:r>
      <w:r w:rsidR="00E452F2" w:rsidRPr="00A9454C">
        <w:rPr>
          <w:rFonts w:cs="Arial"/>
          <w:sz w:val="26"/>
          <w:szCs w:val="26"/>
        </w:rPr>
        <w:t xml:space="preserve">deficiente, pues </w:t>
      </w:r>
      <w:r w:rsidRPr="00A9454C">
        <w:rPr>
          <w:rFonts w:cs="Arial"/>
          <w:sz w:val="26"/>
          <w:szCs w:val="26"/>
        </w:rPr>
        <w:t>se pronunció sobre la procedencia de las medidas de reparación integral solicitadas</w:t>
      </w:r>
      <w:r w:rsidR="00E452F2" w:rsidRPr="00A9454C">
        <w:rPr>
          <w:rFonts w:cs="Arial"/>
          <w:sz w:val="26"/>
          <w:szCs w:val="26"/>
        </w:rPr>
        <w:t>,</w:t>
      </w:r>
      <w:r w:rsidRPr="00A9454C">
        <w:rPr>
          <w:rFonts w:cs="Arial"/>
          <w:sz w:val="26"/>
          <w:szCs w:val="26"/>
        </w:rPr>
        <w:t xml:space="preserve"> a pesar de que no tuvo por actualizada la responsabilidad civil de las empresas demandadas, lo cual era un presupuesto</w:t>
      </w:r>
      <w:r w:rsidR="00CE1F5A" w:rsidRPr="00A9454C">
        <w:rPr>
          <w:rFonts w:cs="Arial"/>
          <w:sz w:val="26"/>
          <w:szCs w:val="26"/>
        </w:rPr>
        <w:t xml:space="preserve"> para realizar tal </w:t>
      </w:r>
      <w:r w:rsidR="005E0610" w:rsidRPr="00A9454C">
        <w:rPr>
          <w:rFonts w:cs="Arial"/>
          <w:sz w:val="26"/>
          <w:szCs w:val="26"/>
        </w:rPr>
        <w:t>análisis</w:t>
      </w:r>
      <w:r w:rsidR="0027404C" w:rsidRPr="00A9454C">
        <w:rPr>
          <w:rStyle w:val="Refdenotaalpie"/>
          <w:rFonts w:cs="Arial"/>
          <w:sz w:val="26"/>
          <w:szCs w:val="26"/>
        </w:rPr>
        <w:footnoteReference w:id="117"/>
      </w:r>
      <w:r w:rsidR="00FA7E3B" w:rsidRPr="00A9454C">
        <w:rPr>
          <w:rFonts w:cs="Arial"/>
          <w:sz w:val="26"/>
          <w:szCs w:val="26"/>
        </w:rPr>
        <w:t>.</w:t>
      </w:r>
      <w:r w:rsidR="000412AC" w:rsidRPr="002F6720">
        <w:rPr>
          <w:rFonts w:cs="Arial"/>
          <w:sz w:val="26"/>
          <w:szCs w:val="26"/>
        </w:rPr>
        <w:t xml:space="preserve"> </w:t>
      </w:r>
      <w:r w:rsidR="00D2047A" w:rsidRPr="002F6720">
        <w:rPr>
          <w:rFonts w:cs="Arial"/>
          <w:sz w:val="26"/>
          <w:szCs w:val="26"/>
        </w:rPr>
        <w:t xml:space="preserve">A pesar de esa deficiencia, </w:t>
      </w:r>
      <w:r w:rsidR="000412AC" w:rsidRPr="002F6720">
        <w:rPr>
          <w:rFonts w:cs="Arial"/>
          <w:sz w:val="26"/>
          <w:szCs w:val="26"/>
        </w:rPr>
        <w:t>dado que</w:t>
      </w:r>
      <w:r w:rsidR="0093711D">
        <w:rPr>
          <w:rFonts w:cs="Arial"/>
          <w:sz w:val="26"/>
          <w:szCs w:val="26"/>
        </w:rPr>
        <w:t xml:space="preserve"> en el caso </w:t>
      </w:r>
      <w:r w:rsidR="000412AC" w:rsidRPr="002F6720">
        <w:rPr>
          <w:rFonts w:cs="Arial"/>
          <w:sz w:val="26"/>
          <w:szCs w:val="26"/>
        </w:rPr>
        <w:t>han quedado acreditados los hechos ilícitos alegados</w:t>
      </w:r>
      <w:r w:rsidR="00B17D47">
        <w:rPr>
          <w:rFonts w:cs="Arial"/>
          <w:sz w:val="26"/>
          <w:szCs w:val="26"/>
        </w:rPr>
        <w:t>,</w:t>
      </w:r>
      <w:r w:rsidR="000412AC" w:rsidRPr="002F6720">
        <w:rPr>
          <w:rFonts w:cs="Arial"/>
          <w:sz w:val="26"/>
          <w:szCs w:val="26"/>
        </w:rPr>
        <w:t xml:space="preserve"> el daño moral resentido por las señoras </w:t>
      </w:r>
      <w:r w:rsidR="005C099B" w:rsidRPr="002F6720">
        <w:rPr>
          <w:rFonts w:cs="Arial"/>
          <w:color w:val="FF0000"/>
          <w:sz w:val="26"/>
          <w:szCs w:val="26"/>
          <w:lang w:val="es-ES"/>
        </w:rPr>
        <w:t>DF</w:t>
      </w:r>
      <w:r w:rsidR="005C099B" w:rsidRPr="002F6720" w:rsidDel="00885800">
        <w:rPr>
          <w:rFonts w:cs="Arial"/>
          <w:sz w:val="26"/>
          <w:szCs w:val="26"/>
          <w:lang w:val="es-ES"/>
        </w:rPr>
        <w:t xml:space="preserve"> </w:t>
      </w:r>
      <w:r w:rsidR="005C099B" w:rsidRPr="002F6720">
        <w:rPr>
          <w:rFonts w:cs="Arial"/>
          <w:sz w:val="26"/>
          <w:szCs w:val="26"/>
          <w:lang w:val="es-ES"/>
        </w:rPr>
        <w:t xml:space="preserve">y </w:t>
      </w:r>
      <w:r w:rsidR="005C099B" w:rsidRPr="002F6720">
        <w:rPr>
          <w:rFonts w:cs="Arial"/>
          <w:color w:val="FF0000"/>
          <w:sz w:val="26"/>
          <w:szCs w:val="26"/>
          <w:lang w:val="es-ES"/>
        </w:rPr>
        <w:t>GB</w:t>
      </w:r>
      <w:r w:rsidR="005C099B" w:rsidRPr="002F6720">
        <w:rPr>
          <w:rFonts w:cs="Arial"/>
          <w:color w:val="000000" w:themeColor="text1"/>
          <w:sz w:val="26"/>
          <w:szCs w:val="26"/>
          <w:lang w:val="es-ES"/>
        </w:rPr>
        <w:t xml:space="preserve">, </w:t>
      </w:r>
      <w:r w:rsidR="00D33493">
        <w:rPr>
          <w:rFonts w:cs="Arial"/>
          <w:color w:val="000000" w:themeColor="text1"/>
          <w:sz w:val="26"/>
          <w:szCs w:val="26"/>
          <w:lang w:val="es-ES"/>
        </w:rPr>
        <w:t xml:space="preserve">y el nexo causal entre ambos, </w:t>
      </w:r>
      <w:r w:rsidR="00D2047A" w:rsidRPr="002F6720">
        <w:rPr>
          <w:rFonts w:cs="Arial"/>
          <w:sz w:val="26"/>
          <w:szCs w:val="26"/>
        </w:rPr>
        <w:t xml:space="preserve">esta Primera Sala </w:t>
      </w:r>
      <w:r w:rsidR="00F12CBF" w:rsidRPr="002F6720">
        <w:rPr>
          <w:rFonts w:cs="Arial"/>
          <w:sz w:val="26"/>
          <w:szCs w:val="26"/>
        </w:rPr>
        <w:t>estudiará si fueron acertadas las consideraciones de la sala responsable</w:t>
      </w:r>
      <w:r w:rsidR="00814EE2">
        <w:rPr>
          <w:rFonts w:cs="Arial"/>
          <w:sz w:val="26"/>
          <w:szCs w:val="26"/>
        </w:rPr>
        <w:t xml:space="preserve"> en la materia</w:t>
      </w:r>
      <w:r w:rsidR="00F12CBF" w:rsidRPr="002F6720">
        <w:rPr>
          <w:rFonts w:cs="Arial"/>
          <w:sz w:val="26"/>
          <w:szCs w:val="26"/>
        </w:rPr>
        <w:t>.</w:t>
      </w:r>
    </w:p>
    <w:p w14:paraId="0546F804" w14:textId="77777777" w:rsidR="00961B5D" w:rsidRDefault="00961B5D" w:rsidP="001A476B">
      <w:pPr>
        <w:pStyle w:val="corte4fondo"/>
        <w:ind w:right="51" w:hanging="567"/>
        <w:rPr>
          <w:rFonts w:cs="Arial"/>
          <w:sz w:val="26"/>
          <w:szCs w:val="26"/>
        </w:rPr>
      </w:pPr>
    </w:p>
    <w:p w14:paraId="0C67ACAA" w14:textId="4D8E3C10" w:rsidR="00792304" w:rsidRDefault="00961B5D" w:rsidP="001A476B">
      <w:pPr>
        <w:pStyle w:val="corte4fondo"/>
        <w:numPr>
          <w:ilvl w:val="0"/>
          <w:numId w:val="2"/>
        </w:numPr>
        <w:ind w:left="0" w:right="51" w:hanging="567"/>
        <w:rPr>
          <w:noProof/>
          <w:sz w:val="26"/>
          <w:szCs w:val="26"/>
          <w:lang w:val="es-MX"/>
        </w:rPr>
      </w:pPr>
      <w:r>
        <w:rPr>
          <w:rFonts w:cs="Arial"/>
          <w:sz w:val="26"/>
          <w:szCs w:val="26"/>
        </w:rPr>
        <w:t>En la sentencia de apela</w:t>
      </w:r>
      <w:r w:rsidRPr="00270094">
        <w:rPr>
          <w:rFonts w:cs="Arial"/>
          <w:sz w:val="26"/>
          <w:szCs w:val="26"/>
        </w:rPr>
        <w:t xml:space="preserve">ción, la sala sostuvo que </w:t>
      </w:r>
      <w:r w:rsidR="00270094" w:rsidRPr="002F6720">
        <w:rPr>
          <w:rFonts w:cs="Arial"/>
          <w:sz w:val="26"/>
          <w:szCs w:val="26"/>
        </w:rPr>
        <w:t>las medidas</w:t>
      </w:r>
      <w:r w:rsidR="00256090">
        <w:rPr>
          <w:rFonts w:cs="Arial"/>
          <w:sz w:val="26"/>
          <w:szCs w:val="26"/>
        </w:rPr>
        <w:t xml:space="preserve"> de reparación del daño solicitadas por las actoras ya habían formado </w:t>
      </w:r>
      <w:r w:rsidR="00270094" w:rsidRPr="002F6720">
        <w:rPr>
          <w:rFonts w:cs="Arial"/>
          <w:sz w:val="26"/>
          <w:szCs w:val="26"/>
        </w:rPr>
        <w:t>parte del convenio celebrado entre las partes ante el C</w:t>
      </w:r>
      <w:r w:rsidR="00256090">
        <w:rPr>
          <w:rFonts w:cs="Arial"/>
          <w:sz w:val="26"/>
          <w:szCs w:val="26"/>
        </w:rPr>
        <w:t>OPRED,</w:t>
      </w:r>
      <w:r w:rsidR="00270094" w:rsidRPr="002F6720">
        <w:rPr>
          <w:rFonts w:cs="Arial"/>
          <w:sz w:val="26"/>
          <w:szCs w:val="26"/>
        </w:rPr>
        <w:t xml:space="preserve"> y </w:t>
      </w:r>
      <w:r w:rsidR="00256090">
        <w:rPr>
          <w:rFonts w:cs="Arial"/>
          <w:sz w:val="26"/>
          <w:szCs w:val="26"/>
        </w:rPr>
        <w:t xml:space="preserve">que, </w:t>
      </w:r>
      <w:r w:rsidR="00270094" w:rsidRPr="002F6720">
        <w:rPr>
          <w:rFonts w:cs="Arial"/>
          <w:sz w:val="26"/>
          <w:szCs w:val="26"/>
        </w:rPr>
        <w:t xml:space="preserve">por lo tanto, no </w:t>
      </w:r>
      <w:r w:rsidR="003B7038">
        <w:rPr>
          <w:rFonts w:cs="Arial"/>
          <w:sz w:val="26"/>
          <w:szCs w:val="26"/>
        </w:rPr>
        <w:t>podía</w:t>
      </w:r>
      <w:r w:rsidR="00270094" w:rsidRPr="002F6720">
        <w:rPr>
          <w:rFonts w:cs="Arial"/>
          <w:sz w:val="26"/>
          <w:szCs w:val="26"/>
        </w:rPr>
        <w:t xml:space="preserve"> nuevamente analizarse una cuestión que</w:t>
      </w:r>
      <w:r w:rsidR="00256090" w:rsidRPr="003B7038">
        <w:rPr>
          <w:rFonts w:cs="Arial"/>
          <w:sz w:val="26"/>
          <w:szCs w:val="26"/>
        </w:rPr>
        <w:t xml:space="preserve"> t</w:t>
      </w:r>
      <w:r w:rsidR="00270094" w:rsidRPr="002F6720">
        <w:rPr>
          <w:rFonts w:cs="Arial"/>
          <w:sz w:val="26"/>
          <w:szCs w:val="26"/>
        </w:rPr>
        <w:t xml:space="preserve">iene la calidad de cosa juzgada, </w:t>
      </w:r>
      <w:r w:rsidR="00256090" w:rsidRPr="003B7038">
        <w:rPr>
          <w:rFonts w:cs="Arial"/>
          <w:sz w:val="26"/>
          <w:szCs w:val="26"/>
        </w:rPr>
        <w:t>de conformidad con el artículo 78 de la Ley para Prevenir y Eliminar la Discriminación del Distrito Federal</w:t>
      </w:r>
      <w:r w:rsidR="00256090" w:rsidRPr="003B7038">
        <w:rPr>
          <w:rStyle w:val="Refdenotaalpie"/>
          <w:rFonts w:cs="Arial"/>
          <w:sz w:val="26"/>
          <w:szCs w:val="26"/>
        </w:rPr>
        <w:footnoteReference w:id="118"/>
      </w:r>
      <w:r w:rsidR="00256090" w:rsidRPr="003B7038">
        <w:rPr>
          <w:rFonts w:cs="Arial"/>
          <w:sz w:val="26"/>
          <w:szCs w:val="26"/>
        </w:rPr>
        <w:t xml:space="preserve">. </w:t>
      </w:r>
      <w:r w:rsidR="003B7038" w:rsidRPr="003B7038">
        <w:rPr>
          <w:rFonts w:cs="Arial"/>
          <w:sz w:val="26"/>
          <w:szCs w:val="26"/>
        </w:rPr>
        <w:t>Para la sala, no</w:t>
      </w:r>
      <w:r w:rsidR="00270094" w:rsidRPr="002F6720">
        <w:rPr>
          <w:rFonts w:cs="Arial"/>
          <w:sz w:val="26"/>
          <w:szCs w:val="26"/>
        </w:rPr>
        <w:t xml:space="preserve"> podría estudiarse </w:t>
      </w:r>
      <w:r w:rsidR="003B7038" w:rsidRPr="003B7038">
        <w:rPr>
          <w:rFonts w:cs="Arial"/>
          <w:sz w:val="26"/>
          <w:szCs w:val="26"/>
        </w:rPr>
        <w:t xml:space="preserve">en el juicio civil </w:t>
      </w:r>
      <w:r w:rsidR="00270094" w:rsidRPr="002F6720">
        <w:rPr>
          <w:rFonts w:cs="Arial"/>
          <w:sz w:val="26"/>
          <w:szCs w:val="26"/>
        </w:rPr>
        <w:t>una cuestión p</w:t>
      </w:r>
      <w:r w:rsidR="003B7038" w:rsidRPr="003B7038">
        <w:rPr>
          <w:rFonts w:cs="Arial"/>
          <w:sz w:val="26"/>
          <w:szCs w:val="26"/>
        </w:rPr>
        <w:t xml:space="preserve">reviamente debatida y </w:t>
      </w:r>
      <w:r w:rsidR="003B7038" w:rsidRPr="002F6720">
        <w:rPr>
          <w:noProof/>
          <w:sz w:val="26"/>
          <w:szCs w:val="26"/>
          <w:lang w:val="es-MX"/>
        </w:rPr>
        <w:t xml:space="preserve">resuelta por las propias actoras y las </w:t>
      </w:r>
      <w:r w:rsidR="003B7038" w:rsidRPr="00A36289">
        <w:rPr>
          <w:noProof/>
          <w:sz w:val="26"/>
          <w:szCs w:val="26"/>
          <w:lang w:val="es-MX"/>
        </w:rPr>
        <w:t>codemandadas Reforma 222 y Protección Privada 2010</w:t>
      </w:r>
      <w:r w:rsidR="003B7038" w:rsidRPr="002F6720">
        <w:rPr>
          <w:noProof/>
          <w:sz w:val="26"/>
          <w:szCs w:val="26"/>
          <w:lang w:val="es-MX"/>
        </w:rPr>
        <w:t>, con base en los mismos hechos</w:t>
      </w:r>
      <w:r w:rsidR="003B7038" w:rsidRPr="003B7038">
        <w:rPr>
          <w:noProof/>
          <w:sz w:val="26"/>
          <w:szCs w:val="26"/>
          <w:lang w:val="es-MX"/>
        </w:rPr>
        <w:t>.</w:t>
      </w:r>
    </w:p>
    <w:p w14:paraId="50F23D1C" w14:textId="77777777" w:rsidR="00326907" w:rsidRDefault="00326907" w:rsidP="001A476B">
      <w:pPr>
        <w:pStyle w:val="corte4fondo"/>
        <w:ind w:right="51" w:hanging="567"/>
        <w:rPr>
          <w:noProof/>
          <w:sz w:val="26"/>
          <w:szCs w:val="26"/>
          <w:lang w:val="es-MX"/>
        </w:rPr>
      </w:pPr>
    </w:p>
    <w:p w14:paraId="19E93A82" w14:textId="29269035" w:rsidR="00E81B70" w:rsidRDefault="00A26B46" w:rsidP="001A476B">
      <w:pPr>
        <w:pStyle w:val="corte4fondo"/>
        <w:numPr>
          <w:ilvl w:val="0"/>
          <w:numId w:val="2"/>
        </w:numPr>
        <w:ind w:left="0" w:right="51" w:hanging="567"/>
        <w:rPr>
          <w:rFonts w:cs="Arial"/>
          <w:sz w:val="26"/>
          <w:szCs w:val="26"/>
        </w:rPr>
      </w:pPr>
      <w:r w:rsidRPr="002F6720">
        <w:rPr>
          <w:rFonts w:cs="Arial"/>
          <w:sz w:val="26"/>
          <w:szCs w:val="26"/>
        </w:rPr>
        <w:lastRenderedPageBreak/>
        <w:t>La sala también consideró que no era</w:t>
      </w:r>
      <w:r w:rsidR="00104AF8" w:rsidRPr="002F6720">
        <w:rPr>
          <w:rFonts w:cs="Arial"/>
          <w:sz w:val="26"/>
          <w:szCs w:val="26"/>
        </w:rPr>
        <w:t xml:space="preserve"> obstáculo </w:t>
      </w:r>
      <w:r w:rsidRPr="002F6720">
        <w:rPr>
          <w:rFonts w:cs="Arial"/>
          <w:sz w:val="26"/>
          <w:szCs w:val="26"/>
        </w:rPr>
        <w:t>de</w:t>
      </w:r>
      <w:r w:rsidR="00104AF8" w:rsidRPr="002F6720">
        <w:rPr>
          <w:rFonts w:cs="Arial"/>
          <w:sz w:val="26"/>
          <w:szCs w:val="26"/>
        </w:rPr>
        <w:t xml:space="preserve"> lo anterior que las medidas </w:t>
      </w:r>
      <w:r w:rsidRPr="002F6720">
        <w:rPr>
          <w:rFonts w:cs="Arial"/>
          <w:sz w:val="26"/>
          <w:szCs w:val="26"/>
        </w:rPr>
        <w:t xml:space="preserve">exigidas por las señoras fueran más amplias en el juicio civil. Para el tribunal, era al momento de la conciliación que tales medidas debieron exigirse, pues, de lo contrario, se infringiría el derecho de la contraparte a la seguridad jurídica, </w:t>
      </w:r>
      <w:r w:rsidR="00326907" w:rsidRPr="002F6720">
        <w:rPr>
          <w:rFonts w:cs="Arial"/>
          <w:sz w:val="26"/>
          <w:szCs w:val="26"/>
        </w:rPr>
        <w:t>pues se permitiría a las actoras ejercitar</w:t>
      </w:r>
      <w:r w:rsidR="004B7039">
        <w:rPr>
          <w:rFonts w:cs="Arial"/>
          <w:sz w:val="26"/>
          <w:szCs w:val="26"/>
        </w:rPr>
        <w:t xml:space="preserve"> más </w:t>
      </w:r>
      <w:r w:rsidR="00326907" w:rsidRPr="002F6720">
        <w:rPr>
          <w:rFonts w:cs="Arial"/>
          <w:sz w:val="26"/>
          <w:szCs w:val="26"/>
        </w:rPr>
        <w:t>acciones para reclamar prestaciones derivadas de los mismos hechos.</w:t>
      </w:r>
    </w:p>
    <w:p w14:paraId="179D05F1" w14:textId="187F5D2D" w:rsidR="00E81B70" w:rsidRPr="00326907" w:rsidRDefault="00326907" w:rsidP="001A476B">
      <w:pPr>
        <w:pStyle w:val="corte4fondo"/>
        <w:ind w:right="51" w:hanging="567"/>
        <w:rPr>
          <w:rFonts w:cs="Arial"/>
          <w:sz w:val="26"/>
          <w:szCs w:val="26"/>
        </w:rPr>
      </w:pPr>
      <w:r w:rsidRPr="002F6720">
        <w:rPr>
          <w:rFonts w:cs="Arial"/>
          <w:sz w:val="26"/>
          <w:szCs w:val="26"/>
        </w:rPr>
        <w:t xml:space="preserve"> </w:t>
      </w:r>
    </w:p>
    <w:p w14:paraId="4580B044" w14:textId="55529F44" w:rsidR="007926DA" w:rsidRPr="004E58F2" w:rsidRDefault="00E81B70" w:rsidP="001A476B">
      <w:pPr>
        <w:pStyle w:val="corte4fondo"/>
        <w:numPr>
          <w:ilvl w:val="0"/>
          <w:numId w:val="2"/>
        </w:numPr>
        <w:ind w:left="0" w:right="51" w:hanging="567"/>
        <w:rPr>
          <w:rFonts w:cs="Arial"/>
          <w:sz w:val="26"/>
          <w:szCs w:val="26"/>
        </w:rPr>
      </w:pPr>
      <w:r>
        <w:rPr>
          <w:rFonts w:cs="Arial"/>
          <w:sz w:val="26"/>
          <w:szCs w:val="26"/>
        </w:rPr>
        <w:t xml:space="preserve">Finalmente, la sala de apelación sostuvo que la calidad de cosa juzgada del convenio no hacía improcedente en el caso el reclamo de la indemnización por daño moral, dado que en el convenio ante el COPRED sólo se acordó revisar si la presunta responsable </w:t>
      </w:r>
      <w:r w:rsidR="005E29EF">
        <w:rPr>
          <w:rFonts w:cs="Arial"/>
          <w:sz w:val="26"/>
          <w:szCs w:val="26"/>
        </w:rPr>
        <w:t>consideraba procedente tal pretensión</w:t>
      </w:r>
      <w:r w:rsidR="00BD0F8C">
        <w:rPr>
          <w:rFonts w:cs="Arial"/>
          <w:sz w:val="26"/>
          <w:szCs w:val="26"/>
        </w:rPr>
        <w:t xml:space="preserve"> (</w:t>
      </w:r>
      <w:r w:rsidR="00381414">
        <w:rPr>
          <w:rFonts w:cs="Arial"/>
          <w:sz w:val="26"/>
          <w:szCs w:val="26"/>
        </w:rPr>
        <w:t>lo cual la empresa respondió en sentido negativo</w:t>
      </w:r>
      <w:r w:rsidR="00BD0F8C">
        <w:rPr>
          <w:rFonts w:cs="Arial"/>
          <w:sz w:val="26"/>
          <w:szCs w:val="26"/>
        </w:rPr>
        <w:t>), y en el acuerdo de conclusión la autoridad dejó a salvo los derechos de las señoras para solicitar una indemnización</w:t>
      </w:r>
      <w:r w:rsidR="005E29EF">
        <w:rPr>
          <w:rFonts w:cs="Arial"/>
          <w:sz w:val="26"/>
          <w:szCs w:val="26"/>
        </w:rPr>
        <w:t>.</w:t>
      </w:r>
      <w:r w:rsidR="00381414">
        <w:rPr>
          <w:rFonts w:cs="Arial"/>
          <w:sz w:val="26"/>
          <w:szCs w:val="26"/>
        </w:rPr>
        <w:t xml:space="preserve"> En ese sentido, </w:t>
      </w:r>
      <w:r w:rsidR="00BD0F8C">
        <w:rPr>
          <w:rFonts w:cs="Arial"/>
          <w:sz w:val="26"/>
          <w:szCs w:val="26"/>
        </w:rPr>
        <w:t>sostuvo</w:t>
      </w:r>
      <w:r w:rsidR="00381414">
        <w:rPr>
          <w:rFonts w:cs="Arial"/>
          <w:sz w:val="26"/>
          <w:szCs w:val="26"/>
        </w:rPr>
        <w:t xml:space="preserve"> la sala, </w:t>
      </w:r>
      <w:r w:rsidR="00BD0F8C">
        <w:rPr>
          <w:rFonts w:cs="Arial"/>
          <w:sz w:val="26"/>
          <w:szCs w:val="26"/>
        </w:rPr>
        <w:t>en la conciliación no hubo acuerdo respecto de la indemnización por daño moral, por lo que, de acreditarse los elementos de la acción, ésta no sería improce</w:t>
      </w:r>
      <w:r w:rsidR="00BD0F8C" w:rsidRPr="004E58F2">
        <w:rPr>
          <w:rFonts w:cs="Arial"/>
          <w:sz w:val="26"/>
          <w:szCs w:val="26"/>
        </w:rPr>
        <w:t>dente en el juicio civil.</w:t>
      </w:r>
    </w:p>
    <w:p w14:paraId="3D28B1D5" w14:textId="77777777" w:rsidR="00BD0F8C" w:rsidRPr="004E58F2" w:rsidRDefault="00BD0F8C" w:rsidP="001A476B">
      <w:pPr>
        <w:pStyle w:val="corte4fondo"/>
        <w:ind w:right="51" w:hanging="567"/>
        <w:rPr>
          <w:rFonts w:cs="Arial"/>
          <w:sz w:val="26"/>
          <w:szCs w:val="26"/>
        </w:rPr>
      </w:pPr>
    </w:p>
    <w:p w14:paraId="0E134EEE" w14:textId="39912E73" w:rsidR="00005546" w:rsidRPr="002F6720" w:rsidRDefault="00BD0F8C" w:rsidP="001A476B">
      <w:pPr>
        <w:pStyle w:val="corte4fondo"/>
        <w:numPr>
          <w:ilvl w:val="0"/>
          <w:numId w:val="2"/>
        </w:numPr>
        <w:ind w:left="0" w:right="51" w:hanging="567"/>
        <w:rPr>
          <w:rFonts w:cs="Arial"/>
          <w:sz w:val="26"/>
          <w:szCs w:val="26"/>
          <w:lang w:val="es-ES"/>
        </w:rPr>
      </w:pPr>
      <w:r w:rsidRPr="004E58F2">
        <w:rPr>
          <w:rFonts w:cs="Arial"/>
          <w:sz w:val="26"/>
          <w:szCs w:val="26"/>
        </w:rPr>
        <w:t xml:space="preserve">Esta Primera Sala </w:t>
      </w:r>
      <w:r w:rsidR="0038179E" w:rsidRPr="004E58F2">
        <w:rPr>
          <w:rFonts w:cs="Arial"/>
          <w:sz w:val="26"/>
          <w:szCs w:val="26"/>
        </w:rPr>
        <w:t>comparte</w:t>
      </w:r>
      <w:r w:rsidR="00293CDE" w:rsidRPr="004E58F2">
        <w:rPr>
          <w:rFonts w:cs="Arial"/>
          <w:sz w:val="26"/>
          <w:szCs w:val="26"/>
        </w:rPr>
        <w:t xml:space="preserve">, en esencia, </w:t>
      </w:r>
      <w:r w:rsidR="00130358">
        <w:rPr>
          <w:rFonts w:cs="Arial"/>
          <w:sz w:val="26"/>
          <w:szCs w:val="26"/>
        </w:rPr>
        <w:t xml:space="preserve">la conclusión de </w:t>
      </w:r>
      <w:r w:rsidR="00293CDE" w:rsidRPr="004E58F2">
        <w:rPr>
          <w:rFonts w:cs="Arial"/>
          <w:sz w:val="26"/>
          <w:szCs w:val="26"/>
        </w:rPr>
        <w:t>la sala de apelación</w:t>
      </w:r>
      <w:r w:rsidR="00130358">
        <w:rPr>
          <w:rFonts w:cs="Arial"/>
          <w:sz w:val="26"/>
          <w:szCs w:val="26"/>
        </w:rPr>
        <w:t>, aunque por razonamientos distintos</w:t>
      </w:r>
      <w:r w:rsidR="00293CDE" w:rsidRPr="004E58F2">
        <w:rPr>
          <w:rFonts w:cs="Arial"/>
          <w:sz w:val="26"/>
          <w:szCs w:val="26"/>
        </w:rPr>
        <w:t xml:space="preserve">. </w:t>
      </w:r>
      <w:r w:rsidR="004E58F2">
        <w:rPr>
          <w:rFonts w:cs="Arial"/>
          <w:sz w:val="26"/>
          <w:szCs w:val="26"/>
        </w:rPr>
        <w:t>Como</w:t>
      </w:r>
      <w:r w:rsidR="004E58F2" w:rsidRPr="00005546">
        <w:rPr>
          <w:rFonts w:eastAsiaTheme="minorHAnsi" w:cs="Arial"/>
          <w:iCs/>
          <w:color w:val="000000"/>
          <w:sz w:val="26"/>
          <w:szCs w:val="26"/>
          <w:bdr w:val="none" w:sz="0" w:space="0" w:color="auto" w:frame="1"/>
          <w:shd w:val="clear" w:color="auto" w:fill="FFFFFF"/>
          <w:lang w:val="es-CO" w:eastAsia="en-US"/>
        </w:rPr>
        <w:t xml:space="preserve"> sostuvimos anteriormente</w:t>
      </w:r>
      <w:r w:rsidR="004E58F2">
        <w:rPr>
          <w:rFonts w:eastAsiaTheme="minorHAnsi" w:cs="Arial"/>
          <w:iCs/>
          <w:color w:val="000000"/>
          <w:sz w:val="26"/>
          <w:szCs w:val="26"/>
          <w:bdr w:val="none" w:sz="0" w:space="0" w:color="auto" w:frame="1"/>
          <w:shd w:val="clear" w:color="auto" w:fill="FFFFFF"/>
          <w:lang w:val="es-CO" w:eastAsia="en-US"/>
        </w:rPr>
        <w:t>,</w:t>
      </w:r>
      <w:r w:rsidR="004E58F2" w:rsidRPr="004E58F2">
        <w:rPr>
          <w:rFonts w:cs="Arial"/>
          <w:iCs/>
          <w:color w:val="000000"/>
          <w:sz w:val="26"/>
          <w:szCs w:val="26"/>
          <w:bdr w:val="none" w:sz="0" w:space="0" w:color="auto" w:frame="1"/>
          <w:shd w:val="clear" w:color="auto" w:fill="FFFFFF"/>
          <w:lang w:val="es-CO"/>
        </w:rPr>
        <w:t xml:space="preserve"> el procedimiento de conciliación seguido ante el COPRED </w:t>
      </w:r>
      <w:r w:rsidR="004E58F2" w:rsidRPr="004E58F2">
        <w:rPr>
          <w:rFonts w:cs="Arial"/>
          <w:color w:val="000000"/>
          <w:sz w:val="26"/>
          <w:szCs w:val="26"/>
          <w:bdr w:val="none" w:sz="0" w:space="0" w:color="auto" w:frame="1"/>
          <w:shd w:val="clear" w:color="auto" w:fill="FFFFFF"/>
          <w:lang w:val="es-CO"/>
        </w:rPr>
        <w:t>funge como un mecanismo alternativo de solución de conflictos</w:t>
      </w:r>
      <w:r w:rsidR="004E58F2" w:rsidRPr="004E58F2">
        <w:rPr>
          <w:rFonts w:cs="Arial"/>
          <w:iCs/>
          <w:color w:val="000000"/>
          <w:sz w:val="26"/>
          <w:szCs w:val="26"/>
          <w:bdr w:val="none" w:sz="0" w:space="0" w:color="auto" w:frame="1"/>
          <w:shd w:val="clear" w:color="auto" w:fill="FFFFFF"/>
          <w:lang w:val="es-CO"/>
        </w:rPr>
        <w:t>, que privilegia llegar a un acuerdo resarcitorio</w:t>
      </w:r>
      <w:r w:rsidR="004E58F2" w:rsidRPr="004E58F2">
        <w:rPr>
          <w:rFonts w:cs="Arial"/>
          <w:color w:val="000000"/>
          <w:sz w:val="26"/>
          <w:szCs w:val="26"/>
          <w:bdr w:val="none" w:sz="0" w:space="0" w:color="auto" w:frame="1"/>
          <w:shd w:val="clear" w:color="auto" w:fill="FFFFFF"/>
          <w:lang w:val="es-CO"/>
        </w:rPr>
        <w:t>.</w:t>
      </w:r>
      <w:r w:rsidR="004E58F2" w:rsidRPr="004E58F2">
        <w:rPr>
          <w:rFonts w:cs="Arial"/>
          <w:iCs/>
          <w:color w:val="000000"/>
          <w:sz w:val="26"/>
          <w:szCs w:val="26"/>
          <w:bdr w:val="none" w:sz="0" w:space="0" w:color="auto" w:frame="1"/>
          <w:shd w:val="clear" w:color="auto" w:fill="FFFFFF"/>
          <w:lang w:val="es-CO"/>
        </w:rPr>
        <w:t xml:space="preserve"> Se trata de un procedimiento distinto de un proceso judicial, en el que el personal del COPRED interviene como un mediador y guía la negociación para que las partes involucradas lleguen a un acuerdo. En consecuencia, cuando </w:t>
      </w:r>
      <w:r w:rsidR="00962311">
        <w:rPr>
          <w:rFonts w:cs="Arial"/>
          <w:iCs/>
          <w:color w:val="000000"/>
          <w:sz w:val="26"/>
          <w:szCs w:val="26"/>
          <w:bdr w:val="none" w:sz="0" w:space="0" w:color="auto" w:frame="1"/>
          <w:shd w:val="clear" w:color="auto" w:fill="FFFFFF"/>
          <w:lang w:val="es-CO"/>
        </w:rPr>
        <w:t xml:space="preserve">las partes </w:t>
      </w:r>
      <w:r w:rsidR="004E58F2" w:rsidRPr="004E58F2">
        <w:rPr>
          <w:rFonts w:cs="Arial"/>
          <w:iCs/>
          <w:color w:val="000000"/>
          <w:sz w:val="26"/>
          <w:szCs w:val="26"/>
          <w:bdr w:val="none" w:sz="0" w:space="0" w:color="auto" w:frame="1"/>
          <w:shd w:val="clear" w:color="auto" w:fill="FFFFFF"/>
          <w:lang w:val="es-CO"/>
        </w:rPr>
        <w:t xml:space="preserve">llegan a </w:t>
      </w:r>
      <w:r w:rsidR="00B84084">
        <w:rPr>
          <w:rFonts w:cs="Arial"/>
          <w:iCs/>
          <w:color w:val="000000"/>
          <w:sz w:val="26"/>
          <w:szCs w:val="26"/>
          <w:bdr w:val="none" w:sz="0" w:space="0" w:color="auto" w:frame="1"/>
          <w:shd w:val="clear" w:color="auto" w:fill="FFFFFF"/>
          <w:lang w:val="es-CO"/>
        </w:rPr>
        <w:t>puntos de acuerdo</w:t>
      </w:r>
      <w:r w:rsidR="004E58F2" w:rsidRPr="004E58F2">
        <w:rPr>
          <w:rFonts w:cs="Arial"/>
          <w:iCs/>
          <w:color w:val="000000"/>
          <w:sz w:val="26"/>
          <w:szCs w:val="26"/>
          <w:bdr w:val="none" w:sz="0" w:space="0" w:color="auto" w:frame="1"/>
          <w:shd w:val="clear" w:color="auto" w:fill="FFFFFF"/>
          <w:lang w:val="es-CO"/>
        </w:rPr>
        <w:t xml:space="preserve"> se celebra un convenio</w:t>
      </w:r>
      <w:r w:rsidR="00962311">
        <w:rPr>
          <w:rFonts w:cs="Arial"/>
          <w:iCs/>
          <w:color w:val="000000"/>
          <w:sz w:val="26"/>
          <w:szCs w:val="26"/>
          <w:bdr w:val="none" w:sz="0" w:space="0" w:color="auto" w:frame="1"/>
          <w:shd w:val="clear" w:color="auto" w:fill="FFFFFF"/>
          <w:lang w:val="es-CO"/>
        </w:rPr>
        <w:t>,</w:t>
      </w:r>
      <w:r w:rsidR="004E58F2" w:rsidRPr="004E58F2">
        <w:rPr>
          <w:rFonts w:cs="Arial"/>
          <w:iCs/>
          <w:color w:val="000000"/>
          <w:sz w:val="26"/>
          <w:szCs w:val="26"/>
          <w:bdr w:val="none" w:sz="0" w:space="0" w:color="auto" w:frame="1"/>
          <w:shd w:val="clear" w:color="auto" w:fill="FFFFFF"/>
          <w:lang w:val="es-CO"/>
        </w:rPr>
        <w:t xml:space="preserve"> cuya validez es revisada por el propio COPRED y, una vez aprobado, se emite y adquiere la calidad de cosa juzgada</w:t>
      </w:r>
      <w:r w:rsidR="004E58F2" w:rsidRPr="004E58F2">
        <w:rPr>
          <w:rStyle w:val="Refdenotaalpie"/>
          <w:rFonts w:cs="Arial"/>
          <w:iCs/>
          <w:color w:val="000000"/>
          <w:sz w:val="26"/>
          <w:szCs w:val="26"/>
          <w:bdr w:val="none" w:sz="0" w:space="0" w:color="auto" w:frame="1"/>
          <w:shd w:val="clear" w:color="auto" w:fill="FFFFFF"/>
          <w:lang w:val="es-CO"/>
        </w:rPr>
        <w:footnoteReference w:id="119"/>
      </w:r>
      <w:r w:rsidR="004E58F2" w:rsidRPr="004E58F2">
        <w:rPr>
          <w:rFonts w:cs="Arial"/>
          <w:iCs/>
          <w:color w:val="000000"/>
          <w:sz w:val="26"/>
          <w:szCs w:val="26"/>
          <w:bdr w:val="none" w:sz="0" w:space="0" w:color="auto" w:frame="1"/>
          <w:shd w:val="clear" w:color="auto" w:fill="FFFFFF"/>
          <w:lang w:val="es-CO"/>
        </w:rPr>
        <w:t>.</w:t>
      </w:r>
    </w:p>
    <w:p w14:paraId="3FEBEC6C" w14:textId="06EF3D1B" w:rsidR="00005546" w:rsidRPr="004748D4" w:rsidRDefault="004E58F2" w:rsidP="001A476B">
      <w:pPr>
        <w:pStyle w:val="corte4fondo"/>
        <w:ind w:right="51" w:hanging="567"/>
        <w:rPr>
          <w:rFonts w:cs="Arial"/>
          <w:sz w:val="26"/>
          <w:szCs w:val="26"/>
          <w:lang w:val="es-ES"/>
        </w:rPr>
      </w:pPr>
      <w:r w:rsidRPr="004E58F2">
        <w:rPr>
          <w:rStyle w:val="Refdenotaalpie"/>
          <w:rFonts w:cs="Arial"/>
          <w:iCs/>
          <w:color w:val="000000"/>
          <w:sz w:val="26"/>
          <w:szCs w:val="26"/>
          <w:bdr w:val="none" w:sz="0" w:space="0" w:color="auto" w:frame="1"/>
          <w:shd w:val="clear" w:color="auto" w:fill="FFFFFF"/>
          <w:lang w:val="es-CO"/>
        </w:rPr>
        <w:t xml:space="preserve"> </w:t>
      </w:r>
    </w:p>
    <w:p w14:paraId="7FCDF73C" w14:textId="04D66F28" w:rsidR="00962311" w:rsidRDefault="00303EAB" w:rsidP="001A476B">
      <w:pPr>
        <w:pStyle w:val="corte4fondo"/>
        <w:numPr>
          <w:ilvl w:val="0"/>
          <w:numId w:val="2"/>
        </w:numPr>
        <w:ind w:left="0" w:right="51" w:hanging="567"/>
        <w:rPr>
          <w:rFonts w:cs="Arial"/>
          <w:sz w:val="26"/>
          <w:szCs w:val="26"/>
          <w:lang w:val="es-ES"/>
        </w:rPr>
      </w:pPr>
      <w:r>
        <w:rPr>
          <w:rFonts w:cs="Arial"/>
          <w:sz w:val="26"/>
          <w:szCs w:val="26"/>
          <w:lang w:val="es-ES"/>
        </w:rPr>
        <w:t>E</w:t>
      </w:r>
      <w:r w:rsidR="00637911">
        <w:rPr>
          <w:rFonts w:cs="Arial"/>
          <w:sz w:val="26"/>
          <w:szCs w:val="26"/>
          <w:lang w:val="es-ES"/>
        </w:rPr>
        <w:t xml:space="preserve">n ese sentido, </w:t>
      </w:r>
      <w:r>
        <w:rPr>
          <w:rFonts w:cs="Arial"/>
          <w:sz w:val="26"/>
          <w:szCs w:val="26"/>
          <w:lang w:val="es-ES"/>
        </w:rPr>
        <w:t>c</w:t>
      </w:r>
      <w:r w:rsidR="00005546">
        <w:rPr>
          <w:rFonts w:cs="Arial"/>
          <w:sz w:val="26"/>
          <w:szCs w:val="26"/>
          <w:lang w:val="es-ES"/>
        </w:rPr>
        <w:t xml:space="preserve">omo </w:t>
      </w:r>
      <w:r>
        <w:rPr>
          <w:rFonts w:cs="Arial"/>
          <w:sz w:val="26"/>
          <w:szCs w:val="26"/>
          <w:lang w:val="es-ES"/>
        </w:rPr>
        <w:t xml:space="preserve">un </w:t>
      </w:r>
      <w:r w:rsidR="00005546">
        <w:rPr>
          <w:rFonts w:cs="Arial"/>
          <w:sz w:val="26"/>
          <w:szCs w:val="26"/>
          <w:lang w:val="es-ES"/>
        </w:rPr>
        <w:t xml:space="preserve">mecanismo </w:t>
      </w:r>
      <w:r w:rsidR="00005546" w:rsidRPr="00085827">
        <w:rPr>
          <w:rFonts w:cs="Arial"/>
          <w:sz w:val="26"/>
          <w:szCs w:val="26"/>
          <w:lang w:val="es-ES"/>
        </w:rPr>
        <w:t>alternativo</w:t>
      </w:r>
      <w:r w:rsidR="00005546">
        <w:rPr>
          <w:rFonts w:cs="Arial"/>
          <w:sz w:val="26"/>
          <w:szCs w:val="26"/>
          <w:lang w:val="es-ES"/>
        </w:rPr>
        <w:t xml:space="preserve"> de resolución de conflictos</w:t>
      </w:r>
      <w:r>
        <w:rPr>
          <w:rFonts w:eastAsiaTheme="minorHAnsi" w:cs="Arial"/>
          <w:sz w:val="26"/>
          <w:szCs w:val="26"/>
          <w:lang w:val="es-ES" w:eastAsia="en-US"/>
        </w:rPr>
        <w:t xml:space="preserve">, </w:t>
      </w:r>
      <w:r>
        <w:rPr>
          <w:rFonts w:cs="Arial"/>
          <w:sz w:val="26"/>
          <w:szCs w:val="26"/>
          <w:lang w:val="es-ES"/>
        </w:rPr>
        <w:t xml:space="preserve">la conciliación ante el COPRED está encaminada a </w:t>
      </w:r>
      <w:r w:rsidR="006650AC">
        <w:rPr>
          <w:rFonts w:cs="Arial"/>
          <w:sz w:val="26"/>
          <w:szCs w:val="26"/>
          <w:lang w:val="es-ES"/>
        </w:rPr>
        <w:t xml:space="preserve">que las presuntas </w:t>
      </w:r>
      <w:r w:rsidR="006650AC">
        <w:rPr>
          <w:rFonts w:cs="Arial"/>
          <w:sz w:val="26"/>
          <w:szCs w:val="26"/>
          <w:lang w:val="es-ES"/>
        </w:rPr>
        <w:lastRenderedPageBreak/>
        <w:t>víctimas</w:t>
      </w:r>
      <w:r w:rsidR="00B12857">
        <w:rPr>
          <w:rFonts w:cs="Arial"/>
          <w:sz w:val="26"/>
          <w:szCs w:val="26"/>
          <w:lang w:val="es-ES"/>
        </w:rPr>
        <w:t xml:space="preserve"> de actos discriminatorios resuelvan </w:t>
      </w:r>
      <w:r w:rsidR="000B69AD">
        <w:rPr>
          <w:rFonts w:cs="Arial"/>
          <w:sz w:val="26"/>
          <w:szCs w:val="26"/>
          <w:lang w:val="es-ES"/>
        </w:rPr>
        <w:t xml:space="preserve">sus diferencias </w:t>
      </w:r>
      <w:r w:rsidR="00B12857">
        <w:rPr>
          <w:rFonts w:cs="Arial"/>
          <w:sz w:val="26"/>
          <w:szCs w:val="26"/>
          <w:lang w:val="es-ES"/>
        </w:rPr>
        <w:t>con la contraparte de</w:t>
      </w:r>
      <w:r w:rsidR="00962311" w:rsidRPr="00303EAB">
        <w:rPr>
          <w:rFonts w:cs="Arial"/>
          <w:sz w:val="26"/>
          <w:szCs w:val="26"/>
          <w:lang w:val="es-ES"/>
        </w:rPr>
        <w:t xml:space="preserve"> manera </w:t>
      </w:r>
      <w:r w:rsidR="007C3888">
        <w:rPr>
          <w:rFonts w:cs="Arial"/>
          <w:sz w:val="26"/>
          <w:szCs w:val="26"/>
          <w:lang w:val="es-ES"/>
        </w:rPr>
        <w:t xml:space="preserve">voluntaria, </w:t>
      </w:r>
      <w:r w:rsidR="003E4BD7">
        <w:rPr>
          <w:rFonts w:cs="Arial"/>
          <w:sz w:val="26"/>
          <w:szCs w:val="26"/>
          <w:lang w:val="es-ES"/>
        </w:rPr>
        <w:t xml:space="preserve">informada, </w:t>
      </w:r>
      <w:r w:rsidR="00962311" w:rsidRPr="00303EAB">
        <w:rPr>
          <w:rFonts w:cs="Arial"/>
          <w:sz w:val="26"/>
          <w:szCs w:val="26"/>
          <w:lang w:val="es-ES"/>
        </w:rPr>
        <w:t xml:space="preserve">rápida, eficaz y menos costosa que </w:t>
      </w:r>
      <w:r w:rsidR="000A6143">
        <w:rPr>
          <w:rFonts w:cs="Arial"/>
          <w:sz w:val="26"/>
          <w:szCs w:val="26"/>
          <w:lang w:val="es-ES"/>
        </w:rPr>
        <w:t>si la disputa se resuelve en un procedimiento jurisdiccional</w:t>
      </w:r>
      <w:r w:rsidR="0034733B">
        <w:rPr>
          <w:rStyle w:val="Refdenotaalpie"/>
          <w:rFonts w:cs="Arial"/>
          <w:sz w:val="26"/>
          <w:szCs w:val="26"/>
          <w:lang w:val="es-ES"/>
        </w:rPr>
        <w:footnoteReference w:id="120"/>
      </w:r>
      <w:r w:rsidR="00962311" w:rsidRPr="00303EAB">
        <w:rPr>
          <w:rFonts w:cs="Arial"/>
          <w:sz w:val="26"/>
          <w:szCs w:val="26"/>
          <w:lang w:val="es-ES"/>
        </w:rPr>
        <w:t xml:space="preserve">. </w:t>
      </w:r>
      <w:r w:rsidR="000A6143">
        <w:rPr>
          <w:rFonts w:cs="Arial"/>
          <w:sz w:val="26"/>
          <w:szCs w:val="26"/>
          <w:lang w:val="es-ES"/>
        </w:rPr>
        <w:t xml:space="preserve">De esta forma, </w:t>
      </w:r>
      <w:r w:rsidR="00B520FD">
        <w:rPr>
          <w:rFonts w:cs="Arial"/>
          <w:sz w:val="26"/>
          <w:szCs w:val="26"/>
          <w:lang w:val="es-ES"/>
        </w:rPr>
        <w:t>el mecanismo conciliatorio</w:t>
      </w:r>
      <w:r w:rsidR="00DE5CE7">
        <w:rPr>
          <w:rFonts w:cs="Arial"/>
          <w:sz w:val="26"/>
          <w:szCs w:val="26"/>
          <w:lang w:val="es-ES"/>
        </w:rPr>
        <w:t xml:space="preserve"> </w:t>
      </w:r>
      <w:r w:rsidR="00A22905">
        <w:rPr>
          <w:rFonts w:cs="Arial"/>
          <w:sz w:val="26"/>
          <w:szCs w:val="26"/>
          <w:lang w:val="es-ES"/>
        </w:rPr>
        <w:t xml:space="preserve">ante la autoridad </w:t>
      </w:r>
      <w:r w:rsidR="00DE5CE7">
        <w:rPr>
          <w:rFonts w:cs="Arial"/>
          <w:sz w:val="26"/>
          <w:szCs w:val="26"/>
          <w:lang w:val="es-ES"/>
        </w:rPr>
        <w:t xml:space="preserve">adopta un </w:t>
      </w:r>
      <w:r w:rsidR="00962311" w:rsidRPr="00962311">
        <w:rPr>
          <w:rFonts w:cs="Arial"/>
          <w:sz w:val="26"/>
          <w:szCs w:val="26"/>
          <w:lang w:val="es-ES"/>
        </w:rPr>
        <w:t xml:space="preserve">enfoque </w:t>
      </w:r>
      <w:r w:rsidR="00E40624">
        <w:rPr>
          <w:rFonts w:cs="Arial"/>
          <w:sz w:val="26"/>
          <w:szCs w:val="26"/>
          <w:lang w:val="es-ES"/>
        </w:rPr>
        <w:t xml:space="preserve">flexible, </w:t>
      </w:r>
      <w:r w:rsidR="00475041">
        <w:rPr>
          <w:rFonts w:cs="Arial"/>
          <w:sz w:val="26"/>
          <w:szCs w:val="26"/>
          <w:lang w:val="es-ES"/>
        </w:rPr>
        <w:t>comunicativo</w:t>
      </w:r>
      <w:r w:rsidR="00962311" w:rsidRPr="00962311">
        <w:rPr>
          <w:rFonts w:cs="Arial"/>
          <w:sz w:val="26"/>
          <w:szCs w:val="26"/>
          <w:lang w:val="es-ES"/>
        </w:rPr>
        <w:t>, menos adversarial</w:t>
      </w:r>
      <w:r w:rsidR="00C22A47">
        <w:rPr>
          <w:rFonts w:cs="Arial"/>
          <w:sz w:val="26"/>
          <w:szCs w:val="26"/>
          <w:lang w:val="es-ES"/>
        </w:rPr>
        <w:t xml:space="preserve"> </w:t>
      </w:r>
      <w:r w:rsidR="00962311" w:rsidRPr="00962311">
        <w:rPr>
          <w:rFonts w:cs="Arial"/>
          <w:sz w:val="26"/>
          <w:szCs w:val="26"/>
          <w:lang w:val="es-ES"/>
        </w:rPr>
        <w:t xml:space="preserve">y orientado a la resolución pacífica de </w:t>
      </w:r>
      <w:r w:rsidR="00DE5CE7">
        <w:rPr>
          <w:rFonts w:cs="Arial"/>
          <w:sz w:val="26"/>
          <w:szCs w:val="26"/>
          <w:lang w:val="es-ES"/>
        </w:rPr>
        <w:t>las controversias</w:t>
      </w:r>
      <w:r w:rsidR="003E4BD7">
        <w:rPr>
          <w:rFonts w:cs="Arial"/>
          <w:sz w:val="26"/>
          <w:szCs w:val="26"/>
          <w:lang w:val="es-ES"/>
        </w:rPr>
        <w:t>, sin necesidad de acudir a los tribunales</w:t>
      </w:r>
      <w:r w:rsidR="00585E6C">
        <w:rPr>
          <w:rStyle w:val="Refdenotaalpie"/>
          <w:rFonts w:cs="Arial"/>
          <w:sz w:val="26"/>
          <w:szCs w:val="26"/>
          <w:lang w:val="es-ES"/>
        </w:rPr>
        <w:footnoteReference w:id="121"/>
      </w:r>
      <w:r w:rsidR="00DE5CE7">
        <w:rPr>
          <w:rFonts w:cs="Arial"/>
          <w:sz w:val="26"/>
          <w:szCs w:val="26"/>
          <w:lang w:val="es-ES"/>
        </w:rPr>
        <w:t xml:space="preserve">. </w:t>
      </w:r>
    </w:p>
    <w:p w14:paraId="7F44F4AB" w14:textId="77777777" w:rsidR="00DE5CE7" w:rsidRDefault="00DE5CE7" w:rsidP="001A476B">
      <w:pPr>
        <w:pStyle w:val="corte4fondo"/>
        <w:ind w:right="51" w:hanging="567"/>
        <w:rPr>
          <w:rFonts w:cs="Arial"/>
          <w:sz w:val="26"/>
          <w:szCs w:val="26"/>
          <w:lang w:val="es-ES"/>
        </w:rPr>
      </w:pPr>
    </w:p>
    <w:p w14:paraId="626822F7" w14:textId="77777777" w:rsidR="00973A1D" w:rsidRDefault="008B0471" w:rsidP="001A476B">
      <w:pPr>
        <w:pStyle w:val="corte4fondo"/>
        <w:numPr>
          <w:ilvl w:val="0"/>
          <w:numId w:val="2"/>
        </w:numPr>
        <w:ind w:left="0" w:right="51" w:hanging="567"/>
        <w:rPr>
          <w:rFonts w:cs="Arial"/>
          <w:sz w:val="26"/>
          <w:szCs w:val="26"/>
          <w:lang w:val="es-ES"/>
        </w:rPr>
      </w:pPr>
      <w:r>
        <w:rPr>
          <w:rFonts w:cs="Arial"/>
          <w:sz w:val="26"/>
          <w:szCs w:val="26"/>
          <w:lang w:val="es-ES"/>
        </w:rPr>
        <w:t xml:space="preserve">Asimismo, para esta Sala, el </w:t>
      </w:r>
      <w:r w:rsidR="00627F8A" w:rsidRPr="008B0471">
        <w:rPr>
          <w:rFonts w:cs="Arial"/>
          <w:sz w:val="26"/>
          <w:szCs w:val="26"/>
          <w:lang w:val="es-ES"/>
        </w:rPr>
        <w:t>carácter de cosa juzgada</w:t>
      </w:r>
      <w:r w:rsidR="00637911">
        <w:rPr>
          <w:rFonts w:cs="Arial"/>
          <w:sz w:val="26"/>
          <w:szCs w:val="26"/>
          <w:lang w:val="es-ES"/>
        </w:rPr>
        <w:t xml:space="preserve"> del </w:t>
      </w:r>
      <w:r w:rsidR="00637911" w:rsidRPr="00627F8A">
        <w:rPr>
          <w:rFonts w:cs="Arial"/>
          <w:sz w:val="26"/>
          <w:szCs w:val="26"/>
          <w:lang w:val="es-ES"/>
        </w:rPr>
        <w:t>acuerdo de conciliación ante el COPRE</w:t>
      </w:r>
      <w:r w:rsidR="00637911">
        <w:rPr>
          <w:rFonts w:cs="Arial"/>
          <w:sz w:val="26"/>
          <w:szCs w:val="26"/>
          <w:lang w:val="es-ES"/>
        </w:rPr>
        <w:t>D</w:t>
      </w:r>
      <w:r w:rsidR="00627F8A" w:rsidRPr="008B0471">
        <w:rPr>
          <w:rFonts w:cs="Arial"/>
          <w:sz w:val="26"/>
          <w:szCs w:val="26"/>
          <w:lang w:val="es-ES"/>
        </w:rPr>
        <w:t>,</w:t>
      </w:r>
      <w:r w:rsidR="00637911">
        <w:rPr>
          <w:rFonts w:cs="Arial"/>
          <w:sz w:val="26"/>
          <w:szCs w:val="26"/>
          <w:lang w:val="es-ES"/>
        </w:rPr>
        <w:t xml:space="preserve"> establecido en </w:t>
      </w:r>
      <w:r w:rsidR="00F26990">
        <w:rPr>
          <w:rFonts w:cs="Arial"/>
          <w:sz w:val="26"/>
          <w:szCs w:val="26"/>
          <w:lang w:val="es-ES"/>
        </w:rPr>
        <w:t xml:space="preserve">el </w:t>
      </w:r>
      <w:r w:rsidR="00637911">
        <w:rPr>
          <w:rFonts w:cs="Arial"/>
          <w:sz w:val="26"/>
          <w:szCs w:val="26"/>
          <w:lang w:val="es-ES"/>
        </w:rPr>
        <w:t>artículo 78 de la ley</w:t>
      </w:r>
      <w:r w:rsidR="00B520FD">
        <w:rPr>
          <w:rFonts w:cs="Arial"/>
          <w:sz w:val="26"/>
          <w:szCs w:val="26"/>
          <w:lang w:val="es-ES"/>
        </w:rPr>
        <w:t xml:space="preserve"> citada</w:t>
      </w:r>
      <w:r w:rsidR="007F20BC">
        <w:rPr>
          <w:rFonts w:cs="Arial"/>
          <w:sz w:val="26"/>
          <w:szCs w:val="26"/>
          <w:lang w:val="es-ES"/>
        </w:rPr>
        <w:t xml:space="preserve"> (vigente al momento de los hechos)</w:t>
      </w:r>
      <w:r w:rsidR="00637911">
        <w:rPr>
          <w:rFonts w:cs="Arial"/>
          <w:sz w:val="26"/>
          <w:szCs w:val="26"/>
          <w:lang w:val="es-ES"/>
        </w:rPr>
        <w:t>,</w:t>
      </w:r>
      <w:r w:rsidR="00627F8A" w:rsidRPr="008B0471">
        <w:rPr>
          <w:rFonts w:cs="Arial"/>
          <w:sz w:val="26"/>
          <w:szCs w:val="26"/>
          <w:lang w:val="es-ES"/>
        </w:rPr>
        <w:t xml:space="preserve"> </w:t>
      </w:r>
      <w:r w:rsidR="00B520FD">
        <w:rPr>
          <w:rFonts w:cs="Arial"/>
          <w:sz w:val="26"/>
          <w:szCs w:val="26"/>
          <w:lang w:val="es-ES"/>
        </w:rPr>
        <w:t>implica que</w:t>
      </w:r>
      <w:r w:rsidR="0066381A">
        <w:rPr>
          <w:rFonts w:cs="Arial"/>
          <w:sz w:val="26"/>
          <w:szCs w:val="26"/>
          <w:lang w:val="es-ES"/>
        </w:rPr>
        <w:t xml:space="preserve"> </w:t>
      </w:r>
      <w:r w:rsidR="00CF7640">
        <w:rPr>
          <w:rFonts w:cs="Arial"/>
          <w:sz w:val="26"/>
          <w:szCs w:val="26"/>
          <w:lang w:val="es-ES"/>
        </w:rPr>
        <w:t xml:space="preserve">las partes </w:t>
      </w:r>
      <w:r w:rsidR="0066381A">
        <w:rPr>
          <w:rFonts w:cs="Arial"/>
          <w:sz w:val="26"/>
          <w:szCs w:val="26"/>
          <w:lang w:val="es-ES"/>
        </w:rPr>
        <w:t xml:space="preserve">voluntariamente </w:t>
      </w:r>
      <w:r w:rsidR="00CF7640">
        <w:rPr>
          <w:rFonts w:cs="Arial"/>
          <w:sz w:val="26"/>
          <w:szCs w:val="26"/>
          <w:lang w:val="es-ES"/>
        </w:rPr>
        <w:t xml:space="preserve">han resuelto </w:t>
      </w:r>
      <w:r w:rsidR="0066381A">
        <w:rPr>
          <w:rFonts w:cs="Arial"/>
          <w:sz w:val="26"/>
          <w:szCs w:val="26"/>
          <w:lang w:val="es-ES"/>
        </w:rPr>
        <w:t>sus diferencias respecto de los presuntos actos discriminatorios presentados en la queja inicial</w:t>
      </w:r>
      <w:r w:rsidR="00EF4D1F">
        <w:rPr>
          <w:rFonts w:cs="Arial"/>
          <w:sz w:val="26"/>
          <w:szCs w:val="26"/>
          <w:lang w:val="es-ES"/>
        </w:rPr>
        <w:t xml:space="preserve">, </w:t>
      </w:r>
      <w:r w:rsidR="00EB2C49">
        <w:rPr>
          <w:rFonts w:cs="Arial"/>
          <w:sz w:val="26"/>
          <w:szCs w:val="26"/>
          <w:lang w:val="es-ES"/>
        </w:rPr>
        <w:t>y que han quedado satisfechas con las medidas acordadas en tal conciliación</w:t>
      </w:r>
      <w:r w:rsidR="003E49A9">
        <w:rPr>
          <w:rFonts w:cs="Arial"/>
          <w:sz w:val="26"/>
          <w:szCs w:val="26"/>
          <w:lang w:val="es-ES"/>
        </w:rPr>
        <w:t xml:space="preserve"> voluntaria</w:t>
      </w:r>
      <w:r w:rsidR="0025633A">
        <w:rPr>
          <w:rStyle w:val="Refdenotaalpie"/>
          <w:rFonts w:cs="Arial"/>
          <w:sz w:val="26"/>
          <w:szCs w:val="26"/>
          <w:lang w:val="es-ES"/>
        </w:rPr>
        <w:footnoteReference w:id="122"/>
      </w:r>
      <w:r w:rsidR="0066381A">
        <w:rPr>
          <w:rFonts w:cs="Arial"/>
          <w:sz w:val="26"/>
          <w:szCs w:val="26"/>
          <w:lang w:val="es-ES"/>
        </w:rPr>
        <w:t xml:space="preserve">. </w:t>
      </w:r>
      <w:r w:rsidR="00040502">
        <w:rPr>
          <w:rFonts w:cs="Arial"/>
          <w:sz w:val="26"/>
          <w:szCs w:val="26"/>
          <w:lang w:val="es-ES"/>
        </w:rPr>
        <w:t>E</w:t>
      </w:r>
      <w:r w:rsidR="00B70DA2">
        <w:rPr>
          <w:rFonts w:cs="Arial"/>
          <w:sz w:val="26"/>
          <w:szCs w:val="26"/>
          <w:lang w:val="es-ES"/>
        </w:rPr>
        <w:t xml:space="preserve">sto </w:t>
      </w:r>
      <w:r w:rsidR="00627F8A" w:rsidRPr="008B0471">
        <w:rPr>
          <w:rFonts w:cs="Arial"/>
          <w:sz w:val="26"/>
          <w:szCs w:val="26"/>
          <w:lang w:val="es-ES"/>
        </w:rPr>
        <w:t>significa que</w:t>
      </w:r>
      <w:r w:rsidR="00EB2C49">
        <w:rPr>
          <w:rFonts w:cs="Arial"/>
          <w:sz w:val="26"/>
          <w:szCs w:val="26"/>
          <w:lang w:val="es-ES"/>
        </w:rPr>
        <w:t>, en principio,</w:t>
      </w:r>
      <w:r w:rsidR="00627F8A" w:rsidRPr="008B0471">
        <w:rPr>
          <w:rFonts w:cs="Arial"/>
          <w:sz w:val="26"/>
          <w:szCs w:val="26"/>
          <w:lang w:val="es-ES"/>
        </w:rPr>
        <w:t xml:space="preserve"> l</w:t>
      </w:r>
      <w:r w:rsidR="0066381A">
        <w:rPr>
          <w:rFonts w:cs="Arial"/>
          <w:sz w:val="26"/>
          <w:szCs w:val="26"/>
          <w:lang w:val="es-ES"/>
        </w:rPr>
        <w:t xml:space="preserve">os conflictos o diferencias derivadas de esos mismos hechos </w:t>
      </w:r>
      <w:r w:rsidR="00B70DA2">
        <w:rPr>
          <w:rFonts w:cs="Arial"/>
          <w:sz w:val="26"/>
          <w:szCs w:val="26"/>
          <w:lang w:val="es-ES"/>
        </w:rPr>
        <w:t xml:space="preserve">denunciados ante el COPRED </w:t>
      </w:r>
      <w:r w:rsidR="00EC56C0">
        <w:rPr>
          <w:rFonts w:cs="Arial"/>
          <w:sz w:val="26"/>
          <w:szCs w:val="26"/>
          <w:lang w:val="es-ES"/>
        </w:rPr>
        <w:t xml:space="preserve">(y que fueron la base del acuerdo de conciliación) </w:t>
      </w:r>
      <w:r w:rsidR="00627F8A" w:rsidRPr="008B0471">
        <w:rPr>
          <w:rFonts w:cs="Arial"/>
          <w:sz w:val="26"/>
          <w:szCs w:val="26"/>
          <w:lang w:val="es-ES"/>
        </w:rPr>
        <w:t>no puede</w:t>
      </w:r>
      <w:r w:rsidR="0066381A">
        <w:rPr>
          <w:rFonts w:cs="Arial"/>
          <w:sz w:val="26"/>
          <w:szCs w:val="26"/>
          <w:lang w:val="es-ES"/>
        </w:rPr>
        <w:t>n</w:t>
      </w:r>
      <w:r w:rsidR="00627F8A" w:rsidRPr="008B0471">
        <w:rPr>
          <w:rFonts w:cs="Arial"/>
          <w:sz w:val="26"/>
          <w:szCs w:val="26"/>
          <w:lang w:val="es-ES"/>
        </w:rPr>
        <w:t xml:space="preserve"> ser </w:t>
      </w:r>
      <w:r w:rsidR="0066381A">
        <w:rPr>
          <w:rFonts w:cs="Arial"/>
          <w:sz w:val="26"/>
          <w:szCs w:val="26"/>
          <w:lang w:val="es-ES"/>
        </w:rPr>
        <w:t xml:space="preserve">materia de un </w:t>
      </w:r>
      <w:r w:rsidR="00EF4D1F">
        <w:rPr>
          <w:rFonts w:cs="Arial"/>
          <w:sz w:val="26"/>
          <w:szCs w:val="26"/>
          <w:lang w:val="es-ES"/>
        </w:rPr>
        <w:t>juicio</w:t>
      </w:r>
      <w:r w:rsidR="0066381A">
        <w:rPr>
          <w:rFonts w:cs="Arial"/>
          <w:sz w:val="26"/>
          <w:szCs w:val="26"/>
          <w:lang w:val="es-ES"/>
        </w:rPr>
        <w:t xml:space="preserve"> </w:t>
      </w:r>
      <w:r w:rsidR="00A22905">
        <w:rPr>
          <w:rFonts w:cs="Arial"/>
          <w:sz w:val="26"/>
          <w:szCs w:val="26"/>
          <w:lang w:val="es-ES"/>
        </w:rPr>
        <w:t>civi</w:t>
      </w:r>
      <w:r w:rsidR="00EF4D1F">
        <w:rPr>
          <w:rFonts w:cs="Arial"/>
          <w:sz w:val="26"/>
          <w:szCs w:val="26"/>
          <w:lang w:val="es-ES"/>
        </w:rPr>
        <w:t>l</w:t>
      </w:r>
      <w:r w:rsidR="00EC56C0">
        <w:rPr>
          <w:rFonts w:cs="Arial"/>
          <w:sz w:val="26"/>
          <w:szCs w:val="26"/>
          <w:lang w:val="es-ES"/>
        </w:rPr>
        <w:t xml:space="preserve"> posterior</w:t>
      </w:r>
      <w:r w:rsidR="00EF4D1F">
        <w:rPr>
          <w:rFonts w:cs="Arial"/>
          <w:sz w:val="26"/>
          <w:szCs w:val="26"/>
          <w:lang w:val="es-ES"/>
        </w:rPr>
        <w:t xml:space="preserve">, en el </w:t>
      </w:r>
      <w:r w:rsidR="00B70DA2">
        <w:rPr>
          <w:rFonts w:cs="Arial"/>
          <w:sz w:val="26"/>
          <w:szCs w:val="26"/>
          <w:lang w:val="es-ES"/>
        </w:rPr>
        <w:t xml:space="preserve">que se reclame una justa indemnización </w:t>
      </w:r>
      <w:r w:rsidR="00604BFF">
        <w:rPr>
          <w:rFonts w:cs="Arial"/>
          <w:sz w:val="26"/>
          <w:szCs w:val="26"/>
          <w:lang w:val="es-ES"/>
        </w:rPr>
        <w:t>por la comisión de tales hechos</w:t>
      </w:r>
      <w:r w:rsidR="00627F8A" w:rsidRPr="008B0471">
        <w:rPr>
          <w:rFonts w:cs="Arial"/>
          <w:sz w:val="26"/>
          <w:szCs w:val="26"/>
          <w:lang w:val="es-ES"/>
        </w:rPr>
        <w:t xml:space="preserve">. </w:t>
      </w:r>
    </w:p>
    <w:p w14:paraId="520900F0" w14:textId="77777777" w:rsidR="00973A1D" w:rsidRDefault="00973A1D" w:rsidP="001A476B">
      <w:pPr>
        <w:pStyle w:val="corte4fondo"/>
        <w:ind w:right="51" w:hanging="567"/>
        <w:rPr>
          <w:rFonts w:cs="Arial"/>
          <w:sz w:val="26"/>
          <w:szCs w:val="26"/>
          <w:lang w:val="es-ES"/>
        </w:rPr>
      </w:pPr>
    </w:p>
    <w:p w14:paraId="5C74EB19" w14:textId="0D7AC19E" w:rsidR="00110C71" w:rsidRPr="00973A1D" w:rsidRDefault="00891DE7" w:rsidP="001A476B">
      <w:pPr>
        <w:pStyle w:val="corte4fondo"/>
        <w:numPr>
          <w:ilvl w:val="0"/>
          <w:numId w:val="2"/>
        </w:numPr>
        <w:ind w:left="0" w:right="51" w:hanging="567"/>
        <w:rPr>
          <w:rFonts w:cs="Arial"/>
          <w:sz w:val="26"/>
          <w:szCs w:val="26"/>
          <w:lang w:val="es-ES"/>
        </w:rPr>
      </w:pPr>
      <w:r w:rsidRPr="00973A1D">
        <w:rPr>
          <w:rFonts w:cs="Arial"/>
          <w:sz w:val="26"/>
          <w:szCs w:val="26"/>
          <w:lang w:val="es-ES"/>
        </w:rPr>
        <w:t>Así, el carácter de cosa juzgada del convenio de conciliación</w:t>
      </w:r>
      <w:r w:rsidR="007C1E84" w:rsidRPr="00973A1D">
        <w:rPr>
          <w:rFonts w:cs="Arial"/>
          <w:sz w:val="26"/>
          <w:szCs w:val="26"/>
          <w:lang w:val="es-ES"/>
        </w:rPr>
        <w:t>,</w:t>
      </w:r>
      <w:r w:rsidRPr="00973A1D">
        <w:rPr>
          <w:rFonts w:cs="Arial"/>
          <w:sz w:val="26"/>
          <w:szCs w:val="26"/>
          <w:lang w:val="es-ES"/>
        </w:rPr>
        <w:t xml:space="preserve"> como </w:t>
      </w:r>
      <w:r w:rsidR="00A20705" w:rsidRPr="00973A1D">
        <w:rPr>
          <w:rFonts w:cs="Arial"/>
          <w:sz w:val="26"/>
          <w:szCs w:val="26"/>
          <w:lang w:val="es-ES"/>
        </w:rPr>
        <w:t xml:space="preserve">un </w:t>
      </w:r>
      <w:r w:rsidRPr="00973A1D">
        <w:rPr>
          <w:rFonts w:cs="Arial"/>
          <w:sz w:val="26"/>
          <w:szCs w:val="26"/>
          <w:lang w:val="es-ES"/>
        </w:rPr>
        <w:t xml:space="preserve">mecanismo alternativo de resolución de </w:t>
      </w:r>
      <w:r w:rsidR="00A20705" w:rsidRPr="00973A1D">
        <w:rPr>
          <w:rFonts w:cs="Arial"/>
          <w:sz w:val="26"/>
          <w:szCs w:val="26"/>
          <w:lang w:val="es-ES"/>
        </w:rPr>
        <w:t>controversias</w:t>
      </w:r>
      <w:r w:rsidRPr="00973A1D">
        <w:rPr>
          <w:rFonts w:cs="Arial"/>
          <w:sz w:val="26"/>
          <w:szCs w:val="26"/>
          <w:lang w:val="es-ES"/>
        </w:rPr>
        <w:t>,</w:t>
      </w:r>
      <w:r w:rsidR="00627F8A" w:rsidRPr="00973A1D">
        <w:rPr>
          <w:rFonts w:cs="Arial"/>
          <w:sz w:val="26"/>
          <w:szCs w:val="26"/>
          <w:lang w:val="es-ES"/>
        </w:rPr>
        <w:t xml:space="preserve"> </w:t>
      </w:r>
      <w:r w:rsidR="00A20705" w:rsidRPr="00973A1D">
        <w:rPr>
          <w:rFonts w:cs="Arial"/>
          <w:sz w:val="26"/>
          <w:szCs w:val="26"/>
          <w:lang w:val="es-ES"/>
        </w:rPr>
        <w:t>brinda</w:t>
      </w:r>
      <w:r w:rsidR="00627F8A" w:rsidRPr="00973A1D">
        <w:rPr>
          <w:rFonts w:cs="Arial"/>
          <w:sz w:val="26"/>
          <w:szCs w:val="26"/>
          <w:lang w:val="es-ES"/>
        </w:rPr>
        <w:t xml:space="preserve"> seguridad jurídica a las partes</w:t>
      </w:r>
      <w:r w:rsidR="00A20705" w:rsidRPr="00973A1D">
        <w:rPr>
          <w:rFonts w:cs="Arial"/>
          <w:sz w:val="26"/>
          <w:szCs w:val="26"/>
          <w:lang w:val="es-ES"/>
        </w:rPr>
        <w:t xml:space="preserve"> del convenio</w:t>
      </w:r>
      <w:r w:rsidR="00627F8A" w:rsidRPr="00973A1D">
        <w:rPr>
          <w:rFonts w:cs="Arial"/>
          <w:sz w:val="26"/>
          <w:szCs w:val="26"/>
          <w:lang w:val="es-ES"/>
        </w:rPr>
        <w:t>, ya que se considera un conflicto resuelto de manera definitiva</w:t>
      </w:r>
      <w:r w:rsidR="00C74836">
        <w:rPr>
          <w:rStyle w:val="Refdenotaalpie"/>
          <w:rFonts w:cs="Arial"/>
          <w:sz w:val="26"/>
          <w:szCs w:val="26"/>
          <w:lang w:val="es-ES"/>
        </w:rPr>
        <w:footnoteReference w:id="123"/>
      </w:r>
      <w:r w:rsidR="00627F8A" w:rsidRPr="00973A1D">
        <w:rPr>
          <w:rFonts w:cs="Arial"/>
          <w:sz w:val="26"/>
          <w:szCs w:val="26"/>
          <w:lang w:val="es-ES"/>
        </w:rPr>
        <w:t>.</w:t>
      </w:r>
      <w:r w:rsidR="001B7879" w:rsidRPr="00973A1D">
        <w:rPr>
          <w:rFonts w:cs="Arial"/>
          <w:sz w:val="26"/>
          <w:szCs w:val="26"/>
          <w:lang w:val="es-ES"/>
        </w:rPr>
        <w:t xml:space="preserve"> </w:t>
      </w:r>
      <w:r w:rsidR="00DC5E33">
        <w:rPr>
          <w:rFonts w:cs="Arial"/>
          <w:sz w:val="26"/>
          <w:szCs w:val="26"/>
          <w:lang w:val="es-ES"/>
        </w:rPr>
        <w:t>Aunado a ello</w:t>
      </w:r>
      <w:r w:rsidR="00281B76" w:rsidRPr="00973A1D">
        <w:rPr>
          <w:rFonts w:cs="Arial"/>
          <w:sz w:val="26"/>
          <w:szCs w:val="26"/>
          <w:lang w:val="es-ES"/>
        </w:rPr>
        <w:t xml:space="preserve">, </w:t>
      </w:r>
      <w:r w:rsidR="00443BAC" w:rsidRPr="00973A1D">
        <w:rPr>
          <w:rFonts w:cs="Arial"/>
          <w:sz w:val="26"/>
          <w:szCs w:val="26"/>
          <w:lang w:val="es-ES"/>
        </w:rPr>
        <w:t>l</w:t>
      </w:r>
      <w:r w:rsidR="001B7879" w:rsidRPr="00973A1D">
        <w:rPr>
          <w:rFonts w:cs="Arial"/>
          <w:sz w:val="26"/>
          <w:szCs w:val="26"/>
          <w:lang w:val="es-ES"/>
        </w:rPr>
        <w:t>a legislación local en la materia establece que</w:t>
      </w:r>
      <w:r w:rsidR="00345843" w:rsidRPr="00973A1D">
        <w:rPr>
          <w:rFonts w:cs="Arial"/>
          <w:sz w:val="26"/>
          <w:szCs w:val="26"/>
          <w:lang w:val="es-ES"/>
        </w:rPr>
        <w:t xml:space="preserve"> el convenio de conciliación trae aparejada ejecución, por lo </w:t>
      </w:r>
      <w:r w:rsidR="00345843" w:rsidRPr="00973A1D">
        <w:rPr>
          <w:rFonts w:cs="Arial"/>
          <w:sz w:val="26"/>
          <w:szCs w:val="26"/>
          <w:lang w:val="es-ES"/>
        </w:rPr>
        <w:lastRenderedPageBreak/>
        <w:t>que, ante el incumplimiento voluntario de la contraparte</w:t>
      </w:r>
      <w:r w:rsidR="009B2670" w:rsidRPr="00973A1D">
        <w:rPr>
          <w:rFonts w:cs="Arial"/>
          <w:sz w:val="26"/>
          <w:szCs w:val="26"/>
          <w:lang w:val="es-ES"/>
        </w:rPr>
        <w:t xml:space="preserve"> de los acuerdos </w:t>
      </w:r>
      <w:r w:rsidR="00281B76" w:rsidRPr="00973A1D">
        <w:rPr>
          <w:rFonts w:cs="Arial"/>
          <w:sz w:val="26"/>
          <w:szCs w:val="26"/>
          <w:lang w:val="es-ES"/>
        </w:rPr>
        <w:t>arribados</w:t>
      </w:r>
      <w:r w:rsidR="00345843" w:rsidRPr="00973A1D">
        <w:rPr>
          <w:rFonts w:cs="Arial"/>
          <w:sz w:val="26"/>
          <w:szCs w:val="26"/>
          <w:lang w:val="es-ES"/>
        </w:rPr>
        <w:t>, la parte peticionaria podrá ejecutar el convenio ante los tribunales competentes en la vía de apremio o en juicio ejecutivo, a su elección</w:t>
      </w:r>
      <w:r w:rsidR="00345843" w:rsidRPr="00973A1D">
        <w:rPr>
          <w:rStyle w:val="Refdenotaalpie"/>
          <w:rFonts w:cs="Arial"/>
          <w:sz w:val="26"/>
          <w:szCs w:val="26"/>
          <w:lang w:val="es-ES"/>
        </w:rPr>
        <w:footnoteReference w:id="124"/>
      </w:r>
      <w:r w:rsidR="00345843" w:rsidRPr="00973A1D">
        <w:rPr>
          <w:rFonts w:cs="Arial"/>
          <w:sz w:val="26"/>
          <w:szCs w:val="26"/>
          <w:lang w:val="es-ES"/>
        </w:rPr>
        <w:t>.</w:t>
      </w:r>
    </w:p>
    <w:p w14:paraId="030B9BD6" w14:textId="77777777" w:rsidR="00973A1D" w:rsidRPr="00973A1D" w:rsidRDefault="00973A1D" w:rsidP="001A476B">
      <w:pPr>
        <w:pStyle w:val="corte4fondo"/>
        <w:ind w:right="51" w:hanging="567"/>
        <w:rPr>
          <w:rFonts w:cs="Arial"/>
          <w:sz w:val="26"/>
          <w:szCs w:val="26"/>
          <w:lang w:val="es-ES"/>
        </w:rPr>
      </w:pPr>
    </w:p>
    <w:p w14:paraId="345582EB" w14:textId="0FBE021C" w:rsidR="00110C71" w:rsidRPr="00973A1D" w:rsidRDefault="00117C57" w:rsidP="001A476B">
      <w:pPr>
        <w:pStyle w:val="corte4fondo"/>
        <w:numPr>
          <w:ilvl w:val="0"/>
          <w:numId w:val="2"/>
        </w:numPr>
        <w:ind w:left="0" w:right="51" w:hanging="567"/>
        <w:rPr>
          <w:rFonts w:cs="Arial"/>
          <w:iCs/>
          <w:color w:val="000000"/>
          <w:sz w:val="26"/>
          <w:szCs w:val="26"/>
          <w:bdr w:val="none" w:sz="0" w:space="0" w:color="auto" w:frame="1"/>
          <w:shd w:val="clear" w:color="auto" w:fill="FFFFFF"/>
          <w:lang w:val="es-CO"/>
        </w:rPr>
      </w:pPr>
      <w:r w:rsidRPr="00973A1D">
        <w:rPr>
          <w:rFonts w:cs="Arial"/>
          <w:iCs/>
          <w:color w:val="000000"/>
          <w:sz w:val="26"/>
          <w:szCs w:val="26"/>
          <w:bdr w:val="none" w:sz="0" w:space="0" w:color="auto" w:frame="1"/>
          <w:shd w:val="clear" w:color="auto" w:fill="FFFFFF"/>
          <w:lang w:val="es-CO"/>
        </w:rPr>
        <w:t>A</w:t>
      </w:r>
      <w:r w:rsidR="001D4E2D" w:rsidRPr="00973A1D">
        <w:rPr>
          <w:rFonts w:cs="Arial"/>
          <w:iCs/>
          <w:color w:val="000000"/>
          <w:sz w:val="26"/>
          <w:szCs w:val="26"/>
          <w:bdr w:val="none" w:sz="0" w:space="0" w:color="auto" w:frame="1"/>
          <w:shd w:val="clear" w:color="auto" w:fill="FFFFFF"/>
          <w:lang w:val="es-CO"/>
        </w:rPr>
        <w:t xml:space="preserve">hora, </w:t>
      </w:r>
      <w:r w:rsidR="006E053B" w:rsidRPr="00973A1D">
        <w:rPr>
          <w:rFonts w:cs="Arial"/>
          <w:iCs/>
          <w:color w:val="000000"/>
          <w:sz w:val="26"/>
          <w:szCs w:val="26"/>
          <w:bdr w:val="none" w:sz="0" w:space="0" w:color="auto" w:frame="1"/>
          <w:shd w:val="clear" w:color="auto" w:fill="FFFFFF"/>
          <w:lang w:val="es-CO"/>
        </w:rPr>
        <w:t>las</w:t>
      </w:r>
      <w:r w:rsidR="00C07929" w:rsidRPr="00973A1D">
        <w:rPr>
          <w:rFonts w:cs="Arial"/>
          <w:iCs/>
          <w:color w:val="000000"/>
          <w:sz w:val="26"/>
          <w:szCs w:val="26"/>
          <w:bdr w:val="none" w:sz="0" w:space="0" w:color="auto" w:frame="1"/>
          <w:shd w:val="clear" w:color="auto" w:fill="FFFFFF"/>
          <w:lang w:val="es-CO"/>
        </w:rPr>
        <w:t xml:space="preserve"> implicaciones d</w:t>
      </w:r>
      <w:r w:rsidR="006306E3" w:rsidRPr="00973A1D">
        <w:rPr>
          <w:rFonts w:cs="Arial"/>
          <w:iCs/>
          <w:color w:val="000000"/>
          <w:sz w:val="26"/>
          <w:szCs w:val="26"/>
          <w:bdr w:val="none" w:sz="0" w:space="0" w:color="auto" w:frame="1"/>
          <w:shd w:val="clear" w:color="auto" w:fill="FFFFFF"/>
          <w:lang w:val="es-CO"/>
        </w:rPr>
        <w:t xml:space="preserve">el </w:t>
      </w:r>
      <w:r w:rsidR="00C07929" w:rsidRPr="00973A1D">
        <w:rPr>
          <w:rFonts w:cs="Arial"/>
          <w:iCs/>
          <w:color w:val="000000"/>
          <w:sz w:val="26"/>
          <w:szCs w:val="26"/>
          <w:bdr w:val="none" w:sz="0" w:space="0" w:color="auto" w:frame="1"/>
          <w:shd w:val="clear" w:color="auto" w:fill="FFFFFF"/>
          <w:lang w:val="es-CO"/>
        </w:rPr>
        <w:t xml:space="preserve">carácter de cosa juzgada del convenio de conciliación no sólo </w:t>
      </w:r>
      <w:r w:rsidR="001D4E2D" w:rsidRPr="00973A1D">
        <w:rPr>
          <w:rFonts w:cs="Arial"/>
          <w:iCs/>
          <w:color w:val="000000"/>
          <w:sz w:val="26"/>
          <w:szCs w:val="26"/>
          <w:bdr w:val="none" w:sz="0" w:space="0" w:color="auto" w:frame="1"/>
          <w:shd w:val="clear" w:color="auto" w:fill="FFFFFF"/>
          <w:lang w:val="es-CO"/>
        </w:rPr>
        <w:t xml:space="preserve">atienden al derecho a la seguridad jurídica de las partes. Para esta Primera Sala, </w:t>
      </w:r>
      <w:r w:rsidR="00952BFB" w:rsidRPr="00973A1D">
        <w:rPr>
          <w:rFonts w:cs="Arial"/>
          <w:iCs/>
          <w:color w:val="000000"/>
          <w:sz w:val="26"/>
          <w:szCs w:val="26"/>
          <w:bdr w:val="none" w:sz="0" w:space="0" w:color="auto" w:frame="1"/>
          <w:shd w:val="clear" w:color="auto" w:fill="FFFFFF"/>
          <w:lang w:val="es-CO"/>
        </w:rPr>
        <w:t xml:space="preserve">estas implicaciones también derivan de que </w:t>
      </w:r>
      <w:r w:rsidR="001D4E2D" w:rsidRPr="00973A1D">
        <w:rPr>
          <w:rFonts w:cs="Arial"/>
          <w:iCs/>
          <w:color w:val="000000"/>
          <w:sz w:val="26"/>
          <w:szCs w:val="26"/>
          <w:bdr w:val="none" w:sz="0" w:space="0" w:color="auto" w:frame="1"/>
          <w:shd w:val="clear" w:color="auto" w:fill="FFFFFF"/>
          <w:lang w:val="es-CO"/>
        </w:rPr>
        <w:t xml:space="preserve">el </w:t>
      </w:r>
      <w:r w:rsidR="006306E3" w:rsidRPr="00973A1D">
        <w:rPr>
          <w:rFonts w:cs="Arial"/>
          <w:iCs/>
          <w:color w:val="000000"/>
          <w:sz w:val="26"/>
          <w:szCs w:val="26"/>
          <w:bdr w:val="none" w:sz="0" w:space="0" w:color="auto" w:frame="1"/>
          <w:shd w:val="clear" w:color="auto" w:fill="FFFFFF"/>
          <w:lang w:val="es-CO"/>
        </w:rPr>
        <w:t xml:space="preserve">derecho a la reparación del daño de las víctimas </w:t>
      </w:r>
      <w:r w:rsidR="00A71189" w:rsidRPr="00973A1D">
        <w:rPr>
          <w:rFonts w:cs="Arial"/>
          <w:iCs/>
          <w:color w:val="000000"/>
          <w:sz w:val="26"/>
          <w:szCs w:val="26"/>
          <w:bdr w:val="none" w:sz="0" w:space="0" w:color="auto" w:frame="1"/>
          <w:shd w:val="clear" w:color="auto" w:fill="FFFFFF"/>
          <w:lang w:val="es-CO"/>
        </w:rPr>
        <w:t>implica garantizar y promover</w:t>
      </w:r>
      <w:r w:rsidR="006306E3" w:rsidRPr="00973A1D">
        <w:rPr>
          <w:rFonts w:cs="Arial"/>
          <w:iCs/>
          <w:color w:val="000000"/>
          <w:sz w:val="26"/>
          <w:szCs w:val="26"/>
          <w:bdr w:val="none" w:sz="0" w:space="0" w:color="auto" w:frame="1"/>
          <w:shd w:val="clear" w:color="auto" w:fill="FFFFFF"/>
          <w:lang w:val="es-CO"/>
        </w:rPr>
        <w:t xml:space="preserve"> la operatividad y uso de los métodos alternativos de solución de conflictos, </w:t>
      </w:r>
      <w:r w:rsidR="004C29CF" w:rsidRPr="00973A1D">
        <w:rPr>
          <w:rFonts w:cs="Arial"/>
          <w:iCs/>
          <w:color w:val="000000"/>
          <w:sz w:val="26"/>
          <w:szCs w:val="26"/>
          <w:bdr w:val="none" w:sz="0" w:space="0" w:color="auto" w:frame="1"/>
          <w:shd w:val="clear" w:color="auto" w:fill="FFFFFF"/>
          <w:lang w:val="es-CO"/>
        </w:rPr>
        <w:t>previstos en el artículo 17</w:t>
      </w:r>
      <w:r w:rsidR="00A132B6" w:rsidRPr="00973A1D">
        <w:rPr>
          <w:rFonts w:cs="Arial"/>
          <w:iCs/>
          <w:color w:val="000000"/>
          <w:sz w:val="26"/>
          <w:szCs w:val="26"/>
          <w:bdr w:val="none" w:sz="0" w:space="0" w:color="auto" w:frame="1"/>
          <w:shd w:val="clear" w:color="auto" w:fill="FFFFFF"/>
          <w:lang w:val="es-CO"/>
        </w:rPr>
        <w:t>, quinto párrafo,</w:t>
      </w:r>
      <w:r w:rsidR="004C29CF" w:rsidRPr="00973A1D">
        <w:rPr>
          <w:rFonts w:cs="Arial"/>
          <w:iCs/>
          <w:color w:val="000000"/>
          <w:sz w:val="26"/>
          <w:szCs w:val="26"/>
          <w:bdr w:val="none" w:sz="0" w:space="0" w:color="auto" w:frame="1"/>
          <w:shd w:val="clear" w:color="auto" w:fill="FFFFFF"/>
          <w:lang w:val="es-CO"/>
        </w:rPr>
        <w:t xml:space="preserve"> constitucional</w:t>
      </w:r>
      <w:r w:rsidR="00A132B6" w:rsidRPr="00973A1D">
        <w:rPr>
          <w:rStyle w:val="Refdenotaalpie"/>
          <w:rFonts w:cs="Arial"/>
          <w:iCs/>
          <w:color w:val="000000"/>
          <w:sz w:val="26"/>
          <w:szCs w:val="26"/>
          <w:bdr w:val="none" w:sz="0" w:space="0" w:color="auto" w:frame="1"/>
          <w:shd w:val="clear" w:color="auto" w:fill="FFFFFF"/>
          <w:lang w:val="es-CO"/>
        </w:rPr>
        <w:footnoteReference w:id="125"/>
      </w:r>
      <w:r w:rsidR="004C29CF" w:rsidRPr="00973A1D">
        <w:rPr>
          <w:rFonts w:cs="Arial"/>
          <w:iCs/>
          <w:color w:val="000000"/>
          <w:sz w:val="26"/>
          <w:szCs w:val="26"/>
          <w:bdr w:val="none" w:sz="0" w:space="0" w:color="auto" w:frame="1"/>
          <w:shd w:val="clear" w:color="auto" w:fill="FFFFFF"/>
          <w:lang w:val="es-CO"/>
        </w:rPr>
        <w:t xml:space="preserve">, </w:t>
      </w:r>
      <w:r w:rsidR="006306E3" w:rsidRPr="00973A1D">
        <w:rPr>
          <w:rFonts w:cs="Arial"/>
          <w:iCs/>
          <w:color w:val="000000"/>
          <w:sz w:val="26"/>
          <w:szCs w:val="26"/>
          <w:bdr w:val="none" w:sz="0" w:space="0" w:color="auto" w:frame="1"/>
          <w:shd w:val="clear" w:color="auto" w:fill="FFFFFF"/>
          <w:lang w:val="es-CO"/>
        </w:rPr>
        <w:t>l</w:t>
      </w:r>
      <w:r w:rsidR="00A71189" w:rsidRPr="00973A1D">
        <w:rPr>
          <w:rFonts w:cs="Arial"/>
          <w:iCs/>
          <w:color w:val="000000"/>
          <w:sz w:val="26"/>
          <w:szCs w:val="26"/>
          <w:bdr w:val="none" w:sz="0" w:space="0" w:color="auto" w:frame="1"/>
          <w:shd w:val="clear" w:color="auto" w:fill="FFFFFF"/>
          <w:lang w:val="es-CO"/>
        </w:rPr>
        <w:t>o</w:t>
      </w:r>
      <w:r w:rsidR="006306E3" w:rsidRPr="00973A1D">
        <w:rPr>
          <w:rFonts w:cs="Arial"/>
          <w:iCs/>
          <w:color w:val="000000"/>
          <w:sz w:val="26"/>
          <w:szCs w:val="26"/>
          <w:bdr w:val="none" w:sz="0" w:space="0" w:color="auto" w:frame="1"/>
          <w:shd w:val="clear" w:color="auto" w:fill="FFFFFF"/>
          <w:lang w:val="es-CO"/>
        </w:rPr>
        <w:t xml:space="preserve">s cuales se han implementado como vías accesibles para las víctimas para obtener resolver una controversia y obtener una reparación de forma pronta y con un menor costo que la vía jurisdiccional. </w:t>
      </w:r>
    </w:p>
    <w:p w14:paraId="436E2765" w14:textId="77777777" w:rsidR="00110C71" w:rsidRPr="00973A1D" w:rsidRDefault="00110C71" w:rsidP="001A476B">
      <w:pPr>
        <w:pStyle w:val="corte4fondo"/>
        <w:ind w:right="51" w:hanging="567"/>
        <w:rPr>
          <w:rFonts w:cs="Arial"/>
          <w:iCs/>
          <w:color w:val="000000"/>
          <w:sz w:val="26"/>
          <w:szCs w:val="26"/>
          <w:bdr w:val="none" w:sz="0" w:space="0" w:color="auto" w:frame="1"/>
          <w:shd w:val="clear" w:color="auto" w:fill="FFFFFF"/>
          <w:lang w:val="es-CO"/>
        </w:rPr>
      </w:pPr>
    </w:p>
    <w:p w14:paraId="2CA6DF8E" w14:textId="6033BF87" w:rsidR="00EB5632" w:rsidRPr="00B71EFA" w:rsidRDefault="00301FAC" w:rsidP="001A476B">
      <w:pPr>
        <w:pStyle w:val="corte4fondo"/>
        <w:numPr>
          <w:ilvl w:val="0"/>
          <w:numId w:val="2"/>
        </w:numPr>
        <w:ind w:left="0" w:right="51" w:hanging="567"/>
        <w:rPr>
          <w:rFonts w:cs="Arial"/>
          <w:iCs/>
          <w:color w:val="000000"/>
          <w:sz w:val="26"/>
          <w:szCs w:val="26"/>
          <w:bdr w:val="none" w:sz="0" w:space="0" w:color="auto" w:frame="1"/>
          <w:shd w:val="clear" w:color="auto" w:fill="FFFFFF"/>
          <w:lang w:val="es-CO"/>
        </w:rPr>
      </w:pPr>
      <w:r w:rsidRPr="00973A1D">
        <w:rPr>
          <w:rFonts w:cs="Arial"/>
          <w:iCs/>
          <w:color w:val="000000"/>
          <w:sz w:val="26"/>
          <w:szCs w:val="26"/>
          <w:bdr w:val="none" w:sz="0" w:space="0" w:color="auto" w:frame="1"/>
          <w:shd w:val="clear" w:color="auto" w:fill="FFFFFF"/>
          <w:lang w:val="es-CO"/>
        </w:rPr>
        <w:t>Para esta Sala</w:t>
      </w:r>
      <w:r w:rsidR="005E0262" w:rsidRPr="00973A1D">
        <w:rPr>
          <w:rFonts w:cs="Arial"/>
          <w:iCs/>
          <w:color w:val="000000"/>
          <w:sz w:val="26"/>
          <w:szCs w:val="26"/>
          <w:bdr w:val="none" w:sz="0" w:space="0" w:color="auto" w:frame="1"/>
          <w:shd w:val="clear" w:color="auto" w:fill="FFFFFF"/>
          <w:lang w:val="es-CO"/>
        </w:rPr>
        <w:t>, si</w:t>
      </w:r>
      <w:r w:rsidR="00446A96" w:rsidRPr="00973A1D">
        <w:rPr>
          <w:rFonts w:cs="Arial"/>
          <w:iCs/>
          <w:color w:val="000000"/>
          <w:sz w:val="26"/>
          <w:szCs w:val="26"/>
          <w:bdr w:val="none" w:sz="0" w:space="0" w:color="auto" w:frame="1"/>
          <w:shd w:val="clear" w:color="auto" w:fill="FFFFFF"/>
          <w:lang w:val="es-CO"/>
        </w:rPr>
        <w:t xml:space="preserve">, como sostienen las quejosas, </w:t>
      </w:r>
      <w:r w:rsidR="00B11907" w:rsidRPr="00973A1D">
        <w:rPr>
          <w:rFonts w:cs="Arial"/>
          <w:iCs/>
          <w:color w:val="000000"/>
          <w:sz w:val="26"/>
          <w:szCs w:val="26"/>
          <w:bdr w:val="none" w:sz="0" w:space="0" w:color="auto" w:frame="1"/>
          <w:shd w:val="clear" w:color="auto" w:fill="FFFFFF"/>
          <w:lang w:val="es-CO"/>
        </w:rPr>
        <w:t>el cará</w:t>
      </w:r>
      <w:r w:rsidR="00B11907" w:rsidRPr="00B71EFA">
        <w:rPr>
          <w:rFonts w:cs="Arial"/>
          <w:iCs/>
          <w:color w:val="000000"/>
          <w:sz w:val="26"/>
          <w:szCs w:val="26"/>
          <w:bdr w:val="none" w:sz="0" w:space="0" w:color="auto" w:frame="1"/>
          <w:shd w:val="clear" w:color="auto" w:fill="FFFFFF"/>
          <w:lang w:val="es-CO"/>
        </w:rPr>
        <w:t>cter de cosa juzgada del convenio de conciliación ante el COPRED permitiera</w:t>
      </w:r>
      <w:r w:rsidR="005E0262" w:rsidRPr="00B71EFA">
        <w:rPr>
          <w:rFonts w:cs="Arial"/>
          <w:iCs/>
          <w:color w:val="000000"/>
          <w:sz w:val="26"/>
          <w:szCs w:val="26"/>
          <w:bdr w:val="none" w:sz="0" w:space="0" w:color="auto" w:frame="1"/>
          <w:shd w:val="clear" w:color="auto" w:fill="FFFFFF"/>
          <w:lang w:val="es-CO"/>
        </w:rPr>
        <w:t xml:space="preserve"> ejercitar una acción posterior de responsabilidad civil extracontractual</w:t>
      </w:r>
      <w:r w:rsidR="0053408D">
        <w:rPr>
          <w:rFonts w:cs="Arial"/>
          <w:iCs/>
          <w:color w:val="000000"/>
          <w:sz w:val="26"/>
          <w:szCs w:val="26"/>
          <w:bdr w:val="none" w:sz="0" w:space="0" w:color="auto" w:frame="1"/>
          <w:shd w:val="clear" w:color="auto" w:fill="FFFFFF"/>
          <w:lang w:val="es-CO"/>
        </w:rPr>
        <w:t xml:space="preserve"> respecto de los mismos hechos</w:t>
      </w:r>
      <w:r w:rsidR="00511163">
        <w:rPr>
          <w:rFonts w:cs="Arial"/>
          <w:iCs/>
          <w:color w:val="000000"/>
          <w:sz w:val="26"/>
          <w:szCs w:val="26"/>
          <w:bdr w:val="none" w:sz="0" w:space="0" w:color="auto" w:frame="1"/>
          <w:shd w:val="clear" w:color="auto" w:fill="FFFFFF"/>
          <w:lang w:val="es-CO"/>
        </w:rPr>
        <w:t>, entre las mismas partes</w:t>
      </w:r>
      <w:r w:rsidR="0053408D">
        <w:rPr>
          <w:rFonts w:cs="Arial"/>
          <w:iCs/>
          <w:color w:val="000000"/>
          <w:sz w:val="26"/>
          <w:szCs w:val="26"/>
          <w:bdr w:val="none" w:sz="0" w:space="0" w:color="auto" w:frame="1"/>
          <w:shd w:val="clear" w:color="auto" w:fill="FFFFFF"/>
          <w:lang w:val="es-CO"/>
        </w:rPr>
        <w:t xml:space="preserve"> y para los mismos efectos,</w:t>
      </w:r>
      <w:r w:rsidR="007F699E" w:rsidRPr="00B71EFA">
        <w:rPr>
          <w:rFonts w:cs="Arial"/>
          <w:iCs/>
          <w:color w:val="000000"/>
          <w:sz w:val="26"/>
          <w:szCs w:val="26"/>
          <w:bdr w:val="none" w:sz="0" w:space="0" w:color="auto" w:frame="1"/>
          <w:shd w:val="clear" w:color="auto" w:fill="FFFFFF"/>
          <w:lang w:val="es-CO"/>
        </w:rPr>
        <w:t xml:space="preserve"> </w:t>
      </w:r>
      <w:r w:rsidR="008C02D5">
        <w:rPr>
          <w:rFonts w:cs="Arial"/>
          <w:iCs/>
          <w:color w:val="000000"/>
          <w:sz w:val="26"/>
          <w:szCs w:val="26"/>
          <w:bdr w:val="none" w:sz="0" w:space="0" w:color="auto" w:frame="1"/>
          <w:shd w:val="clear" w:color="auto" w:fill="FFFFFF"/>
          <w:lang w:val="es-CO"/>
        </w:rPr>
        <w:t>se desvi</w:t>
      </w:r>
      <w:r w:rsidR="009E336F">
        <w:rPr>
          <w:rFonts w:cs="Arial"/>
          <w:iCs/>
          <w:color w:val="000000"/>
          <w:sz w:val="26"/>
          <w:szCs w:val="26"/>
          <w:bdr w:val="none" w:sz="0" w:space="0" w:color="auto" w:frame="1"/>
          <w:shd w:val="clear" w:color="auto" w:fill="FFFFFF"/>
          <w:lang w:val="es-CO"/>
        </w:rPr>
        <w:t xml:space="preserve">rtuaría completamente el mecanismo </w:t>
      </w:r>
      <w:r w:rsidR="00296ECF">
        <w:rPr>
          <w:rFonts w:cs="Arial"/>
          <w:iCs/>
          <w:color w:val="000000"/>
          <w:sz w:val="26"/>
          <w:szCs w:val="26"/>
          <w:bdr w:val="none" w:sz="0" w:space="0" w:color="auto" w:frame="1"/>
          <w:shd w:val="clear" w:color="auto" w:fill="FFFFFF"/>
          <w:lang w:val="es-CO"/>
        </w:rPr>
        <w:t>conciliatorio</w:t>
      </w:r>
      <w:r w:rsidR="00EB5632">
        <w:rPr>
          <w:rFonts w:cs="Arial"/>
          <w:iCs/>
          <w:color w:val="000000"/>
          <w:sz w:val="26"/>
          <w:szCs w:val="26"/>
          <w:bdr w:val="none" w:sz="0" w:space="0" w:color="auto" w:frame="1"/>
          <w:shd w:val="clear" w:color="auto" w:fill="FFFFFF"/>
          <w:lang w:val="es-CO"/>
        </w:rPr>
        <w:t>.</w:t>
      </w:r>
      <w:r w:rsidR="005A2213">
        <w:rPr>
          <w:rFonts w:cs="Arial"/>
          <w:iCs/>
          <w:color w:val="000000"/>
          <w:sz w:val="26"/>
          <w:szCs w:val="26"/>
          <w:bdr w:val="none" w:sz="0" w:space="0" w:color="auto" w:frame="1"/>
          <w:shd w:val="clear" w:color="auto" w:fill="FFFFFF"/>
          <w:lang w:val="es-CO"/>
        </w:rPr>
        <w:t xml:space="preserve"> </w:t>
      </w:r>
      <w:r w:rsidR="00EB5632" w:rsidRPr="00EB5632">
        <w:rPr>
          <w:rFonts w:cs="Arial"/>
          <w:iCs/>
          <w:color w:val="000000"/>
          <w:sz w:val="26"/>
          <w:szCs w:val="26"/>
          <w:bdr w:val="none" w:sz="0" w:space="0" w:color="auto" w:frame="1"/>
          <w:shd w:val="clear" w:color="auto" w:fill="FFFFFF"/>
          <w:lang w:val="es-MX"/>
        </w:rPr>
        <w:t xml:space="preserve">Esto sucede porque las personas señaladas como responsables no tendrían ningún incentivo para someterse al sistema </w:t>
      </w:r>
      <w:r w:rsidR="00EB5632" w:rsidRPr="00973A1D">
        <w:rPr>
          <w:rFonts w:cs="Arial"/>
          <w:i/>
          <w:color w:val="000000"/>
          <w:sz w:val="26"/>
          <w:szCs w:val="26"/>
          <w:bdr w:val="none" w:sz="0" w:space="0" w:color="auto" w:frame="1"/>
          <w:shd w:val="clear" w:color="auto" w:fill="FFFFFF"/>
        </w:rPr>
        <w:t>voluntario</w:t>
      </w:r>
      <w:r w:rsidR="00EB5632" w:rsidRPr="00EB5632">
        <w:rPr>
          <w:rFonts w:cs="Arial"/>
          <w:iCs/>
          <w:color w:val="000000"/>
          <w:sz w:val="26"/>
          <w:szCs w:val="26"/>
          <w:bdr w:val="none" w:sz="0" w:space="0" w:color="auto" w:frame="1"/>
          <w:shd w:val="clear" w:color="auto" w:fill="FFFFFF"/>
          <w:lang w:val="es-MX"/>
        </w:rPr>
        <w:t xml:space="preserve"> de conciliación ante el COPRED con el fin de llegar a un acuerdo. Las presuntas víctimas podrían demandar una indemnización civil y presentar como prueba el convenio conciliatorio previamente firmado (como ocurrió en este caso), incluso si las partes ya habían acordado una resolución de sus diferencias. En este contexto, consideramos que las personas señaladas no tendrían ningún beneficio de formalizar el convenio de conciliación, ya que la controversia no quedaría resuelta de manera definitiva. Por ello, optarían por no llegar a un acuerdo </w:t>
      </w:r>
      <w:r w:rsidR="00D3019E">
        <w:rPr>
          <w:rFonts w:cs="Arial"/>
          <w:iCs/>
          <w:color w:val="000000"/>
          <w:sz w:val="26"/>
          <w:szCs w:val="26"/>
          <w:bdr w:val="none" w:sz="0" w:space="0" w:color="auto" w:frame="1"/>
          <w:shd w:val="clear" w:color="auto" w:fill="FFFFFF"/>
          <w:lang w:val="es-MX"/>
        </w:rPr>
        <w:t xml:space="preserve">para </w:t>
      </w:r>
      <w:r w:rsidR="0002501B">
        <w:rPr>
          <w:rFonts w:cs="Arial"/>
          <w:iCs/>
          <w:color w:val="000000"/>
          <w:sz w:val="26"/>
          <w:szCs w:val="26"/>
          <w:bdr w:val="none" w:sz="0" w:space="0" w:color="auto" w:frame="1"/>
          <w:shd w:val="clear" w:color="auto" w:fill="FFFFFF"/>
          <w:lang w:val="es-MX"/>
        </w:rPr>
        <w:t>esperar mejor</w:t>
      </w:r>
      <w:r w:rsidR="00EB5632" w:rsidRPr="00EB5632">
        <w:rPr>
          <w:rFonts w:cs="Arial"/>
          <w:iCs/>
          <w:color w:val="000000"/>
          <w:sz w:val="26"/>
          <w:szCs w:val="26"/>
          <w:bdr w:val="none" w:sz="0" w:space="0" w:color="auto" w:frame="1"/>
          <w:shd w:val="clear" w:color="auto" w:fill="FFFFFF"/>
          <w:lang w:val="es-MX"/>
        </w:rPr>
        <w:t xml:space="preserve"> una demanda civil, evitando así la creación de pruebas que pudieran ser utilizadas en su contra en un posible proceso judicial posterior.</w:t>
      </w:r>
    </w:p>
    <w:p w14:paraId="191B6FCA" w14:textId="77777777" w:rsidR="006306E3" w:rsidRPr="00B71EFA" w:rsidRDefault="006306E3" w:rsidP="001A476B">
      <w:pPr>
        <w:pStyle w:val="corte4fondo"/>
        <w:ind w:right="51" w:hanging="567"/>
        <w:rPr>
          <w:rFonts w:cs="Arial"/>
          <w:color w:val="000000" w:themeColor="text1"/>
          <w:sz w:val="26"/>
          <w:szCs w:val="26"/>
        </w:rPr>
      </w:pPr>
    </w:p>
    <w:p w14:paraId="4C9C5393" w14:textId="2B0CA448" w:rsidR="006306E3" w:rsidRPr="00B71EFA" w:rsidRDefault="006306E3" w:rsidP="001A476B">
      <w:pPr>
        <w:pStyle w:val="corte4fondo"/>
        <w:numPr>
          <w:ilvl w:val="0"/>
          <w:numId w:val="2"/>
        </w:numPr>
        <w:ind w:left="0" w:right="51" w:hanging="567"/>
        <w:rPr>
          <w:rFonts w:cs="Arial"/>
          <w:color w:val="000000" w:themeColor="text1"/>
          <w:sz w:val="26"/>
          <w:szCs w:val="26"/>
        </w:rPr>
      </w:pPr>
      <w:r w:rsidRPr="00B71EFA">
        <w:rPr>
          <w:rFonts w:cs="Arial"/>
          <w:color w:val="000000" w:themeColor="text1"/>
          <w:sz w:val="26"/>
          <w:szCs w:val="26"/>
        </w:rPr>
        <w:lastRenderedPageBreak/>
        <w:t xml:space="preserve">Esta Primera Sala </w:t>
      </w:r>
      <w:r w:rsidR="00132756" w:rsidRPr="00B71EFA">
        <w:rPr>
          <w:rFonts w:cs="Arial"/>
          <w:color w:val="000000" w:themeColor="text1"/>
          <w:sz w:val="26"/>
          <w:szCs w:val="26"/>
        </w:rPr>
        <w:t xml:space="preserve">enfatiza </w:t>
      </w:r>
      <w:r w:rsidRPr="00B71EFA">
        <w:rPr>
          <w:rFonts w:cs="Arial"/>
          <w:color w:val="000000" w:themeColor="text1"/>
          <w:sz w:val="26"/>
          <w:szCs w:val="26"/>
        </w:rPr>
        <w:t xml:space="preserve">que, en última instancia, </w:t>
      </w:r>
      <w:r w:rsidR="00655303">
        <w:rPr>
          <w:rFonts w:cs="Arial"/>
          <w:color w:val="000000" w:themeColor="text1"/>
          <w:sz w:val="26"/>
          <w:szCs w:val="26"/>
        </w:rPr>
        <w:t xml:space="preserve">la inoperatividad del sistema de </w:t>
      </w:r>
      <w:r w:rsidRPr="00B71EFA">
        <w:rPr>
          <w:rFonts w:cs="Arial"/>
          <w:color w:val="000000" w:themeColor="text1"/>
          <w:sz w:val="26"/>
          <w:szCs w:val="26"/>
        </w:rPr>
        <w:t>conciliación ante el COPRED repercutiría</w:t>
      </w:r>
      <w:r w:rsidR="00F73696">
        <w:rPr>
          <w:rFonts w:cs="Arial"/>
          <w:color w:val="000000" w:themeColor="text1"/>
          <w:sz w:val="26"/>
          <w:szCs w:val="26"/>
        </w:rPr>
        <w:t xml:space="preserve"> negativa y</w:t>
      </w:r>
      <w:r w:rsidRPr="00B71EFA">
        <w:rPr>
          <w:rFonts w:cs="Arial"/>
          <w:color w:val="000000" w:themeColor="text1"/>
          <w:sz w:val="26"/>
          <w:szCs w:val="26"/>
        </w:rPr>
        <w:t xml:space="preserve"> de manera sistémica en las presuntas víctimas de actos discriminatorios. Como sostuvimos anteriormente, las características de la conciliación como forma de reparación ante el COPRED conlleva menos formalidades y tiempo para llegar a una conclusión, por lo que permite una reparación más pronta y de buena fe para las presuntas víctimas, en comparación con un proceso civil. </w:t>
      </w:r>
      <w:r w:rsidR="00C835D5">
        <w:rPr>
          <w:rFonts w:cs="Arial"/>
          <w:color w:val="000000" w:themeColor="text1"/>
          <w:sz w:val="26"/>
          <w:szCs w:val="26"/>
        </w:rPr>
        <w:t>Restarle importancia a los mecanismos alternativos como el que</w:t>
      </w:r>
      <w:r w:rsidR="00531959">
        <w:rPr>
          <w:rFonts w:cs="Arial"/>
          <w:color w:val="000000" w:themeColor="text1"/>
          <w:sz w:val="26"/>
          <w:szCs w:val="26"/>
        </w:rPr>
        <w:t xml:space="preserve"> se realiza ante </w:t>
      </w:r>
      <w:r w:rsidR="00175DEC">
        <w:rPr>
          <w:rFonts w:cs="Arial"/>
          <w:color w:val="000000" w:themeColor="text1"/>
          <w:sz w:val="26"/>
          <w:szCs w:val="26"/>
        </w:rPr>
        <w:t>COPRED desconoce</w:t>
      </w:r>
      <w:r w:rsidR="00531959">
        <w:rPr>
          <w:rFonts w:cs="Arial"/>
          <w:color w:val="000000" w:themeColor="text1"/>
          <w:sz w:val="26"/>
          <w:szCs w:val="26"/>
        </w:rPr>
        <w:t xml:space="preserve">, por un lado, </w:t>
      </w:r>
      <w:r w:rsidR="00177BCC">
        <w:rPr>
          <w:rFonts w:cs="Arial"/>
          <w:color w:val="000000" w:themeColor="text1"/>
          <w:sz w:val="26"/>
          <w:szCs w:val="26"/>
        </w:rPr>
        <w:t>la complejidad del fenómeno de la discriminación</w:t>
      </w:r>
      <w:r w:rsidR="00531959">
        <w:rPr>
          <w:rFonts w:cs="Arial"/>
          <w:color w:val="000000" w:themeColor="text1"/>
          <w:sz w:val="26"/>
          <w:szCs w:val="26"/>
        </w:rPr>
        <w:t>, y por el otro,</w:t>
      </w:r>
      <w:r w:rsidR="00175DEC">
        <w:rPr>
          <w:rFonts w:cs="Arial"/>
          <w:color w:val="000000" w:themeColor="text1"/>
          <w:sz w:val="26"/>
          <w:szCs w:val="26"/>
        </w:rPr>
        <w:t xml:space="preserve"> que</w:t>
      </w:r>
      <w:r w:rsidR="00177BCC">
        <w:rPr>
          <w:rFonts w:cs="Arial"/>
          <w:color w:val="000000" w:themeColor="text1"/>
          <w:sz w:val="26"/>
          <w:szCs w:val="26"/>
        </w:rPr>
        <w:t xml:space="preserve"> la judicialización </w:t>
      </w:r>
      <w:r w:rsidR="00175DEC">
        <w:rPr>
          <w:rFonts w:cs="Arial"/>
          <w:color w:val="000000" w:themeColor="text1"/>
          <w:sz w:val="26"/>
          <w:szCs w:val="26"/>
        </w:rPr>
        <w:t>de los conflictos</w:t>
      </w:r>
      <w:r w:rsidR="00177BCC">
        <w:rPr>
          <w:rFonts w:cs="Arial"/>
          <w:color w:val="000000" w:themeColor="text1"/>
          <w:sz w:val="26"/>
          <w:szCs w:val="26"/>
        </w:rPr>
        <w:t xml:space="preserve"> no es necesariamente la mejor alternativa</w:t>
      </w:r>
      <w:r w:rsidR="00A01616">
        <w:rPr>
          <w:rFonts w:cs="Arial"/>
          <w:color w:val="000000" w:themeColor="text1"/>
          <w:sz w:val="26"/>
          <w:szCs w:val="26"/>
        </w:rPr>
        <w:t xml:space="preserve"> para las personas</w:t>
      </w:r>
      <w:r w:rsidR="00177BCC">
        <w:rPr>
          <w:rFonts w:cs="Arial"/>
          <w:color w:val="000000" w:themeColor="text1"/>
          <w:sz w:val="26"/>
          <w:szCs w:val="26"/>
        </w:rPr>
        <w:t xml:space="preserve">. </w:t>
      </w:r>
    </w:p>
    <w:p w14:paraId="243F1B46" w14:textId="77777777" w:rsidR="006306E3" w:rsidRPr="00B71EFA" w:rsidRDefault="006306E3" w:rsidP="001A476B">
      <w:pPr>
        <w:pStyle w:val="corte4fondo"/>
        <w:ind w:right="51" w:hanging="567"/>
        <w:rPr>
          <w:rFonts w:cs="Arial"/>
          <w:color w:val="000000" w:themeColor="text1"/>
          <w:sz w:val="26"/>
          <w:szCs w:val="26"/>
        </w:rPr>
      </w:pPr>
    </w:p>
    <w:p w14:paraId="24062359" w14:textId="2B465D67" w:rsidR="006306E3" w:rsidRPr="00B71EFA" w:rsidRDefault="006306E3" w:rsidP="001A476B">
      <w:pPr>
        <w:pStyle w:val="corte4fondo"/>
        <w:numPr>
          <w:ilvl w:val="0"/>
          <w:numId w:val="2"/>
        </w:numPr>
        <w:ind w:left="0" w:right="51" w:hanging="567"/>
        <w:rPr>
          <w:rFonts w:cs="Arial"/>
          <w:color w:val="000000" w:themeColor="text1"/>
          <w:sz w:val="26"/>
          <w:szCs w:val="26"/>
        </w:rPr>
      </w:pPr>
      <w:r w:rsidRPr="00B71EFA">
        <w:rPr>
          <w:rFonts w:cs="Arial"/>
          <w:color w:val="000000" w:themeColor="text1"/>
          <w:sz w:val="26"/>
          <w:szCs w:val="26"/>
        </w:rPr>
        <w:t xml:space="preserve">En ese sentido, las personas presuntamente afectadas por actos discriminatorios, que </w:t>
      </w:r>
      <w:r w:rsidR="00C46D90">
        <w:rPr>
          <w:rFonts w:cs="Arial"/>
          <w:color w:val="000000" w:themeColor="text1"/>
          <w:sz w:val="26"/>
          <w:szCs w:val="26"/>
        </w:rPr>
        <w:t>pueden pertenecer</w:t>
      </w:r>
      <w:r w:rsidRPr="00B71EFA">
        <w:rPr>
          <w:rFonts w:cs="Arial"/>
          <w:color w:val="000000" w:themeColor="text1"/>
          <w:sz w:val="26"/>
          <w:szCs w:val="26"/>
        </w:rPr>
        <w:t xml:space="preserve"> a grupos históricamente discriminados y en situación de vulnerabilidad, quedarían </w:t>
      </w:r>
      <w:r w:rsidRPr="00B71EFA">
        <w:rPr>
          <w:rFonts w:cs="Arial"/>
          <w:i/>
          <w:iCs/>
          <w:color w:val="000000" w:themeColor="text1"/>
          <w:sz w:val="26"/>
          <w:szCs w:val="26"/>
        </w:rPr>
        <w:t>de facto</w:t>
      </w:r>
      <w:r w:rsidRPr="00B71EFA">
        <w:rPr>
          <w:rFonts w:cs="Arial"/>
          <w:color w:val="000000" w:themeColor="text1"/>
          <w:sz w:val="26"/>
          <w:szCs w:val="26"/>
        </w:rPr>
        <w:t xml:space="preserve"> sin posibilidad de acceder a una reparación </w:t>
      </w:r>
      <w:r w:rsidR="00676904">
        <w:rPr>
          <w:rFonts w:cs="Arial"/>
          <w:color w:val="000000" w:themeColor="text1"/>
          <w:sz w:val="26"/>
          <w:szCs w:val="26"/>
        </w:rPr>
        <w:t xml:space="preserve">accesible e </w:t>
      </w:r>
      <w:r w:rsidRPr="00B71EFA">
        <w:rPr>
          <w:rFonts w:cs="Arial"/>
          <w:color w:val="000000" w:themeColor="text1"/>
          <w:sz w:val="26"/>
          <w:szCs w:val="26"/>
        </w:rPr>
        <w:t>inmediata y, sólo en el caso de someterse a un proceso judicial y acreditar los elementos de la responsabilidad civil extracontractual (lo cual puede ser emocional y económicamente desgastante), las víctimas podrían obtener una justa indemnización. Por ello, este Tribunal considera que posibilitar a las personas a acudir a un juicio civil después de celebrar un convenio conciliatorio ante el COPRED</w:t>
      </w:r>
      <w:r w:rsidR="00D234AF">
        <w:rPr>
          <w:rFonts w:cs="Arial"/>
          <w:color w:val="000000" w:themeColor="text1"/>
          <w:sz w:val="26"/>
          <w:szCs w:val="26"/>
        </w:rPr>
        <w:t>, respecto de los mismos hechos, entre las mismas p</w:t>
      </w:r>
      <w:r w:rsidR="008D7D9F">
        <w:rPr>
          <w:rFonts w:cs="Arial"/>
          <w:color w:val="000000" w:themeColor="text1"/>
          <w:sz w:val="26"/>
          <w:szCs w:val="26"/>
        </w:rPr>
        <w:t>ersonas</w:t>
      </w:r>
      <w:r w:rsidR="00D234AF">
        <w:rPr>
          <w:rFonts w:cs="Arial"/>
          <w:color w:val="000000" w:themeColor="text1"/>
          <w:sz w:val="26"/>
          <w:szCs w:val="26"/>
        </w:rPr>
        <w:t xml:space="preserve"> y para los mismos efectos,</w:t>
      </w:r>
      <w:r w:rsidRPr="00B71EFA">
        <w:rPr>
          <w:rFonts w:cs="Arial"/>
          <w:color w:val="000000" w:themeColor="text1"/>
          <w:sz w:val="26"/>
          <w:szCs w:val="26"/>
        </w:rPr>
        <w:t xml:space="preserve"> a pesar de tener el carácter de cosa juzgada, de hecho impactaría </w:t>
      </w:r>
      <w:r w:rsidR="00FF17E5">
        <w:rPr>
          <w:rFonts w:cs="Arial"/>
          <w:color w:val="000000" w:themeColor="text1"/>
          <w:sz w:val="26"/>
          <w:szCs w:val="26"/>
        </w:rPr>
        <w:t xml:space="preserve">negativamente </w:t>
      </w:r>
      <w:r w:rsidRPr="00B71EFA">
        <w:rPr>
          <w:rFonts w:cs="Arial"/>
          <w:color w:val="000000" w:themeColor="text1"/>
          <w:sz w:val="26"/>
          <w:szCs w:val="26"/>
        </w:rPr>
        <w:t>en el derecho de acceso a la justicia y a una reparación integral de las víctimas de discriminación en situación de vulnerabilidad, cuando se analiza el problema de manera sistémica</w:t>
      </w:r>
      <w:r w:rsidR="00D4399B">
        <w:rPr>
          <w:rFonts w:cs="Arial"/>
          <w:color w:val="000000" w:themeColor="text1"/>
          <w:sz w:val="26"/>
          <w:szCs w:val="26"/>
        </w:rPr>
        <w:t>.</w:t>
      </w:r>
    </w:p>
    <w:p w14:paraId="1A86DBC9" w14:textId="77777777" w:rsidR="006306E3" w:rsidRPr="00B71EFA" w:rsidRDefault="006306E3" w:rsidP="001A476B">
      <w:pPr>
        <w:pStyle w:val="corte4fondo"/>
        <w:ind w:right="51" w:hanging="567"/>
        <w:rPr>
          <w:rFonts w:cs="Arial"/>
          <w:color w:val="000000" w:themeColor="text1"/>
          <w:sz w:val="26"/>
          <w:szCs w:val="26"/>
        </w:rPr>
      </w:pPr>
    </w:p>
    <w:p w14:paraId="42AA6850" w14:textId="6D7C7C32" w:rsidR="006306E3" w:rsidRPr="00B71EFA" w:rsidRDefault="006306E3" w:rsidP="001A476B">
      <w:pPr>
        <w:pStyle w:val="corte4fondo"/>
        <w:numPr>
          <w:ilvl w:val="0"/>
          <w:numId w:val="2"/>
        </w:numPr>
        <w:ind w:left="0" w:right="51" w:hanging="567"/>
        <w:rPr>
          <w:rFonts w:cs="Arial"/>
          <w:color w:val="000000" w:themeColor="text1"/>
          <w:sz w:val="26"/>
          <w:szCs w:val="26"/>
        </w:rPr>
      </w:pPr>
      <w:r w:rsidRPr="00B71EFA">
        <w:rPr>
          <w:rFonts w:cs="Arial"/>
          <w:color w:val="000000" w:themeColor="text1"/>
          <w:sz w:val="26"/>
          <w:szCs w:val="26"/>
        </w:rPr>
        <w:t xml:space="preserve">Lo anterior no significa que las presuntas víctimas que hayan participado en un procedimiento conciliatorio ante el COPRED no puedan acudir posteriormente a la vía civil en ciertos supuestos. Como establece la </w:t>
      </w:r>
      <w:r w:rsidRPr="00B71EFA">
        <w:rPr>
          <w:rFonts w:cs="Arial"/>
          <w:sz w:val="26"/>
          <w:szCs w:val="26"/>
        </w:rPr>
        <w:t xml:space="preserve">Ley para Prevenir y Eliminar la Discriminación del Distrito Federal, durante la tramitación de la queja presentada por la presunta víctima, podrá iniciarse un procedimiento conciliatorio ante la autoridad, por el que se puedan “avenir los intereses” de las partes en una audiencia de conciliación. No obstante, la </w:t>
      </w:r>
      <w:r w:rsidRPr="00B71EFA">
        <w:rPr>
          <w:rFonts w:cs="Arial"/>
          <w:sz w:val="26"/>
          <w:szCs w:val="26"/>
        </w:rPr>
        <w:lastRenderedPageBreak/>
        <w:t>celebración de esta audiencia no necesariamente tiene como consecuencia que las partes lleguen a un convenio conciliatorio, pues, como dispone la ley, cuando la queja no se resuelve en la etapa de conciliación, el COPRED iniciará una etapa de investigación de los hechos denunciados y, en su caso, emitirá una resolución con ciertas recomendaciones</w:t>
      </w:r>
      <w:r w:rsidRPr="00B71EFA">
        <w:rPr>
          <w:rStyle w:val="Refdenotaalpie"/>
          <w:rFonts w:cs="Arial"/>
          <w:sz w:val="26"/>
          <w:szCs w:val="26"/>
        </w:rPr>
        <w:footnoteReference w:id="126"/>
      </w:r>
      <w:r w:rsidRPr="00B71EFA">
        <w:rPr>
          <w:rFonts w:cs="Arial"/>
          <w:sz w:val="26"/>
          <w:szCs w:val="26"/>
        </w:rPr>
        <w:t xml:space="preserve">. En tal supuesto, antes, durante o después del proceso ante </w:t>
      </w:r>
      <w:r w:rsidR="00C952EE" w:rsidRPr="00B71EFA">
        <w:rPr>
          <w:rFonts w:cs="Arial"/>
          <w:sz w:val="26"/>
          <w:szCs w:val="26"/>
        </w:rPr>
        <w:t xml:space="preserve">el </w:t>
      </w:r>
      <w:r w:rsidRPr="00B71EFA">
        <w:rPr>
          <w:rFonts w:cs="Arial"/>
          <w:sz w:val="26"/>
          <w:szCs w:val="26"/>
        </w:rPr>
        <w:t xml:space="preserve">COPRED las víctimas de los </w:t>
      </w:r>
      <w:r w:rsidR="00C952EE" w:rsidRPr="00B71EFA">
        <w:rPr>
          <w:rFonts w:cs="Arial"/>
          <w:sz w:val="26"/>
          <w:szCs w:val="26"/>
        </w:rPr>
        <w:t xml:space="preserve">presuntos </w:t>
      </w:r>
      <w:r w:rsidRPr="00B71EFA">
        <w:rPr>
          <w:rFonts w:cs="Arial"/>
          <w:sz w:val="26"/>
          <w:szCs w:val="26"/>
        </w:rPr>
        <w:t>actos discriminatorios estarían en libertad de iniciar un juicio de responsabilidad civil extracontractual.</w:t>
      </w:r>
    </w:p>
    <w:p w14:paraId="1E70AB0B" w14:textId="77777777" w:rsidR="006306E3" w:rsidRPr="00B71EFA" w:rsidRDefault="006306E3" w:rsidP="001A476B">
      <w:pPr>
        <w:pStyle w:val="corte4fondo"/>
        <w:ind w:right="51" w:hanging="567"/>
        <w:rPr>
          <w:rFonts w:cs="Arial"/>
          <w:color w:val="000000" w:themeColor="text1"/>
          <w:sz w:val="26"/>
          <w:szCs w:val="26"/>
        </w:rPr>
      </w:pPr>
    </w:p>
    <w:p w14:paraId="635E80A3" w14:textId="350FFAB2" w:rsidR="006306E3" w:rsidRPr="00F8487E" w:rsidRDefault="006306E3" w:rsidP="001A476B">
      <w:pPr>
        <w:pStyle w:val="corte4fondo"/>
        <w:numPr>
          <w:ilvl w:val="0"/>
          <w:numId w:val="2"/>
        </w:numPr>
        <w:ind w:left="0" w:right="51" w:hanging="567"/>
        <w:rPr>
          <w:rFonts w:cs="Arial"/>
          <w:color w:val="000000" w:themeColor="text1"/>
          <w:sz w:val="26"/>
          <w:szCs w:val="26"/>
        </w:rPr>
      </w:pPr>
      <w:r w:rsidRPr="00F8487E">
        <w:rPr>
          <w:rFonts w:cs="Arial"/>
          <w:color w:val="000000" w:themeColor="text1"/>
          <w:sz w:val="26"/>
          <w:szCs w:val="26"/>
        </w:rPr>
        <w:t>Asimismo, esta Primera Sala destaca que la</w:t>
      </w:r>
      <w:r w:rsidRPr="00F8487E">
        <w:rPr>
          <w:rFonts w:cs="Arial"/>
          <w:sz w:val="26"/>
          <w:szCs w:val="26"/>
        </w:rPr>
        <w:t xml:space="preserve"> ley en la materia permite a las presuntas víctimas interponer el recurso de inconformidad </w:t>
      </w:r>
      <w:r w:rsidRPr="00F8487E">
        <w:rPr>
          <w:rFonts w:cs="Arial"/>
          <w:color w:val="000000" w:themeColor="text1"/>
          <w:sz w:val="26"/>
          <w:szCs w:val="26"/>
          <w:lang w:val="es-MX"/>
        </w:rPr>
        <w:t>—</w:t>
      </w:r>
      <w:r w:rsidRPr="00F8487E">
        <w:rPr>
          <w:rFonts w:cs="Arial"/>
          <w:sz w:val="26"/>
          <w:szCs w:val="26"/>
        </w:rPr>
        <w:t>conforme a la Ley de Procedimiento Administrativo del Distrito Federal</w:t>
      </w:r>
      <w:r w:rsidR="00AF3347">
        <w:rPr>
          <w:rFonts w:cs="Arial"/>
          <w:sz w:val="26"/>
          <w:szCs w:val="26"/>
        </w:rPr>
        <w:t xml:space="preserve"> (hoy </w:t>
      </w:r>
      <w:r w:rsidR="00DC4E8C">
        <w:rPr>
          <w:rFonts w:cs="Arial"/>
          <w:sz w:val="26"/>
          <w:szCs w:val="26"/>
        </w:rPr>
        <w:t>Ciudad de México)</w:t>
      </w:r>
      <w:r w:rsidRPr="00F8487E">
        <w:rPr>
          <w:rFonts w:cs="Arial"/>
          <w:color w:val="000000" w:themeColor="text1"/>
          <w:sz w:val="26"/>
          <w:szCs w:val="26"/>
          <w:lang w:val="es-MX"/>
        </w:rPr>
        <w:t>—</w:t>
      </w:r>
      <w:r w:rsidRPr="00F8487E">
        <w:rPr>
          <w:rFonts w:cs="Arial"/>
          <w:sz w:val="26"/>
          <w:szCs w:val="26"/>
        </w:rPr>
        <w:t xml:space="preserve"> en contra de los actos del COPRED, como podría ser el acuerdo por el que la autoridad tenga por cumplidas las cláusulas del convenio conciliatorio antes celebrado</w:t>
      </w:r>
      <w:r w:rsidRPr="00F8487E">
        <w:rPr>
          <w:rStyle w:val="Refdenotaalpie"/>
          <w:rFonts w:cs="Arial"/>
          <w:sz w:val="26"/>
          <w:szCs w:val="26"/>
        </w:rPr>
        <w:footnoteReference w:id="127"/>
      </w:r>
      <w:r w:rsidRPr="00F8487E">
        <w:rPr>
          <w:rFonts w:cs="Arial"/>
          <w:color w:val="000000" w:themeColor="text1"/>
          <w:sz w:val="26"/>
          <w:szCs w:val="26"/>
        </w:rPr>
        <w:t xml:space="preserve">. Incluso, en el supuesto de que una presunta víctima estime que </w:t>
      </w:r>
      <w:r w:rsidR="00CE477B">
        <w:rPr>
          <w:rFonts w:cs="Arial"/>
          <w:color w:val="000000" w:themeColor="text1"/>
          <w:sz w:val="26"/>
          <w:szCs w:val="26"/>
        </w:rPr>
        <w:t>el</w:t>
      </w:r>
      <w:r w:rsidRPr="00F8487E">
        <w:rPr>
          <w:rFonts w:cs="Arial"/>
          <w:color w:val="000000" w:themeColor="text1"/>
          <w:sz w:val="26"/>
          <w:szCs w:val="26"/>
        </w:rPr>
        <w:t xml:space="preserve"> COPRED actuó irregularmente en la conducción del procedimiento conciliatorio y/o en la aprobación del convenio respectivo, queda expedita la facultad de la víctima de iniciar un procedimiento de responsabilidad patrimonial, de conformidad con la Ley de Responsabilidad Patrimonial del Distrito Federal,</w:t>
      </w:r>
      <w:r w:rsidR="008410FA" w:rsidRPr="00F8487E">
        <w:rPr>
          <w:rFonts w:cs="Arial"/>
          <w:color w:val="000000" w:themeColor="text1"/>
          <w:sz w:val="26"/>
          <w:szCs w:val="26"/>
        </w:rPr>
        <w:t xml:space="preserve"> u otros mecanismos</w:t>
      </w:r>
      <w:r w:rsidR="00051A0F" w:rsidRPr="00F8487E">
        <w:rPr>
          <w:rFonts w:cs="Arial"/>
          <w:color w:val="000000" w:themeColor="text1"/>
          <w:sz w:val="26"/>
          <w:szCs w:val="26"/>
        </w:rPr>
        <w:t xml:space="preserve"> jurisdiccionales</w:t>
      </w:r>
      <w:r w:rsidRPr="00F8487E">
        <w:rPr>
          <w:rFonts w:cs="Arial"/>
          <w:color w:val="000000" w:themeColor="text1"/>
          <w:sz w:val="26"/>
          <w:szCs w:val="26"/>
        </w:rPr>
        <w:t xml:space="preserve"> para exigir la reparación del daño causado. </w:t>
      </w:r>
      <w:r w:rsidR="00CE28C6" w:rsidRPr="00F8487E">
        <w:rPr>
          <w:rFonts w:cs="Arial"/>
          <w:color w:val="000000" w:themeColor="text1"/>
          <w:sz w:val="26"/>
          <w:szCs w:val="26"/>
        </w:rPr>
        <w:t>Por supuesto</w:t>
      </w:r>
      <w:r w:rsidR="00FB05B4" w:rsidRPr="00F8487E">
        <w:rPr>
          <w:rFonts w:cs="Arial"/>
          <w:color w:val="000000" w:themeColor="text1"/>
          <w:sz w:val="26"/>
          <w:szCs w:val="26"/>
        </w:rPr>
        <w:t xml:space="preserve">, estas conclusiones </w:t>
      </w:r>
      <w:r w:rsidR="00661D45" w:rsidRPr="00F8487E">
        <w:rPr>
          <w:rFonts w:cs="Arial"/>
          <w:color w:val="000000" w:themeColor="text1"/>
          <w:sz w:val="26"/>
          <w:szCs w:val="26"/>
        </w:rPr>
        <w:t xml:space="preserve">no tienen </w:t>
      </w:r>
      <w:r w:rsidR="00FB05B4" w:rsidRPr="00F8487E">
        <w:rPr>
          <w:rFonts w:cs="Arial"/>
          <w:color w:val="000000" w:themeColor="text1"/>
          <w:sz w:val="26"/>
          <w:szCs w:val="26"/>
        </w:rPr>
        <w:t xml:space="preserve">ninguna implicación </w:t>
      </w:r>
      <w:r w:rsidR="00100060" w:rsidRPr="00F8487E">
        <w:rPr>
          <w:rFonts w:cs="Arial"/>
          <w:color w:val="000000" w:themeColor="text1"/>
          <w:sz w:val="26"/>
          <w:szCs w:val="26"/>
        </w:rPr>
        <w:t xml:space="preserve">respecto de la procedencia </w:t>
      </w:r>
      <w:r w:rsidR="00661D45" w:rsidRPr="00F8487E">
        <w:rPr>
          <w:rFonts w:cs="Arial"/>
          <w:color w:val="000000" w:themeColor="text1"/>
          <w:sz w:val="26"/>
          <w:szCs w:val="26"/>
        </w:rPr>
        <w:t xml:space="preserve">de </w:t>
      </w:r>
      <w:r w:rsidR="00FB05B4" w:rsidRPr="00F8487E">
        <w:rPr>
          <w:rFonts w:cs="Arial"/>
          <w:color w:val="000000" w:themeColor="text1"/>
          <w:sz w:val="26"/>
          <w:szCs w:val="26"/>
        </w:rPr>
        <w:t xml:space="preserve">otro tipo de </w:t>
      </w:r>
      <w:r w:rsidR="00FB05B4" w:rsidRPr="00F8487E">
        <w:rPr>
          <w:rFonts w:cs="Arial"/>
          <w:color w:val="000000" w:themeColor="text1"/>
          <w:sz w:val="26"/>
          <w:szCs w:val="26"/>
        </w:rPr>
        <w:lastRenderedPageBreak/>
        <w:t>procesos, por ejemplo, de carácter administrativo</w:t>
      </w:r>
      <w:r w:rsidR="004B1B54" w:rsidRPr="00F8487E">
        <w:rPr>
          <w:rFonts w:cs="Arial"/>
          <w:color w:val="000000" w:themeColor="text1"/>
          <w:sz w:val="26"/>
          <w:szCs w:val="26"/>
        </w:rPr>
        <w:t xml:space="preserve"> o penal</w:t>
      </w:r>
      <w:r w:rsidR="00CE28C6" w:rsidRPr="00F8487E">
        <w:rPr>
          <w:rFonts w:cs="Arial"/>
          <w:color w:val="000000" w:themeColor="text1"/>
          <w:sz w:val="26"/>
          <w:szCs w:val="26"/>
        </w:rPr>
        <w:t>,</w:t>
      </w:r>
      <w:r w:rsidR="00100060" w:rsidRPr="00F8487E">
        <w:rPr>
          <w:rFonts w:cs="Arial"/>
          <w:color w:val="000000" w:themeColor="text1"/>
          <w:sz w:val="26"/>
          <w:szCs w:val="26"/>
        </w:rPr>
        <w:t xml:space="preserve"> respecto de</w:t>
      </w:r>
      <w:r w:rsidR="00C41E84" w:rsidRPr="00F8487E">
        <w:rPr>
          <w:rFonts w:cs="Arial"/>
          <w:color w:val="000000" w:themeColor="text1"/>
          <w:sz w:val="26"/>
          <w:szCs w:val="26"/>
        </w:rPr>
        <w:t xml:space="preserve"> los </w:t>
      </w:r>
      <w:r w:rsidR="00A35B17" w:rsidRPr="00F8487E">
        <w:rPr>
          <w:rFonts w:cs="Arial"/>
          <w:color w:val="000000" w:themeColor="text1"/>
          <w:sz w:val="26"/>
          <w:szCs w:val="26"/>
        </w:rPr>
        <w:t xml:space="preserve">mismos </w:t>
      </w:r>
      <w:r w:rsidR="00C41E84" w:rsidRPr="00F8487E">
        <w:rPr>
          <w:rFonts w:cs="Arial"/>
          <w:color w:val="000000" w:themeColor="text1"/>
          <w:sz w:val="26"/>
          <w:szCs w:val="26"/>
        </w:rPr>
        <w:t>hechos discriminatorios</w:t>
      </w:r>
      <w:r w:rsidR="008B20F0" w:rsidRPr="00F8487E">
        <w:rPr>
          <w:rStyle w:val="Refdenotaalpie"/>
          <w:rFonts w:cs="Arial"/>
          <w:color w:val="000000" w:themeColor="text1"/>
          <w:sz w:val="26"/>
          <w:szCs w:val="26"/>
        </w:rPr>
        <w:footnoteReference w:id="128"/>
      </w:r>
      <w:r w:rsidR="00FB05B4" w:rsidRPr="00F8487E">
        <w:rPr>
          <w:rFonts w:cs="Arial"/>
          <w:color w:val="000000" w:themeColor="text1"/>
          <w:sz w:val="26"/>
          <w:szCs w:val="26"/>
        </w:rPr>
        <w:t xml:space="preserve">. </w:t>
      </w:r>
    </w:p>
    <w:p w14:paraId="2DF3FE83" w14:textId="77777777" w:rsidR="00050CBB" w:rsidRDefault="00050CBB" w:rsidP="001A476B">
      <w:pPr>
        <w:pStyle w:val="corte4fondo"/>
        <w:ind w:right="51" w:hanging="567"/>
        <w:rPr>
          <w:rFonts w:cs="Arial"/>
          <w:sz w:val="26"/>
          <w:szCs w:val="26"/>
          <w:lang w:val="es-ES"/>
        </w:rPr>
      </w:pPr>
    </w:p>
    <w:p w14:paraId="6C35D12C" w14:textId="197A4293" w:rsidR="0082291C" w:rsidRPr="00BA4FDF" w:rsidRDefault="0082291C" w:rsidP="001A476B">
      <w:pPr>
        <w:pStyle w:val="corte4fondo"/>
        <w:numPr>
          <w:ilvl w:val="0"/>
          <w:numId w:val="2"/>
        </w:numPr>
        <w:ind w:left="0" w:right="51" w:hanging="567"/>
        <w:rPr>
          <w:rFonts w:cs="Arial"/>
          <w:sz w:val="26"/>
          <w:szCs w:val="26"/>
          <w:lang w:val="es-ES"/>
        </w:rPr>
      </w:pPr>
      <w:r w:rsidRPr="00BA4FDF">
        <w:rPr>
          <w:rFonts w:cs="Arial"/>
          <w:sz w:val="26"/>
          <w:szCs w:val="26"/>
          <w:lang w:val="es-ES"/>
        </w:rPr>
        <w:t>Por</w:t>
      </w:r>
      <w:r w:rsidR="00486A24" w:rsidRPr="00BA4FDF">
        <w:rPr>
          <w:rFonts w:cs="Arial"/>
          <w:sz w:val="26"/>
          <w:szCs w:val="26"/>
          <w:lang w:val="es-ES"/>
        </w:rPr>
        <w:t xml:space="preserve"> lo</w:t>
      </w:r>
      <w:r w:rsidRPr="00BA4FDF">
        <w:rPr>
          <w:rFonts w:cs="Arial"/>
          <w:sz w:val="26"/>
          <w:szCs w:val="26"/>
          <w:lang w:val="es-ES"/>
        </w:rPr>
        <w:t xml:space="preserve"> </w:t>
      </w:r>
      <w:r w:rsidR="00486A24" w:rsidRPr="00BA4FDF">
        <w:rPr>
          <w:rFonts w:cs="Arial"/>
          <w:sz w:val="26"/>
          <w:szCs w:val="26"/>
          <w:lang w:val="es-ES"/>
        </w:rPr>
        <w:t>anterior</w:t>
      </w:r>
      <w:r w:rsidRPr="00BA4FDF">
        <w:rPr>
          <w:rFonts w:cs="Arial"/>
          <w:sz w:val="26"/>
          <w:szCs w:val="26"/>
          <w:lang w:val="es-ES"/>
        </w:rPr>
        <w:t xml:space="preserve">, </w:t>
      </w:r>
      <w:r w:rsidR="00486A24" w:rsidRPr="00BA4FDF">
        <w:rPr>
          <w:rFonts w:cs="Arial"/>
          <w:sz w:val="26"/>
          <w:szCs w:val="26"/>
          <w:lang w:val="es-ES"/>
        </w:rPr>
        <w:t xml:space="preserve">esta </w:t>
      </w:r>
      <w:r w:rsidR="00FB3F61">
        <w:rPr>
          <w:rFonts w:cs="Arial"/>
          <w:sz w:val="26"/>
          <w:szCs w:val="26"/>
          <w:lang w:val="es-ES"/>
        </w:rPr>
        <w:t>Primera Sala</w:t>
      </w:r>
      <w:r w:rsidR="00486A24" w:rsidRPr="00BA4FDF">
        <w:rPr>
          <w:rFonts w:cs="Arial"/>
          <w:sz w:val="26"/>
          <w:szCs w:val="26"/>
          <w:lang w:val="es-ES"/>
        </w:rPr>
        <w:t xml:space="preserve"> </w:t>
      </w:r>
      <w:r w:rsidR="00081D9B" w:rsidRPr="00BA4FDF">
        <w:rPr>
          <w:rFonts w:cs="Arial"/>
          <w:sz w:val="26"/>
          <w:szCs w:val="26"/>
          <w:lang w:val="es-ES"/>
        </w:rPr>
        <w:t>considera que fue acertada la conclusión</w:t>
      </w:r>
      <w:r w:rsidRPr="00BA4FDF">
        <w:rPr>
          <w:rFonts w:cs="Arial"/>
          <w:sz w:val="26"/>
          <w:szCs w:val="26"/>
          <w:lang w:val="es-ES"/>
        </w:rPr>
        <w:t xml:space="preserve"> de la sala responsable</w:t>
      </w:r>
      <w:r w:rsidR="00081D9B" w:rsidRPr="00BA4FDF">
        <w:rPr>
          <w:rFonts w:cs="Arial"/>
          <w:sz w:val="26"/>
          <w:szCs w:val="26"/>
          <w:lang w:val="es-ES"/>
        </w:rPr>
        <w:t xml:space="preserve"> en este punto</w:t>
      </w:r>
      <w:r w:rsidR="003713CD" w:rsidRPr="00BA4FDF">
        <w:rPr>
          <w:rFonts w:cs="Arial"/>
          <w:sz w:val="26"/>
          <w:szCs w:val="26"/>
          <w:lang w:val="es-ES"/>
        </w:rPr>
        <w:t xml:space="preserve">. </w:t>
      </w:r>
      <w:r w:rsidR="0003263F" w:rsidRPr="00BA4FDF">
        <w:rPr>
          <w:rFonts w:cs="Arial"/>
          <w:sz w:val="26"/>
          <w:szCs w:val="26"/>
          <w:lang w:val="es-MX"/>
        </w:rPr>
        <w:t xml:space="preserve">En atención </w:t>
      </w:r>
      <w:r w:rsidR="00AB6090" w:rsidRPr="00BA4FDF">
        <w:rPr>
          <w:rFonts w:cs="Arial"/>
          <w:sz w:val="26"/>
          <w:szCs w:val="26"/>
          <w:lang w:val="es-MX"/>
        </w:rPr>
        <w:t>a</w:t>
      </w:r>
      <w:r w:rsidR="0003263F" w:rsidRPr="00BA4FDF">
        <w:rPr>
          <w:rFonts w:cs="Arial"/>
          <w:sz w:val="26"/>
          <w:szCs w:val="26"/>
          <w:lang w:val="es-MX"/>
        </w:rPr>
        <w:t>l</w:t>
      </w:r>
      <w:r w:rsidR="0003263F" w:rsidRPr="00BA4FDF">
        <w:rPr>
          <w:rFonts w:cs="Arial"/>
          <w:sz w:val="26"/>
          <w:szCs w:val="26"/>
          <w:lang w:val="es-ES"/>
        </w:rPr>
        <w:t xml:space="preserve"> derecho a la seguridad jurídica de las partes y, sobre todo, </w:t>
      </w:r>
      <w:r w:rsidR="00AB6090" w:rsidRPr="00BA4FDF">
        <w:rPr>
          <w:rFonts w:cs="Arial"/>
          <w:sz w:val="26"/>
          <w:szCs w:val="26"/>
          <w:lang w:val="es-ES"/>
        </w:rPr>
        <w:t>a</w:t>
      </w:r>
      <w:r w:rsidR="0003263F" w:rsidRPr="00BA4FDF">
        <w:rPr>
          <w:rFonts w:cs="Arial"/>
          <w:sz w:val="26"/>
          <w:szCs w:val="26"/>
          <w:lang w:val="es-ES"/>
        </w:rPr>
        <w:t>l derecho de las víctimas de acceder a una reparación del daño de forma pronta</w:t>
      </w:r>
      <w:r w:rsidR="00081D9B" w:rsidRPr="00BA4FDF">
        <w:rPr>
          <w:rFonts w:cs="Arial"/>
          <w:sz w:val="26"/>
          <w:szCs w:val="26"/>
          <w:lang w:val="es-ES"/>
        </w:rPr>
        <w:t xml:space="preserve"> y expedita, co</w:t>
      </w:r>
      <w:r w:rsidR="00392C80" w:rsidRPr="00BA4FDF">
        <w:rPr>
          <w:rFonts w:cs="Arial"/>
          <w:sz w:val="26"/>
          <w:szCs w:val="26"/>
          <w:lang w:val="es-ES"/>
        </w:rPr>
        <w:t xml:space="preserve">incidimos en que el carácter de cosa juzgada del convenio de conciliación ante el COPRED conlleva que, </w:t>
      </w:r>
      <w:r w:rsidRPr="00BA4FDF">
        <w:rPr>
          <w:rFonts w:cs="Arial"/>
          <w:sz w:val="26"/>
          <w:szCs w:val="26"/>
          <w:lang w:val="es-ES"/>
        </w:rPr>
        <w:t xml:space="preserve">en principio, no </w:t>
      </w:r>
      <w:r w:rsidR="00392C80" w:rsidRPr="00BA4FDF">
        <w:rPr>
          <w:rFonts w:cs="Arial"/>
          <w:sz w:val="26"/>
          <w:szCs w:val="26"/>
          <w:lang w:val="es-ES"/>
        </w:rPr>
        <w:t>sea</w:t>
      </w:r>
      <w:r w:rsidRPr="00BA4FDF">
        <w:rPr>
          <w:rFonts w:cs="Arial"/>
          <w:sz w:val="26"/>
          <w:szCs w:val="26"/>
          <w:lang w:val="es-ES"/>
        </w:rPr>
        <w:t xml:space="preserve"> posible iniciar un juicio civil </w:t>
      </w:r>
      <w:r w:rsidR="00C353F4" w:rsidRPr="00BA4FDF">
        <w:rPr>
          <w:rFonts w:cs="Arial"/>
          <w:sz w:val="26"/>
          <w:szCs w:val="26"/>
          <w:lang w:val="es-ES"/>
        </w:rPr>
        <w:t xml:space="preserve">posterior </w:t>
      </w:r>
      <w:r w:rsidRPr="00BA4FDF">
        <w:rPr>
          <w:rFonts w:cs="Arial"/>
          <w:sz w:val="26"/>
          <w:szCs w:val="26"/>
          <w:lang w:val="es-ES"/>
        </w:rPr>
        <w:t>por los mismos hechos</w:t>
      </w:r>
      <w:r w:rsidR="00A335A1" w:rsidRPr="00BA4FDF">
        <w:rPr>
          <w:rFonts w:cs="Arial"/>
          <w:sz w:val="26"/>
          <w:szCs w:val="26"/>
          <w:lang w:val="es-ES"/>
        </w:rPr>
        <w:t>,</w:t>
      </w:r>
      <w:r w:rsidR="00BA4FDF" w:rsidRPr="00BA4FDF">
        <w:rPr>
          <w:rFonts w:cs="Arial"/>
          <w:sz w:val="26"/>
          <w:szCs w:val="26"/>
          <w:lang w:val="es-ES"/>
        </w:rPr>
        <w:t xml:space="preserve"> </w:t>
      </w:r>
      <w:r w:rsidRPr="00BA4FDF">
        <w:rPr>
          <w:rFonts w:cs="Arial"/>
          <w:sz w:val="26"/>
          <w:szCs w:val="26"/>
          <w:lang w:val="es-ES"/>
        </w:rPr>
        <w:t>respecto de las mismas personas</w:t>
      </w:r>
      <w:r w:rsidR="00A335A1" w:rsidRPr="00BA4FDF">
        <w:rPr>
          <w:rFonts w:cs="Arial"/>
          <w:sz w:val="26"/>
          <w:szCs w:val="26"/>
          <w:lang w:val="es-ES"/>
        </w:rPr>
        <w:t xml:space="preserve"> y </w:t>
      </w:r>
      <w:r w:rsidRPr="00BA4FDF">
        <w:rPr>
          <w:rFonts w:cs="Arial"/>
          <w:sz w:val="26"/>
          <w:szCs w:val="26"/>
          <w:lang w:val="es-ES"/>
        </w:rPr>
        <w:t xml:space="preserve">para </w:t>
      </w:r>
      <w:r w:rsidR="00A335A1" w:rsidRPr="00BA4FDF">
        <w:rPr>
          <w:rFonts w:cs="Arial"/>
          <w:sz w:val="26"/>
          <w:szCs w:val="26"/>
          <w:lang w:val="es-ES"/>
        </w:rPr>
        <w:t>los mismos efectos.</w:t>
      </w:r>
    </w:p>
    <w:p w14:paraId="371A7325" w14:textId="77777777" w:rsidR="005614F6" w:rsidRPr="000153A3" w:rsidRDefault="005614F6" w:rsidP="001A476B">
      <w:pPr>
        <w:pStyle w:val="corte4fondo"/>
        <w:ind w:right="51" w:hanging="567"/>
        <w:rPr>
          <w:rFonts w:cs="Arial"/>
          <w:sz w:val="26"/>
          <w:szCs w:val="26"/>
          <w:lang w:val="es-ES"/>
        </w:rPr>
      </w:pPr>
    </w:p>
    <w:p w14:paraId="6D024024" w14:textId="50C4DDA9" w:rsidR="00A35B17" w:rsidRPr="007C570C" w:rsidRDefault="00E12093" w:rsidP="001A476B">
      <w:pPr>
        <w:pStyle w:val="corte4fondo"/>
        <w:numPr>
          <w:ilvl w:val="0"/>
          <w:numId w:val="2"/>
        </w:numPr>
        <w:ind w:left="0" w:right="51" w:hanging="567"/>
        <w:rPr>
          <w:rFonts w:cs="Arial"/>
          <w:sz w:val="26"/>
          <w:szCs w:val="26"/>
          <w:lang w:val="es-ES"/>
        </w:rPr>
      </w:pPr>
      <w:r w:rsidRPr="007C570C">
        <w:rPr>
          <w:rFonts w:cs="Arial"/>
          <w:sz w:val="26"/>
          <w:szCs w:val="26"/>
          <w:lang w:val="es-ES"/>
        </w:rPr>
        <w:t>Sobre este punto,</w:t>
      </w:r>
      <w:r w:rsidR="00787678" w:rsidRPr="007C570C">
        <w:rPr>
          <w:rFonts w:cs="Arial"/>
          <w:sz w:val="26"/>
          <w:szCs w:val="26"/>
          <w:lang w:val="es-ES"/>
        </w:rPr>
        <w:t xml:space="preserve"> no desconocemos que en el caso las quejosas reclaman reparaciones distintas o que consideran complementarias </w:t>
      </w:r>
      <w:r w:rsidRPr="007C570C">
        <w:rPr>
          <w:rFonts w:cs="Arial"/>
          <w:sz w:val="26"/>
          <w:szCs w:val="26"/>
          <w:lang w:val="es-ES"/>
        </w:rPr>
        <w:t>a las acordadas en el convenio referid</w:t>
      </w:r>
      <w:r w:rsidR="00B841F0" w:rsidRPr="007C570C">
        <w:rPr>
          <w:rFonts w:cs="Arial"/>
          <w:sz w:val="26"/>
          <w:szCs w:val="26"/>
          <w:lang w:val="es-ES"/>
        </w:rPr>
        <w:t>o, así como que demandan a una persona moral que no formó parte del proceso conciliatorio. Sin embargo, dadas las particularidades del caso</w:t>
      </w:r>
      <w:r w:rsidR="004C7B0E" w:rsidRPr="007C570C">
        <w:rPr>
          <w:rFonts w:cs="Arial"/>
          <w:sz w:val="26"/>
          <w:szCs w:val="26"/>
          <w:lang w:val="es-ES"/>
        </w:rPr>
        <w:t>,</w:t>
      </w:r>
      <w:r w:rsidR="00B841F0" w:rsidRPr="007C570C">
        <w:rPr>
          <w:rFonts w:cs="Arial"/>
          <w:sz w:val="26"/>
          <w:szCs w:val="26"/>
          <w:lang w:val="es-ES"/>
        </w:rPr>
        <w:t xml:space="preserve"> esto no es suficiente para estimar </w:t>
      </w:r>
      <w:r w:rsidR="004C7B0E" w:rsidRPr="007C570C">
        <w:rPr>
          <w:rFonts w:cs="Arial"/>
          <w:sz w:val="26"/>
          <w:szCs w:val="26"/>
          <w:lang w:val="es-ES"/>
        </w:rPr>
        <w:t>que resultaban equivocadas las conclusiones de la sala responsable.</w:t>
      </w:r>
      <w:r w:rsidR="00D75325" w:rsidRPr="007C570C">
        <w:rPr>
          <w:rFonts w:cs="Arial"/>
          <w:sz w:val="26"/>
          <w:szCs w:val="26"/>
          <w:lang w:val="es-ES"/>
        </w:rPr>
        <w:t xml:space="preserve"> </w:t>
      </w:r>
    </w:p>
    <w:p w14:paraId="0A639686" w14:textId="77777777" w:rsidR="00A35B17" w:rsidRPr="007C570C" w:rsidRDefault="00A35B17" w:rsidP="001A476B">
      <w:pPr>
        <w:pStyle w:val="Prrafodelista"/>
        <w:ind w:left="0" w:hanging="567"/>
        <w:rPr>
          <w:rFonts w:cs="Arial"/>
          <w:sz w:val="26"/>
          <w:szCs w:val="26"/>
          <w:lang w:val="es-ES"/>
        </w:rPr>
      </w:pPr>
    </w:p>
    <w:p w14:paraId="563B2C2C" w14:textId="39627628" w:rsidR="005614F6" w:rsidRPr="007C570C" w:rsidRDefault="00D75325" w:rsidP="001A476B">
      <w:pPr>
        <w:pStyle w:val="corte4fondo"/>
        <w:numPr>
          <w:ilvl w:val="0"/>
          <w:numId w:val="2"/>
        </w:numPr>
        <w:ind w:left="0" w:right="51" w:hanging="567"/>
        <w:rPr>
          <w:rFonts w:cs="Arial"/>
          <w:sz w:val="26"/>
          <w:szCs w:val="26"/>
          <w:lang w:val="es-ES"/>
        </w:rPr>
      </w:pPr>
      <w:r w:rsidRPr="007C570C">
        <w:rPr>
          <w:rFonts w:cs="Arial"/>
          <w:sz w:val="26"/>
          <w:szCs w:val="26"/>
          <w:lang w:val="es-ES"/>
        </w:rPr>
        <w:t xml:space="preserve">En primer lugar, </w:t>
      </w:r>
      <w:r w:rsidR="003C5C03" w:rsidRPr="007C570C">
        <w:rPr>
          <w:rFonts w:cs="Arial"/>
          <w:sz w:val="26"/>
          <w:szCs w:val="26"/>
          <w:lang w:val="es-ES"/>
        </w:rPr>
        <w:t>no se reclamó</w:t>
      </w:r>
      <w:r w:rsidRPr="007C570C">
        <w:rPr>
          <w:rFonts w:cs="Arial"/>
          <w:sz w:val="26"/>
          <w:szCs w:val="26"/>
          <w:lang w:val="es-ES"/>
        </w:rPr>
        <w:t xml:space="preserve"> </w:t>
      </w:r>
      <w:r w:rsidR="00683659" w:rsidRPr="007C570C">
        <w:rPr>
          <w:rFonts w:cs="Arial"/>
          <w:sz w:val="26"/>
          <w:szCs w:val="26"/>
          <w:lang w:val="es-ES"/>
        </w:rPr>
        <w:t xml:space="preserve">directamente </w:t>
      </w:r>
      <w:r w:rsidR="00726A45" w:rsidRPr="007C570C">
        <w:rPr>
          <w:rFonts w:cs="Arial"/>
          <w:sz w:val="26"/>
          <w:szCs w:val="26"/>
          <w:lang w:val="es-ES"/>
        </w:rPr>
        <w:t xml:space="preserve">la </w:t>
      </w:r>
      <w:r w:rsidRPr="007C570C">
        <w:rPr>
          <w:rFonts w:cs="Arial"/>
          <w:sz w:val="26"/>
          <w:szCs w:val="26"/>
          <w:lang w:val="es-ES"/>
        </w:rPr>
        <w:t>legalidad</w:t>
      </w:r>
      <w:r w:rsidR="00726A45" w:rsidRPr="007C570C">
        <w:rPr>
          <w:rFonts w:cs="Arial"/>
          <w:sz w:val="26"/>
          <w:szCs w:val="26"/>
          <w:lang w:val="es-ES"/>
        </w:rPr>
        <w:t xml:space="preserve"> o cumplimiento </w:t>
      </w:r>
      <w:r w:rsidRPr="007C570C">
        <w:rPr>
          <w:rFonts w:cs="Arial"/>
          <w:sz w:val="26"/>
          <w:szCs w:val="26"/>
          <w:lang w:val="es-ES"/>
        </w:rPr>
        <w:t xml:space="preserve">del convenio conciliatorio </w:t>
      </w:r>
      <w:r w:rsidR="00726A45" w:rsidRPr="007C570C">
        <w:rPr>
          <w:rFonts w:cs="Arial"/>
          <w:sz w:val="26"/>
          <w:szCs w:val="26"/>
          <w:lang w:val="es-ES"/>
        </w:rPr>
        <w:t>ni</w:t>
      </w:r>
      <w:r w:rsidRPr="007C570C">
        <w:rPr>
          <w:rFonts w:cs="Arial"/>
          <w:sz w:val="26"/>
          <w:szCs w:val="26"/>
          <w:lang w:val="es-ES"/>
        </w:rPr>
        <w:t xml:space="preserve"> la actuación del COPRED como facilitador del proceso, por lo que</w:t>
      </w:r>
      <w:r w:rsidR="001A6777" w:rsidRPr="007C570C">
        <w:rPr>
          <w:rFonts w:cs="Arial"/>
          <w:sz w:val="26"/>
          <w:szCs w:val="26"/>
          <w:lang w:val="es-ES"/>
        </w:rPr>
        <w:t>, al no ser la materia del juicio,</w:t>
      </w:r>
      <w:r w:rsidRPr="007C570C">
        <w:rPr>
          <w:rFonts w:cs="Arial"/>
          <w:sz w:val="26"/>
          <w:szCs w:val="26"/>
          <w:lang w:val="es-ES"/>
        </w:rPr>
        <w:t xml:space="preserve"> no es posible analizar si las medidas referidas fueron o no suficientes. </w:t>
      </w:r>
      <w:r w:rsidR="00A531A6" w:rsidRPr="007C570C">
        <w:rPr>
          <w:rFonts w:cs="Arial"/>
          <w:sz w:val="26"/>
          <w:szCs w:val="26"/>
          <w:lang w:val="es-ES"/>
        </w:rPr>
        <w:t xml:space="preserve">Por </w:t>
      </w:r>
      <w:r w:rsidR="000774B2" w:rsidRPr="007C570C">
        <w:rPr>
          <w:rFonts w:cs="Arial"/>
          <w:sz w:val="26"/>
          <w:szCs w:val="26"/>
          <w:lang w:val="es-ES"/>
        </w:rPr>
        <w:t>otro lado</w:t>
      </w:r>
      <w:r w:rsidR="00A531A6" w:rsidRPr="007C570C">
        <w:rPr>
          <w:rFonts w:cs="Arial"/>
          <w:sz w:val="26"/>
          <w:szCs w:val="26"/>
          <w:lang w:val="es-ES"/>
        </w:rPr>
        <w:t xml:space="preserve">, dado que resultan </w:t>
      </w:r>
      <w:r w:rsidR="00FD0D60" w:rsidRPr="007C570C">
        <w:rPr>
          <w:rFonts w:cs="Arial"/>
          <w:sz w:val="26"/>
          <w:szCs w:val="26"/>
          <w:lang w:val="es-ES"/>
        </w:rPr>
        <w:t>infinitos</w:t>
      </w:r>
      <w:r w:rsidR="00A531A6" w:rsidRPr="007C570C">
        <w:rPr>
          <w:rFonts w:cs="Arial"/>
          <w:sz w:val="26"/>
          <w:szCs w:val="26"/>
          <w:lang w:val="es-ES"/>
        </w:rPr>
        <w:t xml:space="preserve"> los posibles mecanismos de reparación</w:t>
      </w:r>
      <w:r w:rsidR="00DF1758" w:rsidRPr="007C570C">
        <w:rPr>
          <w:rFonts w:cs="Arial"/>
          <w:sz w:val="26"/>
          <w:szCs w:val="26"/>
          <w:lang w:val="es-ES"/>
        </w:rPr>
        <w:t xml:space="preserve">, la solicitud de medios distintos (respecto de </w:t>
      </w:r>
      <w:r w:rsidRPr="007C570C">
        <w:rPr>
          <w:rFonts w:cs="Arial"/>
          <w:sz w:val="26"/>
          <w:szCs w:val="26"/>
          <w:lang w:val="es-ES"/>
        </w:rPr>
        <w:t xml:space="preserve">las mismas personas) </w:t>
      </w:r>
      <w:r w:rsidR="000774B2" w:rsidRPr="007C570C">
        <w:rPr>
          <w:rFonts w:cs="Arial"/>
          <w:sz w:val="26"/>
          <w:szCs w:val="26"/>
          <w:lang w:val="es-ES"/>
        </w:rPr>
        <w:t xml:space="preserve">no puede ser el criterio definitorio </w:t>
      </w:r>
      <w:r w:rsidR="00B159A7" w:rsidRPr="007C570C">
        <w:rPr>
          <w:rFonts w:cs="Arial"/>
          <w:sz w:val="26"/>
          <w:szCs w:val="26"/>
          <w:lang w:val="es-ES"/>
        </w:rPr>
        <w:t>para efectos de la procedencia del juicio civil</w:t>
      </w:r>
      <w:r w:rsidR="00852719" w:rsidRPr="007C570C">
        <w:rPr>
          <w:rFonts w:cs="Arial"/>
          <w:sz w:val="26"/>
          <w:szCs w:val="26"/>
          <w:lang w:val="es-ES"/>
        </w:rPr>
        <w:t xml:space="preserve">, pues </w:t>
      </w:r>
      <w:r w:rsidR="00FD0D60" w:rsidRPr="007C570C">
        <w:rPr>
          <w:rFonts w:cs="Arial"/>
          <w:sz w:val="26"/>
          <w:szCs w:val="26"/>
          <w:lang w:val="es-ES"/>
        </w:rPr>
        <w:t>no existiría límite alguno</w:t>
      </w:r>
      <w:r w:rsidR="00301B10" w:rsidRPr="007C570C">
        <w:rPr>
          <w:rFonts w:cs="Arial"/>
          <w:sz w:val="26"/>
          <w:szCs w:val="26"/>
          <w:lang w:val="es-ES"/>
        </w:rPr>
        <w:t>. L</w:t>
      </w:r>
      <w:r w:rsidR="00852719" w:rsidRPr="007C570C">
        <w:rPr>
          <w:rFonts w:cs="Arial"/>
          <w:sz w:val="26"/>
          <w:szCs w:val="26"/>
          <w:lang w:val="es-ES"/>
        </w:rPr>
        <w:t>o relevante es que la materia es la misma: la</w:t>
      </w:r>
      <w:r w:rsidR="00C41E84" w:rsidRPr="007C570C">
        <w:rPr>
          <w:rFonts w:cs="Arial"/>
          <w:sz w:val="26"/>
          <w:szCs w:val="26"/>
          <w:lang w:val="es-ES"/>
        </w:rPr>
        <w:t xml:space="preserve"> reparación del daño entre particulares</w:t>
      </w:r>
      <w:r w:rsidR="00FD0D60" w:rsidRPr="007C570C">
        <w:rPr>
          <w:rFonts w:cs="Arial"/>
          <w:sz w:val="26"/>
          <w:szCs w:val="26"/>
          <w:lang w:val="es-ES"/>
        </w:rPr>
        <w:t>.</w:t>
      </w:r>
      <w:r w:rsidR="00301B10" w:rsidRPr="007C570C">
        <w:rPr>
          <w:rFonts w:cs="Arial"/>
          <w:sz w:val="26"/>
          <w:szCs w:val="26"/>
          <w:lang w:val="es-ES"/>
        </w:rPr>
        <w:t xml:space="preserve"> Finalmente, si bien en el caso </w:t>
      </w:r>
      <w:r w:rsidR="00782B50" w:rsidRPr="007C570C">
        <w:rPr>
          <w:rFonts w:cs="Arial"/>
          <w:sz w:val="26"/>
          <w:szCs w:val="26"/>
          <w:lang w:val="es-ES"/>
        </w:rPr>
        <w:t>se demandó a una persona moral distinta de las que participaron en el proceso de conciliación</w:t>
      </w:r>
      <w:r w:rsidR="00EC6678" w:rsidRPr="007C570C">
        <w:rPr>
          <w:rFonts w:cs="Arial"/>
          <w:sz w:val="26"/>
          <w:szCs w:val="26"/>
          <w:lang w:val="es-ES"/>
        </w:rPr>
        <w:t xml:space="preserve">, </w:t>
      </w:r>
      <w:r w:rsidR="00923D1A" w:rsidRPr="007C570C">
        <w:rPr>
          <w:rFonts w:cs="Arial"/>
          <w:sz w:val="26"/>
          <w:szCs w:val="26"/>
          <w:lang w:val="es-ES"/>
        </w:rPr>
        <w:t xml:space="preserve">la persona </w:t>
      </w:r>
      <w:r w:rsidR="00923D1A" w:rsidRPr="00A36289">
        <w:rPr>
          <w:rFonts w:cs="Arial"/>
          <w:sz w:val="26"/>
          <w:szCs w:val="26"/>
          <w:lang w:val="es-ES"/>
        </w:rPr>
        <w:t xml:space="preserve">moral </w:t>
      </w:r>
      <w:r w:rsidR="00EC6678" w:rsidRPr="00A36289">
        <w:rPr>
          <w:rFonts w:cs="Arial"/>
          <w:sz w:val="26"/>
          <w:szCs w:val="26"/>
          <w:lang w:val="es-ES"/>
        </w:rPr>
        <w:t>Dan</w:t>
      </w:r>
      <w:r w:rsidR="00DC5E33" w:rsidRPr="00A36289">
        <w:rPr>
          <w:rFonts w:cs="Arial"/>
          <w:sz w:val="26"/>
          <w:szCs w:val="26"/>
          <w:lang w:val="es-ES"/>
        </w:rPr>
        <w:t>h</w:t>
      </w:r>
      <w:r w:rsidR="00EC6678" w:rsidRPr="00A36289">
        <w:rPr>
          <w:rFonts w:cs="Arial"/>
          <w:sz w:val="26"/>
          <w:szCs w:val="26"/>
          <w:lang w:val="es-ES"/>
        </w:rPr>
        <w:t xml:space="preserve">os fue </w:t>
      </w:r>
      <w:r w:rsidR="00EC6678" w:rsidRPr="007C570C">
        <w:rPr>
          <w:rFonts w:cs="Arial"/>
          <w:sz w:val="26"/>
          <w:szCs w:val="26"/>
          <w:lang w:val="es-ES"/>
        </w:rPr>
        <w:t xml:space="preserve">excluida de la controversia por la sala </w:t>
      </w:r>
      <w:r w:rsidR="00EC6678" w:rsidRPr="007C570C">
        <w:rPr>
          <w:rFonts w:cs="Arial"/>
          <w:sz w:val="26"/>
          <w:szCs w:val="26"/>
          <w:lang w:val="es-ES"/>
        </w:rPr>
        <w:lastRenderedPageBreak/>
        <w:t xml:space="preserve">responsable, </w:t>
      </w:r>
      <w:r w:rsidR="00985ED7" w:rsidRPr="007C570C">
        <w:rPr>
          <w:rFonts w:cs="Arial"/>
          <w:sz w:val="26"/>
          <w:szCs w:val="26"/>
          <w:lang w:val="es-ES"/>
        </w:rPr>
        <w:t>sin que las quejosas combatan esa determinación en la demanda de amparo, por lo que</w:t>
      </w:r>
      <w:r w:rsidR="00A421CC" w:rsidRPr="007C570C">
        <w:rPr>
          <w:rFonts w:cs="Arial"/>
          <w:sz w:val="26"/>
          <w:szCs w:val="26"/>
          <w:lang w:val="es-ES"/>
        </w:rPr>
        <w:t xml:space="preserve"> la decisión</w:t>
      </w:r>
      <w:r w:rsidR="00985ED7" w:rsidRPr="007C570C">
        <w:rPr>
          <w:rFonts w:cs="Arial"/>
          <w:sz w:val="26"/>
          <w:szCs w:val="26"/>
          <w:lang w:val="es-ES"/>
        </w:rPr>
        <w:t xml:space="preserve"> ha quedado firme. </w:t>
      </w:r>
      <w:r w:rsidR="00057C98" w:rsidRPr="007C570C">
        <w:rPr>
          <w:rFonts w:cs="Arial"/>
          <w:sz w:val="26"/>
          <w:szCs w:val="26"/>
          <w:lang w:val="es-ES"/>
        </w:rPr>
        <w:t>Por tanto,</w:t>
      </w:r>
      <w:r w:rsidR="00B15291" w:rsidRPr="007C570C">
        <w:rPr>
          <w:rFonts w:cs="Arial"/>
          <w:sz w:val="26"/>
          <w:szCs w:val="26"/>
          <w:lang w:val="es-ES"/>
        </w:rPr>
        <w:t xml:space="preserve"> al tratarse de una demanda respecto de los mismos hechos, personas y efectos,</w:t>
      </w:r>
      <w:r w:rsidR="00057C98" w:rsidRPr="007C570C">
        <w:rPr>
          <w:rFonts w:cs="Arial"/>
          <w:sz w:val="26"/>
          <w:szCs w:val="26"/>
          <w:lang w:val="es-ES"/>
        </w:rPr>
        <w:t xml:space="preserve"> </w:t>
      </w:r>
      <w:r w:rsidR="00B15291" w:rsidRPr="007C570C">
        <w:rPr>
          <w:rFonts w:cs="Arial"/>
          <w:sz w:val="26"/>
          <w:szCs w:val="26"/>
          <w:lang w:val="es-ES"/>
        </w:rPr>
        <w:t>consideramos</w:t>
      </w:r>
      <w:r w:rsidR="00057C98" w:rsidRPr="007C570C">
        <w:rPr>
          <w:rFonts w:cs="Arial"/>
          <w:sz w:val="26"/>
          <w:szCs w:val="26"/>
          <w:lang w:val="es-ES"/>
        </w:rPr>
        <w:t xml:space="preserve"> infundado el concepto de violación.</w:t>
      </w:r>
    </w:p>
    <w:p w14:paraId="40648B03" w14:textId="77777777" w:rsidR="0082291C" w:rsidRPr="00345843" w:rsidRDefault="0082291C" w:rsidP="001A476B">
      <w:pPr>
        <w:pStyle w:val="corte4fondo"/>
        <w:ind w:right="51" w:hanging="567"/>
        <w:rPr>
          <w:rFonts w:cs="Arial"/>
          <w:sz w:val="26"/>
          <w:szCs w:val="26"/>
          <w:lang w:val="es-ES"/>
        </w:rPr>
      </w:pPr>
    </w:p>
    <w:p w14:paraId="76B05FCC" w14:textId="612A509B" w:rsidR="00966A36" w:rsidRPr="0001606B" w:rsidRDefault="00486A24" w:rsidP="001A476B">
      <w:pPr>
        <w:pStyle w:val="corte4fondo"/>
        <w:numPr>
          <w:ilvl w:val="0"/>
          <w:numId w:val="2"/>
        </w:numPr>
        <w:ind w:left="0" w:right="51" w:hanging="567"/>
        <w:rPr>
          <w:rFonts w:cs="Arial"/>
          <w:sz w:val="26"/>
          <w:szCs w:val="26"/>
          <w:lang w:val="es-MX"/>
        </w:rPr>
      </w:pPr>
      <w:r>
        <w:rPr>
          <w:rFonts w:cs="Arial"/>
          <w:sz w:val="26"/>
          <w:szCs w:val="26"/>
          <w:lang w:val="es-ES"/>
        </w:rPr>
        <w:t>Ahora</w:t>
      </w:r>
      <w:r w:rsidR="00B92609">
        <w:rPr>
          <w:rFonts w:cs="Arial"/>
          <w:sz w:val="26"/>
          <w:szCs w:val="26"/>
          <w:lang w:val="es-ES"/>
        </w:rPr>
        <w:t xml:space="preserve"> bien</w:t>
      </w:r>
      <w:r w:rsidR="008249A8">
        <w:rPr>
          <w:rFonts w:cs="Arial"/>
          <w:sz w:val="26"/>
          <w:szCs w:val="26"/>
          <w:lang w:val="es-ES"/>
        </w:rPr>
        <w:t xml:space="preserve">, esta Primera Sala no pasa desapercibido </w:t>
      </w:r>
      <w:r w:rsidR="00050CBB">
        <w:rPr>
          <w:rFonts w:cs="Arial"/>
          <w:sz w:val="26"/>
          <w:szCs w:val="26"/>
          <w:lang w:val="es-ES"/>
        </w:rPr>
        <w:t xml:space="preserve">lo resuelto </w:t>
      </w:r>
      <w:r w:rsidR="008249A8">
        <w:rPr>
          <w:rFonts w:cs="Arial"/>
          <w:sz w:val="26"/>
          <w:szCs w:val="26"/>
          <w:lang w:val="es-ES"/>
        </w:rPr>
        <w:t xml:space="preserve">en el </w:t>
      </w:r>
      <w:r w:rsidR="00050CBB">
        <w:rPr>
          <w:rFonts w:cs="Arial"/>
          <w:sz w:val="26"/>
          <w:szCs w:val="26"/>
          <w:lang w:val="es-ES"/>
        </w:rPr>
        <w:t>amparo directo en revisión 1329/2020. En el precedente, est</w:t>
      </w:r>
      <w:r w:rsidR="009C3950">
        <w:rPr>
          <w:rFonts w:cs="Arial"/>
          <w:sz w:val="26"/>
          <w:szCs w:val="26"/>
          <w:lang w:val="es-ES"/>
        </w:rPr>
        <w:t xml:space="preserve">a Primera Sala </w:t>
      </w:r>
      <w:r w:rsidR="005B6ED0">
        <w:rPr>
          <w:rFonts w:cs="Arial"/>
          <w:sz w:val="26"/>
          <w:szCs w:val="26"/>
          <w:lang w:val="es-ES"/>
        </w:rPr>
        <w:t>estudió si</w:t>
      </w:r>
      <w:r w:rsidR="00EB43A2">
        <w:rPr>
          <w:rFonts w:cs="Arial"/>
          <w:sz w:val="26"/>
          <w:szCs w:val="26"/>
          <w:lang w:val="es-ES"/>
        </w:rPr>
        <w:t xml:space="preserve"> resultaba </w:t>
      </w:r>
      <w:r w:rsidR="005B6ED0" w:rsidRPr="005B6ED0">
        <w:rPr>
          <w:rFonts w:cs="Arial"/>
          <w:sz w:val="26"/>
          <w:szCs w:val="26"/>
          <w:lang w:val="es-ES"/>
        </w:rPr>
        <w:t xml:space="preserve">procedente </w:t>
      </w:r>
      <w:r w:rsidR="00EB43A2">
        <w:rPr>
          <w:rFonts w:cs="Arial"/>
          <w:sz w:val="26"/>
          <w:szCs w:val="26"/>
          <w:lang w:val="es-ES"/>
        </w:rPr>
        <w:t>que una víctima del delito acudiera</w:t>
      </w:r>
      <w:r w:rsidR="005B6ED0" w:rsidRPr="005B6ED0">
        <w:rPr>
          <w:rFonts w:cs="Arial"/>
          <w:sz w:val="26"/>
          <w:szCs w:val="26"/>
          <w:lang w:val="es-ES"/>
        </w:rPr>
        <w:t xml:space="preserve"> a la vía civil </w:t>
      </w:r>
      <w:r w:rsidR="00EB43A2">
        <w:rPr>
          <w:rFonts w:cs="Arial"/>
          <w:sz w:val="26"/>
          <w:szCs w:val="26"/>
          <w:lang w:val="es-ES"/>
        </w:rPr>
        <w:t>para solicitar la r</w:t>
      </w:r>
      <w:r w:rsidR="00EB43A2" w:rsidRPr="00E62D6A">
        <w:rPr>
          <w:rFonts w:cs="Arial"/>
          <w:sz w:val="26"/>
          <w:szCs w:val="26"/>
          <w:lang w:val="es-ES"/>
        </w:rPr>
        <w:t xml:space="preserve">eparación del daño, </w:t>
      </w:r>
      <w:r w:rsidR="005B6ED0" w:rsidRPr="00E62D6A">
        <w:rPr>
          <w:rFonts w:cs="Arial"/>
          <w:sz w:val="26"/>
          <w:szCs w:val="26"/>
          <w:lang w:val="es-ES"/>
        </w:rPr>
        <w:t xml:space="preserve">después de </w:t>
      </w:r>
      <w:r w:rsidR="00EB43A2" w:rsidRPr="00E62D6A">
        <w:rPr>
          <w:rFonts w:cs="Arial"/>
          <w:sz w:val="26"/>
          <w:szCs w:val="26"/>
          <w:lang w:val="es-ES"/>
        </w:rPr>
        <w:t>haber celebrado</w:t>
      </w:r>
      <w:r w:rsidR="005B6ED0" w:rsidRPr="00E62D6A">
        <w:rPr>
          <w:rFonts w:cs="Arial"/>
          <w:sz w:val="26"/>
          <w:szCs w:val="26"/>
          <w:lang w:val="es-ES"/>
        </w:rPr>
        <w:t xml:space="preserve"> un acuerdo reparatorio</w:t>
      </w:r>
      <w:r w:rsidR="00EB43A2" w:rsidRPr="00E62D6A">
        <w:rPr>
          <w:rFonts w:cs="Arial"/>
          <w:sz w:val="26"/>
          <w:szCs w:val="26"/>
          <w:lang w:val="es-ES"/>
        </w:rPr>
        <w:t xml:space="preserve"> </w:t>
      </w:r>
      <w:r w:rsidR="00EB7FB7" w:rsidRPr="00E62D6A">
        <w:rPr>
          <w:rFonts w:cs="Arial"/>
          <w:sz w:val="26"/>
          <w:szCs w:val="26"/>
          <w:lang w:val="es-ES"/>
        </w:rPr>
        <w:t>(</w:t>
      </w:r>
      <w:r w:rsidR="00023E55" w:rsidRPr="00E62D6A">
        <w:rPr>
          <w:rFonts w:cs="Arial"/>
          <w:sz w:val="26"/>
          <w:szCs w:val="26"/>
          <w:lang w:val="es-ES"/>
        </w:rPr>
        <w:t xml:space="preserve">como medio alternativo de solución de </w:t>
      </w:r>
      <w:r w:rsidR="00EB7FB7" w:rsidRPr="00E62D6A">
        <w:rPr>
          <w:rFonts w:cs="Arial"/>
          <w:sz w:val="26"/>
          <w:szCs w:val="26"/>
          <w:lang w:val="es-ES"/>
        </w:rPr>
        <w:t xml:space="preserve">un </w:t>
      </w:r>
      <w:r w:rsidR="00023E55" w:rsidRPr="00E62D6A">
        <w:rPr>
          <w:rFonts w:cs="Arial"/>
          <w:sz w:val="26"/>
          <w:szCs w:val="26"/>
          <w:lang w:val="es-ES"/>
        </w:rPr>
        <w:t>conflict</w:t>
      </w:r>
      <w:r w:rsidR="00EB7FB7" w:rsidRPr="00E62D6A">
        <w:rPr>
          <w:rFonts w:cs="Arial"/>
          <w:sz w:val="26"/>
          <w:szCs w:val="26"/>
          <w:lang w:val="es-ES"/>
        </w:rPr>
        <w:t>o penal)</w:t>
      </w:r>
      <w:r w:rsidR="00EB43A2" w:rsidRPr="00E62D6A">
        <w:rPr>
          <w:rFonts w:cs="Arial"/>
          <w:sz w:val="26"/>
          <w:szCs w:val="26"/>
          <w:lang w:val="es-ES"/>
        </w:rPr>
        <w:t>.</w:t>
      </w:r>
      <w:r w:rsidR="001C2387">
        <w:rPr>
          <w:rFonts w:cs="Arial"/>
          <w:color w:val="000000" w:themeColor="text1"/>
          <w:sz w:val="26"/>
          <w:szCs w:val="26"/>
          <w:lang w:val="es-MX"/>
        </w:rPr>
        <w:t xml:space="preserve"> Al respecto, sostuvimos que, </w:t>
      </w:r>
      <w:r w:rsidR="00A13E3F" w:rsidRPr="002F6720">
        <w:rPr>
          <w:rFonts w:cs="Arial"/>
          <w:color w:val="000000" w:themeColor="text1"/>
          <w:sz w:val="26"/>
          <w:szCs w:val="26"/>
          <w:lang w:val="es-MX"/>
        </w:rPr>
        <w:t xml:space="preserve">si </w:t>
      </w:r>
      <w:r w:rsidR="001D01A5">
        <w:rPr>
          <w:rFonts w:cs="Arial"/>
          <w:color w:val="000000" w:themeColor="text1"/>
          <w:sz w:val="26"/>
          <w:szCs w:val="26"/>
          <w:lang w:val="es-MX"/>
        </w:rPr>
        <w:t>en un caso se</w:t>
      </w:r>
      <w:r w:rsidR="00A13E3F" w:rsidRPr="002F6720">
        <w:rPr>
          <w:rFonts w:cs="Arial"/>
          <w:color w:val="000000" w:themeColor="text1"/>
          <w:sz w:val="26"/>
          <w:szCs w:val="26"/>
          <w:lang w:val="es-MX"/>
        </w:rPr>
        <w:t xml:space="preserve"> advierte que la celebración y sanción judicial de un acuerdo reparatorio derivó injustificadamente en un perjuicio </w:t>
      </w:r>
      <w:r w:rsidR="001C2387">
        <w:rPr>
          <w:rFonts w:cs="Arial"/>
          <w:color w:val="000000" w:themeColor="text1"/>
          <w:sz w:val="26"/>
          <w:szCs w:val="26"/>
          <w:lang w:val="es-MX"/>
        </w:rPr>
        <w:t xml:space="preserve">al </w:t>
      </w:r>
      <w:r w:rsidR="00A13E3F" w:rsidRPr="002F6720">
        <w:rPr>
          <w:rFonts w:cs="Arial"/>
          <w:color w:val="000000" w:themeColor="text1"/>
          <w:sz w:val="26"/>
          <w:szCs w:val="26"/>
          <w:lang w:val="es-MX"/>
        </w:rPr>
        <w:t>derecho a la reparación integral y a la justa indemnización de la víctima de un delito, esta es una pretensión válida que merece ser estudiada y, si es el caso, subsanada</w:t>
      </w:r>
      <w:r w:rsidR="001C2387">
        <w:rPr>
          <w:rFonts w:cs="Arial"/>
          <w:color w:val="000000" w:themeColor="text1"/>
          <w:sz w:val="26"/>
          <w:szCs w:val="26"/>
          <w:lang w:val="es-MX"/>
        </w:rPr>
        <w:t xml:space="preserve"> en un juicio civil</w:t>
      </w:r>
      <w:r w:rsidR="00320297">
        <w:rPr>
          <w:rStyle w:val="Refdenotaalpie"/>
          <w:rFonts w:cs="Arial"/>
          <w:color w:val="000000" w:themeColor="text1"/>
          <w:sz w:val="26"/>
          <w:szCs w:val="26"/>
          <w:lang w:val="es-MX"/>
        </w:rPr>
        <w:footnoteReference w:id="129"/>
      </w:r>
      <w:r w:rsidR="00A13E3F" w:rsidRPr="002F6720">
        <w:rPr>
          <w:rFonts w:cs="Arial"/>
          <w:color w:val="000000" w:themeColor="text1"/>
          <w:sz w:val="26"/>
          <w:szCs w:val="26"/>
          <w:lang w:val="es-MX"/>
        </w:rPr>
        <w:t xml:space="preserve">. </w:t>
      </w:r>
      <w:r w:rsidR="00264F72" w:rsidRPr="0001606B">
        <w:rPr>
          <w:rFonts w:cs="Arial"/>
          <w:sz w:val="26"/>
          <w:szCs w:val="26"/>
          <w:lang w:val="es-MX"/>
        </w:rPr>
        <w:t xml:space="preserve">En ese sentido, la Sala </w:t>
      </w:r>
      <w:r w:rsidR="00D92F1E" w:rsidRPr="0001606B">
        <w:rPr>
          <w:rFonts w:cs="Arial"/>
          <w:sz w:val="26"/>
          <w:szCs w:val="26"/>
          <w:lang w:val="es-MX"/>
        </w:rPr>
        <w:t>señaló</w:t>
      </w:r>
      <w:r w:rsidR="0086492B" w:rsidRPr="0001606B">
        <w:rPr>
          <w:rFonts w:cs="Arial"/>
          <w:sz w:val="26"/>
          <w:szCs w:val="26"/>
          <w:lang w:val="es-MX"/>
        </w:rPr>
        <w:t xml:space="preserve"> </w:t>
      </w:r>
      <w:r w:rsidR="00264F72" w:rsidRPr="0001606B">
        <w:rPr>
          <w:rFonts w:cs="Arial"/>
          <w:sz w:val="26"/>
          <w:szCs w:val="26"/>
          <w:lang w:val="es-MX"/>
        </w:rPr>
        <w:t xml:space="preserve">que el ejercicio </w:t>
      </w:r>
      <w:r w:rsidR="00F76645" w:rsidRPr="0001606B">
        <w:rPr>
          <w:rFonts w:cs="Arial"/>
          <w:sz w:val="26"/>
          <w:szCs w:val="26"/>
          <w:lang w:val="es-MX"/>
        </w:rPr>
        <w:t xml:space="preserve">de una acción civil y una eventual condena </w:t>
      </w:r>
      <w:r w:rsidR="008E7316" w:rsidRPr="0001606B">
        <w:rPr>
          <w:rFonts w:cs="Arial"/>
          <w:sz w:val="26"/>
          <w:szCs w:val="26"/>
          <w:lang w:val="es-MX"/>
        </w:rPr>
        <w:t>—</w:t>
      </w:r>
      <w:r w:rsidR="00264F72" w:rsidRPr="0001606B">
        <w:rPr>
          <w:rFonts w:cs="Arial"/>
          <w:sz w:val="26"/>
          <w:szCs w:val="26"/>
          <w:lang w:val="es-MX"/>
        </w:rPr>
        <w:t>cuando previamente existió un acuerdo reparatorio por los mismos hechos</w:t>
      </w:r>
      <w:r w:rsidR="008E7316" w:rsidRPr="0001606B">
        <w:rPr>
          <w:rFonts w:cs="Arial"/>
          <w:sz w:val="26"/>
          <w:szCs w:val="26"/>
          <w:lang w:val="es-MX"/>
        </w:rPr>
        <w:t>—</w:t>
      </w:r>
      <w:r w:rsidR="00264F72" w:rsidRPr="0001606B">
        <w:rPr>
          <w:rFonts w:cs="Arial"/>
          <w:sz w:val="26"/>
          <w:szCs w:val="26"/>
          <w:lang w:val="es-MX"/>
        </w:rPr>
        <w:t xml:space="preserve"> </w:t>
      </w:r>
      <w:r w:rsidR="00F76645" w:rsidRPr="0001606B">
        <w:rPr>
          <w:rFonts w:cs="Arial"/>
          <w:sz w:val="26"/>
          <w:szCs w:val="26"/>
          <w:lang w:val="es-MX"/>
        </w:rPr>
        <w:t xml:space="preserve">debe valorarse por sus propios méritos, </w:t>
      </w:r>
      <w:r w:rsidR="00275BFB" w:rsidRPr="0001606B">
        <w:rPr>
          <w:rFonts w:cs="Arial"/>
          <w:sz w:val="26"/>
          <w:szCs w:val="26"/>
          <w:lang w:val="es-MX"/>
        </w:rPr>
        <w:t>de acuerdo con</w:t>
      </w:r>
      <w:r w:rsidR="00F76645" w:rsidRPr="0001606B">
        <w:rPr>
          <w:rFonts w:cs="Arial"/>
          <w:sz w:val="26"/>
          <w:szCs w:val="26"/>
          <w:lang w:val="es-MX"/>
        </w:rPr>
        <w:t xml:space="preserve"> las particularidades del caso y a la satisfacción justa del derecho a la reparación integral</w:t>
      </w:r>
      <w:r w:rsidR="00320297" w:rsidRPr="0001606B">
        <w:rPr>
          <w:rFonts w:cs="Arial"/>
          <w:sz w:val="26"/>
          <w:szCs w:val="26"/>
          <w:lang w:val="es-MX"/>
        </w:rPr>
        <w:t xml:space="preserve"> de la víctima</w:t>
      </w:r>
      <w:r w:rsidR="00A90470" w:rsidRPr="0001606B">
        <w:rPr>
          <w:rStyle w:val="Refdenotaalpie"/>
          <w:rFonts w:cs="Arial"/>
          <w:color w:val="000000" w:themeColor="text1"/>
          <w:sz w:val="26"/>
          <w:szCs w:val="26"/>
        </w:rPr>
        <w:footnoteReference w:id="130"/>
      </w:r>
      <w:r w:rsidR="00966A36" w:rsidRPr="0001606B">
        <w:rPr>
          <w:rFonts w:cs="Arial"/>
          <w:color w:val="000000" w:themeColor="text1"/>
          <w:sz w:val="26"/>
          <w:szCs w:val="26"/>
        </w:rPr>
        <w:t>.</w:t>
      </w:r>
    </w:p>
    <w:p w14:paraId="3E4E7331" w14:textId="77777777" w:rsidR="00C95838" w:rsidRPr="002F6720" w:rsidRDefault="00C95838" w:rsidP="001A476B">
      <w:pPr>
        <w:pStyle w:val="corte4fondo"/>
        <w:ind w:right="51" w:hanging="567"/>
        <w:rPr>
          <w:rFonts w:cs="Arial"/>
          <w:sz w:val="26"/>
          <w:szCs w:val="26"/>
          <w:lang w:val="es-MX"/>
        </w:rPr>
      </w:pPr>
    </w:p>
    <w:p w14:paraId="4A6B407B" w14:textId="5ED334DF" w:rsidR="001061B7" w:rsidRPr="002F6720" w:rsidRDefault="009775CF" w:rsidP="001A476B">
      <w:pPr>
        <w:pStyle w:val="corte4fondo"/>
        <w:numPr>
          <w:ilvl w:val="0"/>
          <w:numId w:val="2"/>
        </w:numPr>
        <w:ind w:left="0" w:right="51" w:hanging="567"/>
        <w:rPr>
          <w:rFonts w:cs="Arial"/>
          <w:color w:val="000000" w:themeColor="text1"/>
          <w:sz w:val="26"/>
          <w:szCs w:val="26"/>
          <w:lang w:val="es-ES"/>
        </w:rPr>
      </w:pPr>
      <w:r>
        <w:rPr>
          <w:rFonts w:cs="Arial"/>
          <w:sz w:val="26"/>
          <w:szCs w:val="26"/>
          <w:lang w:val="es-MX"/>
        </w:rPr>
        <w:t>Sin embargo, est</w:t>
      </w:r>
      <w:r w:rsidR="002E22B4">
        <w:rPr>
          <w:rFonts w:cs="Arial"/>
          <w:sz w:val="26"/>
          <w:szCs w:val="26"/>
          <w:lang w:val="es-MX"/>
        </w:rPr>
        <w:t>a Primera Sala</w:t>
      </w:r>
      <w:r>
        <w:rPr>
          <w:rFonts w:cs="Arial"/>
          <w:sz w:val="26"/>
          <w:szCs w:val="26"/>
          <w:lang w:val="es-MX"/>
        </w:rPr>
        <w:t xml:space="preserve"> considera que existen diferencias elementales entre los acuerdos reparatorios en el ámbito penal </w:t>
      </w:r>
      <w:r w:rsidR="00886BC8">
        <w:rPr>
          <w:rFonts w:cs="Arial"/>
          <w:sz w:val="26"/>
          <w:szCs w:val="26"/>
          <w:lang w:val="es-MX"/>
        </w:rPr>
        <w:t xml:space="preserve">y los convenios de conciliación celebrados ante el COPRED, que </w:t>
      </w:r>
      <w:r w:rsidR="00016372">
        <w:rPr>
          <w:rFonts w:cs="Arial"/>
          <w:sz w:val="26"/>
          <w:szCs w:val="26"/>
          <w:lang w:val="es-MX"/>
        </w:rPr>
        <w:t>impiden sostener la misma conclusión en ambos supuestos</w:t>
      </w:r>
      <w:r w:rsidR="00A10A96">
        <w:rPr>
          <w:rFonts w:cs="Arial"/>
          <w:sz w:val="26"/>
          <w:szCs w:val="26"/>
          <w:lang w:val="es-MX"/>
        </w:rPr>
        <w:t>.</w:t>
      </w:r>
      <w:r w:rsidR="000C53FE" w:rsidRPr="00B21017">
        <w:rPr>
          <w:rFonts w:cs="Arial"/>
          <w:sz w:val="26"/>
          <w:szCs w:val="26"/>
          <w:lang w:val="es-MX"/>
        </w:rPr>
        <w:t xml:space="preserve"> </w:t>
      </w:r>
      <w:r w:rsidR="00803CCD">
        <w:rPr>
          <w:rFonts w:cs="Arial"/>
          <w:sz w:val="26"/>
          <w:szCs w:val="26"/>
          <w:lang w:val="es-MX"/>
        </w:rPr>
        <w:t>Co</w:t>
      </w:r>
      <w:r w:rsidR="00EC78EC" w:rsidRPr="00B21017">
        <w:rPr>
          <w:rFonts w:cs="Arial"/>
          <w:sz w:val="26"/>
          <w:szCs w:val="26"/>
          <w:lang w:val="es-MX"/>
        </w:rPr>
        <w:t xml:space="preserve">mo </w:t>
      </w:r>
      <w:r w:rsidR="00BA61BA">
        <w:rPr>
          <w:rFonts w:cs="Arial"/>
          <w:sz w:val="26"/>
          <w:szCs w:val="26"/>
          <w:lang w:val="es-MX"/>
        </w:rPr>
        <w:t>indicamos</w:t>
      </w:r>
      <w:r w:rsidR="00F257EF" w:rsidRPr="00B21017">
        <w:rPr>
          <w:rFonts w:cs="Arial"/>
          <w:sz w:val="26"/>
          <w:szCs w:val="26"/>
          <w:lang w:val="es-MX"/>
        </w:rPr>
        <w:t xml:space="preserve"> </w:t>
      </w:r>
      <w:r w:rsidR="00EC78EC" w:rsidRPr="00B21017">
        <w:rPr>
          <w:rFonts w:cs="Arial"/>
          <w:sz w:val="26"/>
          <w:szCs w:val="26"/>
          <w:lang w:val="es-MX"/>
        </w:rPr>
        <w:t xml:space="preserve">en el </w:t>
      </w:r>
      <w:r w:rsidR="00460771">
        <w:rPr>
          <w:rFonts w:cs="Arial"/>
          <w:sz w:val="26"/>
          <w:szCs w:val="26"/>
          <w:lang w:val="es-ES"/>
        </w:rPr>
        <w:t>amparo directo en revisión 1329/2020</w:t>
      </w:r>
      <w:r w:rsidR="00BE028F" w:rsidRPr="00724A4B">
        <w:rPr>
          <w:rFonts w:cs="Arial"/>
          <w:sz w:val="26"/>
          <w:szCs w:val="26"/>
          <w:lang w:val="es-ES"/>
        </w:rPr>
        <w:t>,</w:t>
      </w:r>
      <w:r w:rsidR="00EC78EC" w:rsidRPr="00724A4B">
        <w:rPr>
          <w:rFonts w:cs="Arial"/>
          <w:sz w:val="26"/>
          <w:szCs w:val="26"/>
          <w:lang w:val="es-ES"/>
        </w:rPr>
        <w:t xml:space="preserve"> </w:t>
      </w:r>
      <w:r w:rsidR="00761D8D" w:rsidRPr="002F6720">
        <w:rPr>
          <w:rFonts w:cs="Arial"/>
          <w:color w:val="000000" w:themeColor="text1"/>
          <w:sz w:val="26"/>
          <w:szCs w:val="26"/>
          <w:lang w:val="es-MX"/>
        </w:rPr>
        <w:t>el</w:t>
      </w:r>
      <w:r w:rsidR="0049389F" w:rsidRPr="002F6720">
        <w:rPr>
          <w:rFonts w:cs="Arial"/>
          <w:color w:val="000000" w:themeColor="text1"/>
          <w:sz w:val="26"/>
          <w:szCs w:val="26"/>
          <w:lang w:val="es-MX"/>
        </w:rPr>
        <w:t xml:space="preserve"> suscribir un acuerdo reparatorio</w:t>
      </w:r>
      <w:r w:rsidR="00761D8D" w:rsidRPr="002F6720">
        <w:rPr>
          <w:rFonts w:cs="Arial"/>
          <w:color w:val="000000" w:themeColor="text1"/>
          <w:sz w:val="26"/>
          <w:szCs w:val="26"/>
          <w:lang w:val="es-MX"/>
        </w:rPr>
        <w:t xml:space="preserve"> </w:t>
      </w:r>
      <w:r w:rsidR="008C73B2" w:rsidRPr="002F6720">
        <w:rPr>
          <w:rFonts w:cs="Arial"/>
          <w:color w:val="000000" w:themeColor="text1"/>
          <w:sz w:val="26"/>
          <w:szCs w:val="26"/>
          <w:lang w:val="es-MX"/>
        </w:rPr>
        <w:t xml:space="preserve">tiene como base </w:t>
      </w:r>
      <w:r w:rsidR="00761D8D" w:rsidRPr="002F6720">
        <w:rPr>
          <w:rFonts w:cs="Arial"/>
          <w:color w:val="000000" w:themeColor="text1"/>
          <w:sz w:val="26"/>
          <w:szCs w:val="26"/>
          <w:lang w:val="es-MX"/>
        </w:rPr>
        <w:t>que</w:t>
      </w:r>
      <w:r w:rsidR="0049389F" w:rsidRPr="002F6720">
        <w:rPr>
          <w:rFonts w:cs="Arial"/>
          <w:color w:val="000000" w:themeColor="text1"/>
          <w:sz w:val="26"/>
          <w:szCs w:val="26"/>
          <w:lang w:val="es-MX"/>
        </w:rPr>
        <w:t xml:space="preserve"> el imputado acept</w:t>
      </w:r>
      <w:r w:rsidR="008C73B2" w:rsidRPr="002F6720">
        <w:rPr>
          <w:rFonts w:cs="Arial"/>
          <w:color w:val="000000" w:themeColor="text1"/>
          <w:sz w:val="26"/>
          <w:szCs w:val="26"/>
          <w:lang w:val="es-MX"/>
        </w:rPr>
        <w:t>e</w:t>
      </w:r>
      <w:r w:rsidR="0049389F" w:rsidRPr="002F6720">
        <w:rPr>
          <w:rFonts w:cs="Arial"/>
          <w:color w:val="000000" w:themeColor="text1"/>
          <w:sz w:val="26"/>
          <w:szCs w:val="26"/>
          <w:lang w:val="es-MX"/>
        </w:rPr>
        <w:t xml:space="preserve"> la responsabilidad adquirida por el daño causado</w:t>
      </w:r>
      <w:r w:rsidR="00803CCD">
        <w:rPr>
          <w:rFonts w:cs="Arial"/>
          <w:color w:val="000000" w:themeColor="text1"/>
          <w:sz w:val="26"/>
          <w:szCs w:val="26"/>
          <w:lang w:val="es-MX"/>
        </w:rPr>
        <w:t xml:space="preserve">, </w:t>
      </w:r>
      <w:r w:rsidR="00724A4B" w:rsidRPr="002F6720">
        <w:rPr>
          <w:rFonts w:cs="Arial"/>
          <w:color w:val="000000" w:themeColor="text1"/>
          <w:sz w:val="26"/>
          <w:szCs w:val="26"/>
          <w:lang w:val="es-ES"/>
        </w:rPr>
        <w:t xml:space="preserve">a cambio de evitar la posibilidad de una pena privativa de </w:t>
      </w:r>
      <w:r w:rsidR="00620B47">
        <w:rPr>
          <w:rFonts w:cs="Arial"/>
          <w:color w:val="000000" w:themeColor="text1"/>
          <w:sz w:val="26"/>
          <w:szCs w:val="26"/>
          <w:lang w:val="es-ES"/>
        </w:rPr>
        <w:t xml:space="preserve">la </w:t>
      </w:r>
      <w:r w:rsidR="00724A4B" w:rsidRPr="002F6720">
        <w:rPr>
          <w:rFonts w:cs="Arial"/>
          <w:color w:val="000000" w:themeColor="text1"/>
          <w:sz w:val="26"/>
          <w:szCs w:val="26"/>
          <w:lang w:val="es-ES"/>
        </w:rPr>
        <w:t>libertad</w:t>
      </w:r>
      <w:r w:rsidR="008C73B2" w:rsidRPr="002F6720">
        <w:rPr>
          <w:rFonts w:cs="Arial"/>
          <w:color w:val="000000" w:themeColor="text1"/>
          <w:sz w:val="26"/>
          <w:szCs w:val="26"/>
          <w:lang w:val="es-MX"/>
        </w:rPr>
        <w:t xml:space="preserve">, y es </w:t>
      </w:r>
      <w:r w:rsidR="0049389F" w:rsidRPr="002F6720">
        <w:rPr>
          <w:rFonts w:cs="Arial"/>
          <w:color w:val="000000" w:themeColor="text1"/>
          <w:sz w:val="26"/>
          <w:szCs w:val="26"/>
          <w:lang w:val="es-MX"/>
        </w:rPr>
        <w:t>entonces</w:t>
      </w:r>
      <w:r w:rsidR="00D73E99" w:rsidRPr="002F6720">
        <w:rPr>
          <w:rFonts w:cs="Arial"/>
          <w:color w:val="000000" w:themeColor="text1"/>
          <w:sz w:val="26"/>
          <w:szCs w:val="26"/>
          <w:lang w:val="es-MX"/>
        </w:rPr>
        <w:t xml:space="preserve"> que</w:t>
      </w:r>
      <w:r w:rsidR="0049389F" w:rsidRPr="002F6720">
        <w:rPr>
          <w:rFonts w:cs="Arial"/>
          <w:color w:val="000000" w:themeColor="text1"/>
          <w:sz w:val="26"/>
          <w:szCs w:val="26"/>
          <w:lang w:val="es-MX"/>
        </w:rPr>
        <w:t xml:space="preserve"> las partes pueden convenir cómo </w:t>
      </w:r>
      <w:r w:rsidR="00D73E99" w:rsidRPr="002F6720">
        <w:rPr>
          <w:rFonts w:cs="Arial"/>
          <w:color w:val="000000" w:themeColor="text1"/>
          <w:sz w:val="26"/>
          <w:szCs w:val="26"/>
          <w:lang w:val="es-MX"/>
        </w:rPr>
        <w:t>reparar</w:t>
      </w:r>
      <w:r w:rsidR="0049389F" w:rsidRPr="002F6720">
        <w:rPr>
          <w:rFonts w:cs="Arial"/>
          <w:color w:val="000000" w:themeColor="text1"/>
          <w:sz w:val="26"/>
          <w:szCs w:val="26"/>
          <w:lang w:val="es-MX"/>
        </w:rPr>
        <w:t xml:space="preserve"> </w:t>
      </w:r>
      <w:r w:rsidR="00D73E99" w:rsidRPr="002F6720">
        <w:rPr>
          <w:rFonts w:cs="Arial"/>
          <w:color w:val="000000" w:themeColor="text1"/>
          <w:sz w:val="26"/>
          <w:szCs w:val="26"/>
          <w:lang w:val="es-MX"/>
        </w:rPr>
        <w:t>el daño</w:t>
      </w:r>
      <w:r w:rsidR="0049389F" w:rsidRPr="002F6720">
        <w:rPr>
          <w:rFonts w:cs="Arial"/>
          <w:color w:val="000000" w:themeColor="text1"/>
          <w:sz w:val="26"/>
          <w:szCs w:val="26"/>
          <w:lang w:val="es-MX"/>
        </w:rPr>
        <w:t xml:space="preserve"> </w:t>
      </w:r>
      <w:r w:rsidR="00D73E99" w:rsidRPr="002F6720">
        <w:rPr>
          <w:rFonts w:cs="Arial"/>
          <w:color w:val="000000" w:themeColor="text1"/>
          <w:sz w:val="26"/>
          <w:szCs w:val="26"/>
          <w:lang w:val="es-MX"/>
        </w:rPr>
        <w:lastRenderedPageBreak/>
        <w:t>causado</w:t>
      </w:r>
      <w:r w:rsidR="00D73E99" w:rsidRPr="00B21017">
        <w:rPr>
          <w:rFonts w:cs="Arial"/>
          <w:color w:val="000000" w:themeColor="text1"/>
          <w:sz w:val="26"/>
          <w:szCs w:val="26"/>
          <w:lang w:val="es-MX"/>
        </w:rPr>
        <w:t xml:space="preserve"> por el delito. </w:t>
      </w:r>
      <w:r w:rsidR="00BA61BA">
        <w:rPr>
          <w:rFonts w:cs="Arial"/>
          <w:color w:val="000000" w:themeColor="text1"/>
          <w:sz w:val="26"/>
          <w:szCs w:val="26"/>
          <w:lang w:val="es-MX"/>
        </w:rPr>
        <w:t>En ese sentido</w:t>
      </w:r>
      <w:r w:rsidR="00D73E99" w:rsidRPr="00B21017">
        <w:rPr>
          <w:rFonts w:cs="Arial"/>
          <w:color w:val="000000" w:themeColor="text1"/>
          <w:sz w:val="26"/>
          <w:szCs w:val="26"/>
          <w:lang w:val="es-MX"/>
        </w:rPr>
        <w:t>, la suscripción del acuerdo reparatorio</w:t>
      </w:r>
      <w:r w:rsidR="000A2807">
        <w:rPr>
          <w:rFonts w:cs="Arial"/>
          <w:color w:val="000000" w:themeColor="text1"/>
          <w:sz w:val="26"/>
          <w:szCs w:val="26"/>
          <w:lang w:val="es-MX"/>
        </w:rPr>
        <w:t xml:space="preserve"> y su cumplimiento</w:t>
      </w:r>
      <w:r w:rsidR="00D73E99" w:rsidRPr="00B21017">
        <w:rPr>
          <w:rFonts w:cs="Arial"/>
          <w:color w:val="000000" w:themeColor="text1"/>
          <w:sz w:val="26"/>
          <w:szCs w:val="26"/>
          <w:lang w:val="es-MX"/>
        </w:rPr>
        <w:t xml:space="preserve"> tiene</w:t>
      </w:r>
      <w:r w:rsidR="000A2807">
        <w:rPr>
          <w:rFonts w:cs="Arial"/>
          <w:color w:val="000000" w:themeColor="text1"/>
          <w:sz w:val="26"/>
          <w:szCs w:val="26"/>
          <w:lang w:val="es-MX"/>
        </w:rPr>
        <w:t>n</w:t>
      </w:r>
      <w:r w:rsidR="00D73E99" w:rsidRPr="00B21017">
        <w:rPr>
          <w:rFonts w:cs="Arial"/>
          <w:color w:val="000000" w:themeColor="text1"/>
          <w:sz w:val="26"/>
          <w:szCs w:val="26"/>
          <w:lang w:val="es-MX"/>
        </w:rPr>
        <w:t xml:space="preserve"> como </w:t>
      </w:r>
      <w:r w:rsidR="00761D8D" w:rsidRPr="002F6720">
        <w:rPr>
          <w:rFonts w:cs="Arial"/>
          <w:color w:val="000000" w:themeColor="text1"/>
          <w:sz w:val="26"/>
          <w:szCs w:val="26"/>
          <w:lang w:val="es-MX"/>
        </w:rPr>
        <w:t>efecto la extinción de la acción penal</w:t>
      </w:r>
      <w:r w:rsidR="00325324" w:rsidRPr="00B21017">
        <w:rPr>
          <w:rStyle w:val="Refdenotaalpie"/>
          <w:rFonts w:cs="Arial"/>
          <w:color w:val="000000" w:themeColor="text1"/>
          <w:sz w:val="26"/>
          <w:szCs w:val="26"/>
          <w:lang w:val="es-MX"/>
        </w:rPr>
        <w:footnoteReference w:id="131"/>
      </w:r>
      <w:r w:rsidR="00C16ACD" w:rsidRPr="00B21017">
        <w:rPr>
          <w:rFonts w:cs="Arial"/>
          <w:color w:val="000000" w:themeColor="text1"/>
          <w:sz w:val="26"/>
          <w:szCs w:val="26"/>
          <w:lang w:val="es-MX"/>
        </w:rPr>
        <w:t xml:space="preserve">. </w:t>
      </w:r>
    </w:p>
    <w:p w14:paraId="556D5E17" w14:textId="77777777" w:rsidR="00B21017" w:rsidRPr="002F6720" w:rsidRDefault="00B21017" w:rsidP="001A476B">
      <w:pPr>
        <w:pStyle w:val="corte4fondo"/>
        <w:ind w:right="51" w:hanging="567"/>
        <w:rPr>
          <w:rFonts w:cs="Arial"/>
          <w:color w:val="000000" w:themeColor="text1"/>
          <w:sz w:val="26"/>
          <w:szCs w:val="26"/>
          <w:lang w:val="es-ES"/>
        </w:rPr>
      </w:pPr>
    </w:p>
    <w:p w14:paraId="7904FF7A" w14:textId="78FA2EE4" w:rsidR="00A02EE0" w:rsidRPr="006B19A1" w:rsidRDefault="00B21017" w:rsidP="001A476B">
      <w:pPr>
        <w:pStyle w:val="corte4fondo"/>
        <w:numPr>
          <w:ilvl w:val="0"/>
          <w:numId w:val="2"/>
        </w:numPr>
        <w:ind w:left="0" w:right="51" w:hanging="567"/>
        <w:rPr>
          <w:rFonts w:cs="Arial"/>
          <w:iCs/>
          <w:color w:val="000000"/>
          <w:sz w:val="26"/>
          <w:szCs w:val="26"/>
          <w:bdr w:val="none" w:sz="0" w:space="0" w:color="auto" w:frame="1"/>
          <w:shd w:val="clear" w:color="auto" w:fill="FFFFFF"/>
          <w:lang w:val="es-CO"/>
        </w:rPr>
      </w:pPr>
      <w:r>
        <w:rPr>
          <w:rFonts w:cs="Arial"/>
          <w:color w:val="000000" w:themeColor="text1"/>
          <w:sz w:val="26"/>
          <w:szCs w:val="26"/>
          <w:lang w:val="es-ES"/>
        </w:rPr>
        <w:t xml:space="preserve">En cambio, como mencionamos </w:t>
      </w:r>
      <w:r w:rsidR="00C00C7F">
        <w:rPr>
          <w:rFonts w:cs="Arial"/>
          <w:color w:val="000000" w:themeColor="text1"/>
          <w:sz w:val="26"/>
          <w:szCs w:val="26"/>
          <w:lang w:val="es-ES"/>
        </w:rPr>
        <w:t>anteriormente</w:t>
      </w:r>
      <w:r>
        <w:rPr>
          <w:rFonts w:cs="Arial"/>
          <w:color w:val="000000" w:themeColor="text1"/>
          <w:sz w:val="26"/>
          <w:szCs w:val="26"/>
          <w:lang w:val="es-ES"/>
        </w:rPr>
        <w:t>,</w:t>
      </w:r>
      <w:r w:rsidR="00FB4C3D">
        <w:rPr>
          <w:rFonts w:cs="Arial"/>
          <w:color w:val="000000" w:themeColor="text1"/>
          <w:sz w:val="26"/>
          <w:szCs w:val="26"/>
          <w:lang w:val="es-ES"/>
        </w:rPr>
        <w:t xml:space="preserve"> </w:t>
      </w:r>
      <w:r w:rsidR="00312633">
        <w:rPr>
          <w:rFonts w:cs="Arial"/>
          <w:color w:val="000000" w:themeColor="text1"/>
          <w:sz w:val="26"/>
          <w:szCs w:val="26"/>
          <w:lang w:val="es-ES"/>
        </w:rPr>
        <w:t>en la</w:t>
      </w:r>
      <w:r w:rsidR="00F52AC8">
        <w:rPr>
          <w:rFonts w:cs="Arial"/>
          <w:color w:val="000000" w:themeColor="text1"/>
          <w:sz w:val="26"/>
          <w:szCs w:val="26"/>
          <w:lang w:val="es-ES"/>
        </w:rPr>
        <w:t xml:space="preserve"> conciliación</w:t>
      </w:r>
      <w:r w:rsidR="00312633">
        <w:rPr>
          <w:rFonts w:cs="Arial"/>
          <w:color w:val="000000" w:themeColor="text1"/>
          <w:sz w:val="26"/>
          <w:szCs w:val="26"/>
          <w:lang w:val="es-ES"/>
        </w:rPr>
        <w:t xml:space="preserve"> ante el COPRED</w:t>
      </w:r>
      <w:r w:rsidR="00FB4C3D">
        <w:rPr>
          <w:rFonts w:cs="Arial"/>
          <w:color w:val="000000" w:themeColor="text1"/>
          <w:sz w:val="26"/>
          <w:szCs w:val="26"/>
          <w:lang w:val="es-ES"/>
        </w:rPr>
        <w:t xml:space="preserve">, </w:t>
      </w:r>
      <w:r w:rsidR="00870DFC" w:rsidRPr="003F6B95">
        <w:rPr>
          <w:rFonts w:cs="Arial"/>
          <w:iCs/>
          <w:color w:val="000000"/>
          <w:sz w:val="26"/>
          <w:szCs w:val="26"/>
          <w:bdr w:val="none" w:sz="0" w:space="0" w:color="auto" w:frame="1"/>
          <w:shd w:val="clear" w:color="auto" w:fill="FFFFFF"/>
          <w:lang w:val="es-CO"/>
        </w:rPr>
        <w:t xml:space="preserve">la manifestación de voluntad de las partes </w:t>
      </w:r>
      <w:r w:rsidR="00870DFC">
        <w:rPr>
          <w:rFonts w:cs="Arial"/>
          <w:iCs/>
          <w:color w:val="000000"/>
          <w:sz w:val="26"/>
          <w:szCs w:val="26"/>
          <w:bdr w:val="none" w:sz="0" w:space="0" w:color="auto" w:frame="1"/>
          <w:shd w:val="clear" w:color="auto" w:fill="FFFFFF"/>
          <w:lang w:val="es-CO"/>
        </w:rPr>
        <w:t>para acordar ciertas medidas</w:t>
      </w:r>
      <w:r w:rsidR="00870DFC" w:rsidRPr="003F6B95">
        <w:rPr>
          <w:rFonts w:cs="Arial"/>
          <w:iCs/>
          <w:color w:val="000000"/>
          <w:sz w:val="26"/>
          <w:szCs w:val="26"/>
          <w:bdr w:val="none" w:sz="0" w:space="0" w:color="auto" w:frame="1"/>
          <w:shd w:val="clear" w:color="auto" w:fill="FFFFFF"/>
          <w:lang w:val="es-CO"/>
        </w:rPr>
        <w:t xml:space="preserve"> y cumplir con los acuerdos alcanzados </w:t>
      </w:r>
      <w:r w:rsidR="00FB4C3D">
        <w:rPr>
          <w:rFonts w:cs="Arial"/>
          <w:iCs/>
          <w:color w:val="000000"/>
          <w:sz w:val="26"/>
          <w:szCs w:val="26"/>
          <w:bdr w:val="none" w:sz="0" w:space="0" w:color="auto" w:frame="1"/>
          <w:shd w:val="clear" w:color="auto" w:fill="FFFFFF"/>
          <w:lang w:val="es-CO"/>
        </w:rPr>
        <w:t xml:space="preserve">en el convenio de conciliación </w:t>
      </w:r>
      <w:r w:rsidR="00870DFC" w:rsidRPr="003F6B95">
        <w:rPr>
          <w:rFonts w:cs="Arial"/>
          <w:iCs/>
          <w:color w:val="000000"/>
          <w:sz w:val="26"/>
          <w:szCs w:val="26"/>
          <w:bdr w:val="none" w:sz="0" w:space="0" w:color="auto" w:frame="1"/>
          <w:shd w:val="clear" w:color="auto" w:fill="FFFFFF"/>
          <w:lang w:val="es-CO"/>
        </w:rPr>
        <w:t xml:space="preserve">no puede entenderse indefectiblemente como un reconocimiento de responsabilidad en relación con un acto </w:t>
      </w:r>
      <w:r w:rsidR="00FB4C3D">
        <w:rPr>
          <w:rFonts w:cs="Arial"/>
          <w:iCs/>
          <w:color w:val="000000"/>
          <w:sz w:val="26"/>
          <w:szCs w:val="26"/>
          <w:bdr w:val="none" w:sz="0" w:space="0" w:color="auto" w:frame="1"/>
          <w:shd w:val="clear" w:color="auto" w:fill="FFFFFF"/>
          <w:lang w:val="es-CO"/>
        </w:rPr>
        <w:t xml:space="preserve">presuntamente </w:t>
      </w:r>
      <w:r w:rsidR="00870DFC" w:rsidRPr="003F6B95">
        <w:rPr>
          <w:rFonts w:cs="Arial"/>
          <w:iCs/>
          <w:color w:val="000000"/>
          <w:sz w:val="26"/>
          <w:szCs w:val="26"/>
          <w:bdr w:val="none" w:sz="0" w:space="0" w:color="auto" w:frame="1"/>
          <w:shd w:val="clear" w:color="auto" w:fill="FFFFFF"/>
          <w:lang w:val="es-CO"/>
        </w:rPr>
        <w:t>discriminatorio</w:t>
      </w:r>
      <w:r w:rsidR="00FB4C3D">
        <w:rPr>
          <w:rFonts w:cs="Arial"/>
          <w:iCs/>
          <w:color w:val="000000"/>
          <w:sz w:val="26"/>
          <w:szCs w:val="26"/>
          <w:bdr w:val="none" w:sz="0" w:space="0" w:color="auto" w:frame="1"/>
          <w:shd w:val="clear" w:color="auto" w:fill="FFFFFF"/>
          <w:lang w:val="es-CO"/>
        </w:rPr>
        <w:t xml:space="preserve">. </w:t>
      </w:r>
      <w:r w:rsidR="002326DF">
        <w:rPr>
          <w:rFonts w:cs="Arial"/>
          <w:iCs/>
          <w:color w:val="000000"/>
          <w:sz w:val="26"/>
          <w:szCs w:val="26"/>
          <w:bdr w:val="none" w:sz="0" w:space="0" w:color="auto" w:frame="1"/>
          <w:shd w:val="clear" w:color="auto" w:fill="FFFFFF"/>
          <w:lang w:val="es-CO"/>
        </w:rPr>
        <w:t>Ello, pues p</w:t>
      </w:r>
      <w:r w:rsidR="00F93BC5" w:rsidRPr="003F6B95">
        <w:rPr>
          <w:rFonts w:cs="Arial"/>
          <w:iCs/>
          <w:color w:val="000000"/>
          <w:sz w:val="26"/>
          <w:szCs w:val="26"/>
          <w:bdr w:val="none" w:sz="0" w:space="0" w:color="auto" w:frame="1"/>
          <w:shd w:val="clear" w:color="auto" w:fill="FFFFFF"/>
          <w:lang w:val="es-CO"/>
        </w:rPr>
        <w:t xml:space="preserve">ueden presentarse diversas razones por las que una persona señalada como responsable opte por llegar a un acuerdo conciliatorio, y no necesariamente porque acepte que cometió el ilícito que se le imputa. </w:t>
      </w:r>
      <w:r w:rsidR="00FC57C3">
        <w:rPr>
          <w:rFonts w:cs="Arial"/>
          <w:iCs/>
          <w:color w:val="000000"/>
          <w:sz w:val="26"/>
          <w:szCs w:val="26"/>
          <w:bdr w:val="none" w:sz="0" w:space="0" w:color="auto" w:frame="1"/>
          <w:shd w:val="clear" w:color="auto" w:fill="FFFFFF"/>
          <w:lang w:val="es-CO"/>
        </w:rPr>
        <w:t>E</w:t>
      </w:r>
      <w:r w:rsidR="00F93BC5" w:rsidRPr="003F6B95">
        <w:rPr>
          <w:rFonts w:cs="Arial"/>
          <w:iCs/>
          <w:color w:val="000000"/>
          <w:sz w:val="26"/>
          <w:szCs w:val="26"/>
          <w:bdr w:val="none" w:sz="0" w:space="0" w:color="auto" w:frame="1"/>
          <w:shd w:val="clear" w:color="auto" w:fill="FFFFFF"/>
          <w:lang w:val="es-CO"/>
        </w:rPr>
        <w:t xml:space="preserve">sa es la lógica de </w:t>
      </w:r>
      <w:r w:rsidR="000203F7">
        <w:rPr>
          <w:rFonts w:cs="Arial"/>
          <w:iCs/>
          <w:color w:val="000000"/>
          <w:sz w:val="26"/>
          <w:szCs w:val="26"/>
          <w:bdr w:val="none" w:sz="0" w:space="0" w:color="auto" w:frame="1"/>
          <w:shd w:val="clear" w:color="auto" w:fill="FFFFFF"/>
          <w:lang w:val="es-CO"/>
        </w:rPr>
        <w:t>este</w:t>
      </w:r>
      <w:r w:rsidR="00F93BC5" w:rsidRPr="003F6B95">
        <w:rPr>
          <w:rFonts w:cs="Arial"/>
          <w:iCs/>
          <w:color w:val="000000"/>
          <w:sz w:val="26"/>
          <w:szCs w:val="26"/>
          <w:bdr w:val="none" w:sz="0" w:space="0" w:color="auto" w:frame="1"/>
          <w:shd w:val="clear" w:color="auto" w:fill="FFFFFF"/>
          <w:lang w:val="es-CO"/>
        </w:rPr>
        <w:t xml:space="preserve"> mecanismo de </w:t>
      </w:r>
      <w:r w:rsidR="001B2723">
        <w:rPr>
          <w:rFonts w:cs="Arial"/>
          <w:iCs/>
          <w:color w:val="000000"/>
          <w:sz w:val="26"/>
          <w:szCs w:val="26"/>
          <w:bdr w:val="none" w:sz="0" w:space="0" w:color="auto" w:frame="1"/>
          <w:shd w:val="clear" w:color="auto" w:fill="FFFFFF"/>
          <w:lang w:val="es-CO"/>
        </w:rPr>
        <w:t>conciliación</w:t>
      </w:r>
      <w:r w:rsidR="0084196C">
        <w:rPr>
          <w:rFonts w:cs="Arial"/>
          <w:iCs/>
          <w:color w:val="000000"/>
          <w:sz w:val="26"/>
          <w:szCs w:val="26"/>
          <w:bdr w:val="none" w:sz="0" w:space="0" w:color="auto" w:frame="1"/>
          <w:shd w:val="clear" w:color="auto" w:fill="FFFFFF"/>
          <w:lang w:val="es-CO"/>
        </w:rPr>
        <w:t xml:space="preserve"> </w:t>
      </w:r>
      <w:r w:rsidR="000203F7">
        <w:rPr>
          <w:rFonts w:cs="Arial"/>
          <w:iCs/>
          <w:color w:val="000000"/>
          <w:sz w:val="26"/>
          <w:szCs w:val="26"/>
          <w:bdr w:val="none" w:sz="0" w:space="0" w:color="auto" w:frame="1"/>
          <w:shd w:val="clear" w:color="auto" w:fill="FFFFFF"/>
          <w:lang w:val="es-CO"/>
        </w:rPr>
        <w:t>ante el COPRED</w:t>
      </w:r>
      <w:r w:rsidR="00F93BC5" w:rsidRPr="003F6B95">
        <w:rPr>
          <w:rFonts w:cs="Arial"/>
          <w:iCs/>
          <w:color w:val="000000"/>
          <w:sz w:val="26"/>
          <w:szCs w:val="26"/>
          <w:bdr w:val="none" w:sz="0" w:space="0" w:color="auto" w:frame="1"/>
          <w:shd w:val="clear" w:color="auto" w:fill="FFFFFF"/>
          <w:lang w:val="es-CO"/>
        </w:rPr>
        <w:t>: que cada parte ceda parte de su pretensión para llegar a un acuerdo</w:t>
      </w:r>
      <w:r w:rsidR="000203F7">
        <w:rPr>
          <w:rFonts w:cs="Arial"/>
          <w:iCs/>
          <w:color w:val="000000"/>
          <w:sz w:val="26"/>
          <w:szCs w:val="26"/>
          <w:bdr w:val="none" w:sz="0" w:space="0" w:color="auto" w:frame="1"/>
          <w:shd w:val="clear" w:color="auto" w:fill="FFFFFF"/>
          <w:lang w:val="es-CO"/>
        </w:rPr>
        <w:t>,</w:t>
      </w:r>
      <w:r w:rsidR="00F93BC5" w:rsidRPr="003F6B95">
        <w:rPr>
          <w:rFonts w:cs="Arial"/>
          <w:iCs/>
          <w:color w:val="000000"/>
          <w:sz w:val="26"/>
          <w:szCs w:val="26"/>
          <w:bdr w:val="none" w:sz="0" w:space="0" w:color="auto" w:frame="1"/>
          <w:shd w:val="clear" w:color="auto" w:fill="FFFFFF"/>
          <w:lang w:val="es-CO"/>
        </w:rPr>
        <w:t xml:space="preserve"> a </w:t>
      </w:r>
      <w:r w:rsidR="00F93BC5" w:rsidRPr="006B19A1">
        <w:rPr>
          <w:rFonts w:cs="Arial"/>
          <w:iCs/>
          <w:color w:val="000000"/>
          <w:sz w:val="26"/>
          <w:szCs w:val="26"/>
          <w:bdr w:val="none" w:sz="0" w:space="0" w:color="auto" w:frame="1"/>
          <w:shd w:val="clear" w:color="auto" w:fill="FFFFFF"/>
          <w:lang w:val="es-CO"/>
        </w:rPr>
        <w:t xml:space="preserve">fin de eludir un riesgo o consecuencia negativa, </w:t>
      </w:r>
      <w:r w:rsidR="000203F7" w:rsidRPr="006B19A1">
        <w:rPr>
          <w:rFonts w:cs="Arial"/>
          <w:iCs/>
          <w:color w:val="000000"/>
          <w:sz w:val="26"/>
          <w:szCs w:val="26"/>
          <w:bdr w:val="none" w:sz="0" w:space="0" w:color="auto" w:frame="1"/>
          <w:shd w:val="clear" w:color="auto" w:fill="FFFFFF"/>
          <w:lang w:val="es-CO"/>
        </w:rPr>
        <w:t xml:space="preserve">como podría ser </w:t>
      </w:r>
      <w:r w:rsidR="00192362" w:rsidRPr="006B19A1">
        <w:rPr>
          <w:rFonts w:cs="Arial"/>
          <w:iCs/>
          <w:color w:val="000000"/>
          <w:sz w:val="26"/>
          <w:szCs w:val="26"/>
          <w:bdr w:val="none" w:sz="0" w:space="0" w:color="auto" w:frame="1"/>
          <w:shd w:val="clear" w:color="auto" w:fill="FFFFFF"/>
          <w:lang w:val="es-CO"/>
        </w:rPr>
        <w:t xml:space="preserve">la continuación de la tramitación de la queja ante el COPRED o </w:t>
      </w:r>
      <w:r w:rsidR="000203F7" w:rsidRPr="006B19A1">
        <w:rPr>
          <w:rFonts w:cs="Arial"/>
          <w:iCs/>
          <w:color w:val="000000"/>
          <w:sz w:val="26"/>
          <w:szCs w:val="26"/>
          <w:bdr w:val="none" w:sz="0" w:space="0" w:color="auto" w:frame="1"/>
          <w:shd w:val="clear" w:color="auto" w:fill="FFFFFF"/>
          <w:lang w:val="es-CO"/>
        </w:rPr>
        <w:t>el inicio de un juicio civil de responsabilidad extracontractual</w:t>
      </w:r>
      <w:r w:rsidR="00F93BC5" w:rsidRPr="006B19A1">
        <w:rPr>
          <w:rFonts w:cs="Arial"/>
          <w:iCs/>
          <w:color w:val="000000"/>
          <w:sz w:val="26"/>
          <w:szCs w:val="26"/>
          <w:bdr w:val="none" w:sz="0" w:space="0" w:color="auto" w:frame="1"/>
          <w:shd w:val="clear" w:color="auto" w:fill="FFFFFF"/>
          <w:lang w:val="es-CO"/>
        </w:rPr>
        <w:t>.</w:t>
      </w:r>
    </w:p>
    <w:p w14:paraId="510BA167" w14:textId="77777777" w:rsidR="006D1A43" w:rsidRPr="006B19A1" w:rsidRDefault="006D1A43" w:rsidP="001A476B">
      <w:pPr>
        <w:pStyle w:val="corte4fondo"/>
        <w:ind w:right="51" w:hanging="567"/>
        <w:rPr>
          <w:rFonts w:cs="Arial"/>
          <w:sz w:val="26"/>
          <w:szCs w:val="26"/>
        </w:rPr>
      </w:pPr>
    </w:p>
    <w:p w14:paraId="1C141143" w14:textId="16C5FDE5" w:rsidR="006D1A43" w:rsidRPr="008E3C94" w:rsidRDefault="006D1A43" w:rsidP="001A476B">
      <w:pPr>
        <w:pStyle w:val="corte4fondo"/>
        <w:numPr>
          <w:ilvl w:val="0"/>
          <w:numId w:val="2"/>
        </w:numPr>
        <w:ind w:left="0" w:right="51" w:hanging="567"/>
        <w:rPr>
          <w:rFonts w:cs="Arial"/>
          <w:iCs/>
          <w:color w:val="000000"/>
          <w:sz w:val="26"/>
          <w:szCs w:val="26"/>
          <w:bdr w:val="none" w:sz="0" w:space="0" w:color="auto" w:frame="1"/>
          <w:shd w:val="clear" w:color="auto" w:fill="FFFFFF"/>
          <w:lang w:val="es-CO"/>
        </w:rPr>
      </w:pPr>
      <w:r w:rsidRPr="006B19A1">
        <w:rPr>
          <w:rFonts w:cs="Arial"/>
          <w:iCs/>
          <w:color w:val="000000"/>
          <w:sz w:val="26"/>
          <w:szCs w:val="26"/>
          <w:bdr w:val="none" w:sz="0" w:space="0" w:color="auto" w:frame="1"/>
          <w:shd w:val="clear" w:color="auto" w:fill="FFFFFF"/>
          <w:lang w:val="es-CO"/>
        </w:rPr>
        <w:t xml:space="preserve">En ese sentido, </w:t>
      </w:r>
      <w:r w:rsidR="00F330A0" w:rsidRPr="006B19A1">
        <w:rPr>
          <w:rFonts w:cs="Arial"/>
          <w:iCs/>
          <w:color w:val="000000"/>
          <w:sz w:val="26"/>
          <w:szCs w:val="26"/>
          <w:bdr w:val="none" w:sz="0" w:space="0" w:color="auto" w:frame="1"/>
          <w:shd w:val="clear" w:color="auto" w:fill="FFFFFF"/>
          <w:lang w:val="es-CO"/>
        </w:rPr>
        <w:t xml:space="preserve">esta Primera Sala considera que, </w:t>
      </w:r>
      <w:r w:rsidRPr="006B19A1">
        <w:rPr>
          <w:rFonts w:cs="Arial"/>
          <w:iCs/>
          <w:color w:val="000000"/>
          <w:sz w:val="26"/>
          <w:szCs w:val="26"/>
          <w:bdr w:val="none" w:sz="0" w:space="0" w:color="auto" w:frame="1"/>
          <w:shd w:val="clear" w:color="auto" w:fill="FFFFFF"/>
          <w:lang w:val="es-CO"/>
        </w:rPr>
        <w:t xml:space="preserve">en el supuesto de los acuerdos reparatorios en el ámbito penal, la posibilidad de </w:t>
      </w:r>
      <w:r w:rsidR="00641467" w:rsidRPr="006B19A1">
        <w:rPr>
          <w:rFonts w:cs="Arial"/>
          <w:iCs/>
          <w:color w:val="000000"/>
          <w:sz w:val="26"/>
          <w:szCs w:val="26"/>
          <w:bdr w:val="none" w:sz="0" w:space="0" w:color="auto" w:frame="1"/>
          <w:shd w:val="clear" w:color="auto" w:fill="FFFFFF"/>
          <w:lang w:val="es-CO"/>
        </w:rPr>
        <w:t xml:space="preserve">que la víctima posteriormente acuda a </w:t>
      </w:r>
      <w:r w:rsidRPr="006B19A1">
        <w:rPr>
          <w:rFonts w:cs="Arial"/>
          <w:iCs/>
          <w:color w:val="000000"/>
          <w:sz w:val="26"/>
          <w:szCs w:val="26"/>
          <w:bdr w:val="none" w:sz="0" w:space="0" w:color="auto" w:frame="1"/>
          <w:shd w:val="clear" w:color="auto" w:fill="FFFFFF"/>
          <w:lang w:val="es-CO"/>
        </w:rPr>
        <w:t>la vía civil en ciertos casos no disuade el uso de este mecanismo alternativo de solución del conflicto penal. Incluso si una persona sujeta al proceso penal entiende que, en ciertos supuestos, civilmente podría dictarse una justa indemnización de carácter complementario a lo que acuerde en el acuerdo reparatorio, la persona imputada mantendría altos incentivos de llegar a un acuerdo reparatorio con la víctima, pues este acuerdo extinguiría la acción penal, y, consecuentemente, la persona tendría el beneficio automático de</w:t>
      </w:r>
      <w:r w:rsidRPr="006B19A1">
        <w:rPr>
          <w:rFonts w:cs="Arial"/>
          <w:color w:val="000000" w:themeColor="text1"/>
          <w:sz w:val="26"/>
          <w:szCs w:val="26"/>
          <w:lang w:val="es-ES"/>
        </w:rPr>
        <w:t xml:space="preserve"> evitar la posibilidad de una pena privativa de libertad</w:t>
      </w:r>
      <w:r w:rsidRPr="006B19A1">
        <w:rPr>
          <w:rFonts w:cs="Arial"/>
          <w:color w:val="000000" w:themeColor="text1"/>
          <w:sz w:val="26"/>
          <w:szCs w:val="26"/>
          <w:lang w:val="es-MX"/>
        </w:rPr>
        <w:t>.</w:t>
      </w:r>
      <w:r w:rsidR="006B19A1" w:rsidRPr="006B19A1">
        <w:rPr>
          <w:sz w:val="26"/>
          <w:szCs w:val="26"/>
        </w:rPr>
        <w:t xml:space="preserve"> En ese sentido, el criterio sostenido en el </w:t>
      </w:r>
      <w:r w:rsidR="006B19A1" w:rsidRPr="006B19A1">
        <w:rPr>
          <w:rFonts w:cs="Arial"/>
          <w:color w:val="000000" w:themeColor="text1"/>
          <w:sz w:val="26"/>
          <w:szCs w:val="26"/>
          <w:lang w:val="es-MX"/>
        </w:rPr>
        <w:t>amparo directo en revisión 1329/2020</w:t>
      </w:r>
      <w:r w:rsidR="00666B2F">
        <w:rPr>
          <w:rFonts w:cs="Arial"/>
          <w:color w:val="000000" w:themeColor="text1"/>
          <w:sz w:val="26"/>
          <w:szCs w:val="26"/>
          <w:lang w:val="es-MX"/>
        </w:rPr>
        <w:t xml:space="preserve"> no desincentiva el uso de dicho mecanismo alternativo de resolución de conflictos</w:t>
      </w:r>
      <w:r w:rsidR="007F027F">
        <w:rPr>
          <w:rFonts w:cs="Arial"/>
          <w:color w:val="000000" w:themeColor="text1"/>
          <w:sz w:val="26"/>
          <w:szCs w:val="26"/>
          <w:lang w:val="es-MX"/>
        </w:rPr>
        <w:t xml:space="preserve">, en perjuicio del derecho a la reparación pronta y expedita de las </w:t>
      </w:r>
      <w:r w:rsidR="007F027F" w:rsidRPr="008E3C94">
        <w:rPr>
          <w:rFonts w:cs="Arial"/>
          <w:color w:val="000000" w:themeColor="text1"/>
          <w:sz w:val="26"/>
          <w:szCs w:val="26"/>
          <w:lang w:val="es-MX"/>
        </w:rPr>
        <w:t>víctimas</w:t>
      </w:r>
      <w:r w:rsidR="00666B2F" w:rsidRPr="008E3C94">
        <w:rPr>
          <w:rFonts w:cs="Arial"/>
          <w:color w:val="000000" w:themeColor="text1"/>
          <w:sz w:val="26"/>
          <w:szCs w:val="26"/>
          <w:lang w:val="es-MX"/>
        </w:rPr>
        <w:t xml:space="preserve">. </w:t>
      </w:r>
    </w:p>
    <w:p w14:paraId="48E6F8C1" w14:textId="77777777" w:rsidR="006D1A43" w:rsidRPr="008E3C94" w:rsidRDefault="006D1A43" w:rsidP="001A476B">
      <w:pPr>
        <w:pStyle w:val="corte4fondo"/>
        <w:ind w:right="51" w:hanging="567"/>
        <w:rPr>
          <w:rFonts w:cs="Arial"/>
          <w:iCs/>
          <w:color w:val="000000"/>
          <w:sz w:val="26"/>
          <w:szCs w:val="26"/>
          <w:bdr w:val="none" w:sz="0" w:space="0" w:color="auto" w:frame="1"/>
          <w:shd w:val="clear" w:color="auto" w:fill="FFFFFF"/>
          <w:lang w:val="es-CO"/>
        </w:rPr>
      </w:pPr>
    </w:p>
    <w:p w14:paraId="302992CD" w14:textId="38DA0CF9" w:rsidR="007F699E" w:rsidRPr="008E3C94" w:rsidRDefault="006D1A43" w:rsidP="001A476B">
      <w:pPr>
        <w:pStyle w:val="corte4fondo"/>
        <w:numPr>
          <w:ilvl w:val="0"/>
          <w:numId w:val="2"/>
        </w:numPr>
        <w:ind w:left="0" w:right="51" w:hanging="567"/>
        <w:rPr>
          <w:rFonts w:cs="Arial"/>
          <w:sz w:val="26"/>
          <w:szCs w:val="26"/>
        </w:rPr>
      </w:pPr>
      <w:r w:rsidRPr="008E3C94">
        <w:rPr>
          <w:rFonts w:cs="Arial"/>
          <w:iCs/>
          <w:color w:val="000000"/>
          <w:sz w:val="26"/>
          <w:szCs w:val="26"/>
          <w:bdr w:val="none" w:sz="0" w:space="0" w:color="auto" w:frame="1"/>
          <w:shd w:val="clear" w:color="auto" w:fill="FFFFFF"/>
          <w:lang w:val="es-CO"/>
        </w:rPr>
        <w:lastRenderedPageBreak/>
        <w:t xml:space="preserve">En cambio, </w:t>
      </w:r>
      <w:r w:rsidR="00E21D19" w:rsidRPr="008E3C94">
        <w:rPr>
          <w:rFonts w:cs="Arial"/>
          <w:iCs/>
          <w:color w:val="000000"/>
          <w:sz w:val="26"/>
          <w:szCs w:val="26"/>
          <w:bdr w:val="none" w:sz="0" w:space="0" w:color="auto" w:frame="1"/>
          <w:shd w:val="clear" w:color="auto" w:fill="FFFFFF"/>
          <w:lang w:val="es-CO"/>
        </w:rPr>
        <w:t xml:space="preserve">como sostuvimos anteriormente, </w:t>
      </w:r>
      <w:r w:rsidR="00332F17" w:rsidRPr="008E3C94">
        <w:rPr>
          <w:rFonts w:cs="Arial"/>
          <w:iCs/>
          <w:color w:val="000000"/>
          <w:sz w:val="26"/>
          <w:szCs w:val="26"/>
          <w:bdr w:val="none" w:sz="0" w:space="0" w:color="auto" w:frame="1"/>
          <w:shd w:val="clear" w:color="auto" w:fill="FFFFFF"/>
          <w:lang w:val="es-CO"/>
        </w:rPr>
        <w:t>posibilitar</w:t>
      </w:r>
      <w:r w:rsidR="00F62D45" w:rsidRPr="008E3C94">
        <w:rPr>
          <w:rFonts w:cs="Arial"/>
          <w:iCs/>
          <w:color w:val="000000"/>
          <w:sz w:val="26"/>
          <w:szCs w:val="26"/>
          <w:bdr w:val="none" w:sz="0" w:space="0" w:color="auto" w:frame="1"/>
          <w:shd w:val="clear" w:color="auto" w:fill="FFFFFF"/>
        </w:rPr>
        <w:t xml:space="preserve"> un juicio </w:t>
      </w:r>
      <w:r w:rsidR="00484906" w:rsidRPr="008E3C94">
        <w:rPr>
          <w:rFonts w:cs="Arial"/>
          <w:iCs/>
          <w:color w:val="000000"/>
          <w:sz w:val="26"/>
          <w:szCs w:val="26"/>
          <w:bdr w:val="none" w:sz="0" w:space="0" w:color="auto" w:frame="1"/>
          <w:shd w:val="clear" w:color="auto" w:fill="FFFFFF"/>
        </w:rPr>
        <w:t xml:space="preserve">de </w:t>
      </w:r>
      <w:r w:rsidR="00F62D45" w:rsidRPr="008E3C94">
        <w:rPr>
          <w:rFonts w:cs="Arial"/>
          <w:iCs/>
          <w:color w:val="000000"/>
          <w:sz w:val="26"/>
          <w:szCs w:val="26"/>
          <w:bdr w:val="none" w:sz="0" w:space="0" w:color="auto" w:frame="1"/>
          <w:shd w:val="clear" w:color="auto" w:fill="FFFFFF"/>
        </w:rPr>
        <w:t xml:space="preserve">responsabilidad </w:t>
      </w:r>
      <w:r w:rsidR="00484906" w:rsidRPr="008E3C94">
        <w:rPr>
          <w:rFonts w:cs="Arial"/>
          <w:iCs/>
          <w:color w:val="000000"/>
          <w:sz w:val="26"/>
          <w:szCs w:val="26"/>
          <w:bdr w:val="none" w:sz="0" w:space="0" w:color="auto" w:frame="1"/>
          <w:shd w:val="clear" w:color="auto" w:fill="FFFFFF"/>
        </w:rPr>
        <w:t xml:space="preserve">civil </w:t>
      </w:r>
      <w:r w:rsidR="00F62D45" w:rsidRPr="008E3C94">
        <w:rPr>
          <w:rFonts w:cs="Arial"/>
          <w:iCs/>
          <w:color w:val="000000"/>
          <w:sz w:val="26"/>
          <w:szCs w:val="26"/>
          <w:bdr w:val="none" w:sz="0" w:space="0" w:color="auto" w:frame="1"/>
          <w:shd w:val="clear" w:color="auto" w:fill="FFFFFF"/>
        </w:rPr>
        <w:t xml:space="preserve">extracontractual </w:t>
      </w:r>
      <w:r w:rsidR="00484906" w:rsidRPr="008E3C94">
        <w:rPr>
          <w:rFonts w:cs="Arial"/>
          <w:iCs/>
          <w:color w:val="000000"/>
          <w:sz w:val="26"/>
          <w:szCs w:val="26"/>
          <w:bdr w:val="none" w:sz="0" w:space="0" w:color="auto" w:frame="1"/>
          <w:shd w:val="clear" w:color="auto" w:fill="FFFFFF"/>
        </w:rPr>
        <w:t xml:space="preserve">con posterioridad al convenio de </w:t>
      </w:r>
      <w:r w:rsidR="00863C53" w:rsidRPr="008E3C94">
        <w:rPr>
          <w:rFonts w:cs="Arial"/>
          <w:iCs/>
          <w:color w:val="000000"/>
          <w:sz w:val="26"/>
          <w:szCs w:val="26"/>
          <w:bdr w:val="none" w:sz="0" w:space="0" w:color="auto" w:frame="1"/>
          <w:shd w:val="clear" w:color="auto" w:fill="FFFFFF"/>
        </w:rPr>
        <w:t>conciliación</w:t>
      </w:r>
      <w:r w:rsidR="00484906" w:rsidRPr="008E3C94">
        <w:rPr>
          <w:rFonts w:cs="Arial"/>
          <w:iCs/>
          <w:color w:val="000000"/>
          <w:sz w:val="26"/>
          <w:szCs w:val="26"/>
          <w:bdr w:val="none" w:sz="0" w:space="0" w:color="auto" w:frame="1"/>
          <w:shd w:val="clear" w:color="auto" w:fill="FFFFFF"/>
        </w:rPr>
        <w:t xml:space="preserve"> ante el COPRED</w:t>
      </w:r>
      <w:r w:rsidR="00863C53" w:rsidRPr="008E3C94">
        <w:rPr>
          <w:rFonts w:cs="Arial"/>
          <w:iCs/>
          <w:color w:val="000000"/>
          <w:sz w:val="26"/>
          <w:szCs w:val="26"/>
          <w:bdr w:val="none" w:sz="0" w:space="0" w:color="auto" w:frame="1"/>
          <w:shd w:val="clear" w:color="auto" w:fill="FFFFFF"/>
        </w:rPr>
        <w:t xml:space="preserve"> </w:t>
      </w:r>
      <w:r w:rsidR="00403ED8" w:rsidRPr="008E3C94">
        <w:rPr>
          <w:rFonts w:cs="Arial"/>
          <w:iCs/>
          <w:color w:val="000000"/>
          <w:sz w:val="26"/>
          <w:szCs w:val="26"/>
          <w:bdr w:val="none" w:sz="0" w:space="0" w:color="auto" w:frame="1"/>
          <w:shd w:val="clear" w:color="auto" w:fill="FFFFFF"/>
        </w:rPr>
        <w:t>haría inoperativo</w:t>
      </w:r>
      <w:r w:rsidR="00863C53" w:rsidRPr="008E3C94">
        <w:rPr>
          <w:rFonts w:cs="Arial"/>
          <w:iCs/>
          <w:color w:val="000000"/>
          <w:sz w:val="26"/>
          <w:szCs w:val="26"/>
          <w:bdr w:val="none" w:sz="0" w:space="0" w:color="auto" w:frame="1"/>
          <w:shd w:val="clear" w:color="auto" w:fill="FFFFFF"/>
        </w:rPr>
        <w:t xml:space="preserve"> este mecanismo alternati</w:t>
      </w:r>
      <w:r w:rsidR="00A6127E" w:rsidRPr="008E3C94">
        <w:rPr>
          <w:rFonts w:cs="Arial"/>
          <w:iCs/>
          <w:color w:val="000000"/>
          <w:sz w:val="26"/>
          <w:szCs w:val="26"/>
          <w:bdr w:val="none" w:sz="0" w:space="0" w:color="auto" w:frame="1"/>
          <w:shd w:val="clear" w:color="auto" w:fill="FFFFFF"/>
        </w:rPr>
        <w:t>vo, ya que l</w:t>
      </w:r>
      <w:r w:rsidR="00E40731" w:rsidRPr="008E3C94">
        <w:rPr>
          <w:rFonts w:cs="Arial"/>
          <w:iCs/>
          <w:color w:val="000000"/>
          <w:sz w:val="26"/>
          <w:szCs w:val="26"/>
          <w:bdr w:val="none" w:sz="0" w:space="0" w:color="auto" w:frame="1"/>
          <w:shd w:val="clear" w:color="auto" w:fill="FFFFFF"/>
        </w:rPr>
        <w:t xml:space="preserve">as presuntas responsables </w:t>
      </w:r>
      <w:r w:rsidR="00BE6986" w:rsidRPr="008E3C94">
        <w:rPr>
          <w:rFonts w:cs="Arial"/>
          <w:iCs/>
          <w:color w:val="000000"/>
          <w:sz w:val="26"/>
          <w:szCs w:val="26"/>
          <w:bdr w:val="none" w:sz="0" w:space="0" w:color="auto" w:frame="1"/>
          <w:shd w:val="clear" w:color="auto" w:fill="FFFFFF"/>
        </w:rPr>
        <w:t xml:space="preserve">de los actos discriminación </w:t>
      </w:r>
      <w:r w:rsidR="00E40731" w:rsidRPr="008E3C94">
        <w:rPr>
          <w:rFonts w:cs="Arial"/>
          <w:iCs/>
          <w:color w:val="000000"/>
          <w:sz w:val="26"/>
          <w:szCs w:val="26"/>
          <w:bdr w:val="none" w:sz="0" w:space="0" w:color="auto" w:frame="1"/>
          <w:shd w:val="clear" w:color="auto" w:fill="FFFFFF"/>
        </w:rPr>
        <w:t xml:space="preserve">no obtendrían un beneficio de conciliar. </w:t>
      </w:r>
      <w:r w:rsidR="00AE20DF" w:rsidRPr="008E3C94">
        <w:rPr>
          <w:rFonts w:cs="Arial"/>
          <w:iCs/>
          <w:color w:val="000000"/>
          <w:sz w:val="26"/>
          <w:szCs w:val="26"/>
          <w:bdr w:val="none" w:sz="0" w:space="0" w:color="auto" w:frame="1"/>
          <w:shd w:val="clear" w:color="auto" w:fill="FFFFFF"/>
        </w:rPr>
        <w:t>E</w:t>
      </w:r>
      <w:r w:rsidR="00E40731" w:rsidRPr="008E3C94">
        <w:rPr>
          <w:rFonts w:cs="Arial"/>
          <w:iCs/>
          <w:color w:val="000000"/>
          <w:sz w:val="26"/>
          <w:szCs w:val="26"/>
          <w:bdr w:val="none" w:sz="0" w:space="0" w:color="auto" w:frame="1"/>
          <w:shd w:val="clear" w:color="auto" w:fill="FFFFFF"/>
        </w:rPr>
        <w:t xml:space="preserve">n última instancia, </w:t>
      </w:r>
      <w:r w:rsidR="00AE20DF" w:rsidRPr="008E3C94">
        <w:rPr>
          <w:rFonts w:cs="Arial"/>
          <w:iCs/>
          <w:color w:val="000000"/>
          <w:sz w:val="26"/>
          <w:szCs w:val="26"/>
          <w:bdr w:val="none" w:sz="0" w:space="0" w:color="auto" w:frame="1"/>
          <w:shd w:val="clear" w:color="auto" w:fill="FFFFFF"/>
        </w:rPr>
        <w:t xml:space="preserve">esto afectaría a las víctimas, quienes perderían acceso a un mecanismo que les permite obtener </w:t>
      </w:r>
      <w:r w:rsidR="00F62D45" w:rsidRPr="008E3C94">
        <w:rPr>
          <w:rFonts w:cs="Arial"/>
          <w:iCs/>
          <w:color w:val="000000"/>
          <w:sz w:val="26"/>
          <w:szCs w:val="26"/>
          <w:bdr w:val="none" w:sz="0" w:space="0" w:color="auto" w:frame="1"/>
          <w:shd w:val="clear" w:color="auto" w:fill="FFFFFF"/>
        </w:rPr>
        <w:t xml:space="preserve">una reparación </w:t>
      </w:r>
      <w:r w:rsidR="00AE20DF" w:rsidRPr="008E3C94">
        <w:rPr>
          <w:rFonts w:cs="Arial"/>
          <w:iCs/>
          <w:color w:val="000000"/>
          <w:sz w:val="26"/>
          <w:szCs w:val="26"/>
          <w:bdr w:val="none" w:sz="0" w:space="0" w:color="auto" w:frame="1"/>
          <w:shd w:val="clear" w:color="auto" w:fill="FFFFFF"/>
        </w:rPr>
        <w:t xml:space="preserve">del daño </w:t>
      </w:r>
      <w:r w:rsidR="00F62D45" w:rsidRPr="008E3C94">
        <w:rPr>
          <w:rFonts w:cs="Arial"/>
          <w:iCs/>
          <w:color w:val="000000"/>
          <w:sz w:val="26"/>
          <w:szCs w:val="26"/>
          <w:bdr w:val="none" w:sz="0" w:space="0" w:color="auto" w:frame="1"/>
          <w:shd w:val="clear" w:color="auto" w:fill="FFFFFF"/>
        </w:rPr>
        <w:t xml:space="preserve">más pronta y </w:t>
      </w:r>
      <w:r w:rsidR="00FF1D26" w:rsidRPr="008E3C94">
        <w:rPr>
          <w:rFonts w:cs="Arial"/>
          <w:iCs/>
          <w:color w:val="000000"/>
          <w:sz w:val="26"/>
          <w:szCs w:val="26"/>
          <w:bdr w:val="none" w:sz="0" w:space="0" w:color="auto" w:frame="1"/>
          <w:shd w:val="clear" w:color="auto" w:fill="FFFFFF"/>
        </w:rPr>
        <w:t>con</w:t>
      </w:r>
      <w:r w:rsidR="007A5812" w:rsidRPr="008E3C94">
        <w:rPr>
          <w:rFonts w:cs="Arial"/>
          <w:iCs/>
          <w:color w:val="000000"/>
          <w:sz w:val="26"/>
          <w:szCs w:val="26"/>
          <w:bdr w:val="none" w:sz="0" w:space="0" w:color="auto" w:frame="1"/>
          <w:shd w:val="clear" w:color="auto" w:fill="FFFFFF"/>
        </w:rPr>
        <w:t xml:space="preserve"> menos obstáculos</w:t>
      </w:r>
      <w:r w:rsidR="00F62D45" w:rsidRPr="008E3C94">
        <w:rPr>
          <w:rFonts w:cs="Arial"/>
          <w:iCs/>
          <w:color w:val="000000"/>
          <w:sz w:val="26"/>
          <w:szCs w:val="26"/>
          <w:bdr w:val="none" w:sz="0" w:space="0" w:color="auto" w:frame="1"/>
          <w:shd w:val="clear" w:color="auto" w:fill="FFFFFF"/>
        </w:rPr>
        <w:t>.</w:t>
      </w:r>
      <w:r w:rsidR="007A5812" w:rsidRPr="008E3C94">
        <w:rPr>
          <w:rFonts w:cs="Arial"/>
          <w:iCs/>
          <w:color w:val="000000"/>
          <w:sz w:val="26"/>
          <w:szCs w:val="26"/>
          <w:bdr w:val="none" w:sz="0" w:space="0" w:color="auto" w:frame="1"/>
          <w:shd w:val="clear" w:color="auto" w:fill="FFFFFF"/>
        </w:rPr>
        <w:t xml:space="preserve"> </w:t>
      </w:r>
      <w:r w:rsidR="005C3477" w:rsidRPr="008E3C94">
        <w:rPr>
          <w:rFonts w:cs="Arial"/>
          <w:color w:val="000000" w:themeColor="text1"/>
          <w:sz w:val="26"/>
          <w:szCs w:val="26"/>
          <w:lang w:val="es-MX"/>
        </w:rPr>
        <w:t>Por ello, esta Sala considera que</w:t>
      </w:r>
      <w:r w:rsidR="00A66276" w:rsidRPr="008E3C94">
        <w:rPr>
          <w:rFonts w:cs="Arial"/>
          <w:color w:val="000000" w:themeColor="text1"/>
          <w:sz w:val="26"/>
          <w:szCs w:val="26"/>
          <w:lang w:val="es-MX"/>
        </w:rPr>
        <w:t>, a partir del derecho a la reparación del daño de las víctimas,</w:t>
      </w:r>
      <w:r w:rsidR="008F3430" w:rsidRPr="008E3C94">
        <w:rPr>
          <w:rFonts w:cs="Arial"/>
          <w:color w:val="000000" w:themeColor="text1"/>
          <w:sz w:val="26"/>
          <w:szCs w:val="26"/>
          <w:lang w:val="es-MX"/>
        </w:rPr>
        <w:t xml:space="preserve"> </w:t>
      </w:r>
      <w:r w:rsidR="00064F05" w:rsidRPr="008E3C94">
        <w:rPr>
          <w:rFonts w:cs="Arial"/>
          <w:color w:val="000000" w:themeColor="text1"/>
          <w:sz w:val="26"/>
          <w:szCs w:val="26"/>
          <w:lang w:val="es-MX"/>
        </w:rPr>
        <w:t xml:space="preserve">está justificado sostener el carácter de cosa juzgada del convenio de conciliación </w:t>
      </w:r>
      <w:r w:rsidR="00792F9A" w:rsidRPr="008E3C94">
        <w:rPr>
          <w:rFonts w:cs="Arial"/>
          <w:color w:val="000000" w:themeColor="text1"/>
          <w:sz w:val="26"/>
          <w:szCs w:val="26"/>
          <w:lang w:val="es-MX"/>
        </w:rPr>
        <w:t xml:space="preserve">ante el COPRED, </w:t>
      </w:r>
      <w:r w:rsidR="00064F05" w:rsidRPr="008E3C94">
        <w:rPr>
          <w:rFonts w:cs="Arial"/>
          <w:color w:val="000000" w:themeColor="text1"/>
          <w:sz w:val="26"/>
          <w:szCs w:val="26"/>
          <w:lang w:val="es-MX"/>
        </w:rPr>
        <w:t>en los términos descritos</w:t>
      </w:r>
      <w:r w:rsidR="0048582F">
        <w:rPr>
          <w:rStyle w:val="Refdenotaalpie"/>
          <w:rFonts w:cs="Arial"/>
          <w:color w:val="000000" w:themeColor="text1"/>
          <w:sz w:val="26"/>
          <w:szCs w:val="26"/>
          <w:lang w:val="es-MX"/>
        </w:rPr>
        <w:footnoteReference w:id="132"/>
      </w:r>
      <w:r w:rsidR="00064F05" w:rsidRPr="008E3C94">
        <w:rPr>
          <w:rFonts w:cs="Arial"/>
          <w:color w:val="000000" w:themeColor="text1"/>
          <w:sz w:val="26"/>
          <w:szCs w:val="26"/>
          <w:lang w:val="es-MX"/>
        </w:rPr>
        <w:t>.</w:t>
      </w:r>
    </w:p>
    <w:p w14:paraId="0ED0078D" w14:textId="77777777" w:rsidR="009E359B" w:rsidRDefault="009E359B" w:rsidP="001A476B">
      <w:pPr>
        <w:pStyle w:val="corte4fondo"/>
        <w:ind w:right="51" w:hanging="567"/>
        <w:rPr>
          <w:rFonts w:cs="Arial"/>
          <w:sz w:val="26"/>
          <w:szCs w:val="26"/>
        </w:rPr>
      </w:pPr>
    </w:p>
    <w:p w14:paraId="6DA36072" w14:textId="2A5C86BA" w:rsidR="00CD6E62" w:rsidRPr="0090726A" w:rsidRDefault="00207044" w:rsidP="001A476B">
      <w:pPr>
        <w:pStyle w:val="corte4fondo"/>
        <w:numPr>
          <w:ilvl w:val="0"/>
          <w:numId w:val="2"/>
        </w:numPr>
        <w:ind w:left="0" w:right="51" w:hanging="567"/>
        <w:rPr>
          <w:rFonts w:cs="Arial"/>
          <w:sz w:val="26"/>
          <w:szCs w:val="26"/>
        </w:rPr>
      </w:pPr>
      <w:r>
        <w:rPr>
          <w:rFonts w:cs="Arial"/>
          <w:sz w:val="26"/>
          <w:szCs w:val="26"/>
        </w:rPr>
        <w:t xml:space="preserve">No </w:t>
      </w:r>
      <w:r w:rsidR="00EE333E">
        <w:rPr>
          <w:rFonts w:cs="Arial"/>
          <w:sz w:val="26"/>
          <w:szCs w:val="26"/>
        </w:rPr>
        <w:t>obstante,</w:t>
      </w:r>
      <w:r>
        <w:rPr>
          <w:rFonts w:cs="Arial"/>
          <w:sz w:val="26"/>
          <w:szCs w:val="26"/>
        </w:rPr>
        <w:t xml:space="preserve"> lo anterior,</w:t>
      </w:r>
      <w:r w:rsidR="009E359B">
        <w:rPr>
          <w:rFonts w:cs="Arial"/>
          <w:sz w:val="26"/>
          <w:szCs w:val="26"/>
        </w:rPr>
        <w:t xml:space="preserve"> </w:t>
      </w:r>
      <w:r w:rsidR="003E56FD">
        <w:rPr>
          <w:rFonts w:cs="Arial"/>
          <w:sz w:val="26"/>
          <w:szCs w:val="26"/>
        </w:rPr>
        <w:t>también compartimos el argumento de la sala</w:t>
      </w:r>
      <w:r w:rsidR="00B05A83">
        <w:rPr>
          <w:rFonts w:cs="Arial"/>
          <w:sz w:val="26"/>
          <w:szCs w:val="26"/>
        </w:rPr>
        <w:t xml:space="preserve"> responsable</w:t>
      </w:r>
      <w:r w:rsidR="003E56FD">
        <w:rPr>
          <w:rFonts w:cs="Arial"/>
          <w:sz w:val="26"/>
          <w:szCs w:val="26"/>
        </w:rPr>
        <w:t xml:space="preserve">, </w:t>
      </w:r>
      <w:r w:rsidR="003E56FD" w:rsidRPr="009E359B">
        <w:rPr>
          <w:rFonts w:cs="Arial"/>
          <w:color w:val="000000" w:themeColor="text1"/>
          <w:sz w:val="26"/>
          <w:szCs w:val="26"/>
          <w:lang w:val="es-MX"/>
        </w:rPr>
        <w:t>relativo</w:t>
      </w:r>
      <w:r w:rsidR="003E56FD">
        <w:rPr>
          <w:rFonts w:cs="Arial"/>
          <w:sz w:val="26"/>
          <w:szCs w:val="26"/>
        </w:rPr>
        <w:t xml:space="preserve"> a que</w:t>
      </w:r>
      <w:r w:rsidR="00370814">
        <w:rPr>
          <w:rFonts w:cs="Arial"/>
          <w:sz w:val="26"/>
          <w:szCs w:val="26"/>
        </w:rPr>
        <w:t xml:space="preserve"> la calidad de cosa juzgada del convenio</w:t>
      </w:r>
      <w:r w:rsidR="003E56FD">
        <w:rPr>
          <w:rFonts w:cs="Arial"/>
          <w:sz w:val="26"/>
          <w:szCs w:val="26"/>
        </w:rPr>
        <w:t xml:space="preserve"> celebrado</w:t>
      </w:r>
      <w:r w:rsidR="00370814">
        <w:rPr>
          <w:rFonts w:cs="Arial"/>
          <w:sz w:val="26"/>
          <w:szCs w:val="26"/>
        </w:rPr>
        <w:t xml:space="preserve"> no hacía improcedente en el caso el reclamo de la indemnización por daño moral</w:t>
      </w:r>
      <w:r w:rsidR="003E56FD">
        <w:rPr>
          <w:rFonts w:cs="Arial"/>
          <w:sz w:val="26"/>
          <w:szCs w:val="26"/>
        </w:rPr>
        <w:t xml:space="preserve">. </w:t>
      </w:r>
      <w:r w:rsidR="00C72B13">
        <w:rPr>
          <w:rFonts w:cs="Arial"/>
          <w:sz w:val="26"/>
          <w:szCs w:val="26"/>
        </w:rPr>
        <w:t xml:space="preserve">Como recontó la sala </w:t>
      </w:r>
      <w:r w:rsidR="007253EA">
        <w:rPr>
          <w:rFonts w:cs="Arial"/>
          <w:sz w:val="26"/>
          <w:szCs w:val="26"/>
        </w:rPr>
        <w:t>de apelación</w:t>
      </w:r>
      <w:r w:rsidR="00C72B13">
        <w:rPr>
          <w:rFonts w:cs="Arial"/>
          <w:sz w:val="26"/>
          <w:szCs w:val="26"/>
        </w:rPr>
        <w:t xml:space="preserve">, </w:t>
      </w:r>
      <w:r w:rsidR="00CD6E62">
        <w:rPr>
          <w:rFonts w:cs="Arial"/>
          <w:sz w:val="26"/>
          <w:szCs w:val="26"/>
        </w:rPr>
        <w:t xml:space="preserve">de las constancias del expediente del COPRED </w:t>
      </w:r>
      <w:r w:rsidR="00053359">
        <w:rPr>
          <w:rFonts w:cs="Arial"/>
          <w:sz w:val="26"/>
          <w:szCs w:val="26"/>
        </w:rPr>
        <w:t>se advierte que, e</w:t>
      </w:r>
      <w:r w:rsidR="00CD6E62" w:rsidRPr="00053359">
        <w:rPr>
          <w:rFonts w:cs="Arial"/>
          <w:sz w:val="26"/>
          <w:szCs w:val="26"/>
        </w:rPr>
        <w:t>l 21 de enero de 2016</w:t>
      </w:r>
      <w:r w:rsidR="00490ED2">
        <w:rPr>
          <w:rFonts w:cs="Arial"/>
          <w:sz w:val="26"/>
          <w:szCs w:val="26"/>
        </w:rPr>
        <w:t>,</w:t>
      </w:r>
      <w:r w:rsidR="00CD6E62" w:rsidRPr="00053359">
        <w:rPr>
          <w:rFonts w:cs="Arial"/>
          <w:sz w:val="26"/>
          <w:szCs w:val="26"/>
        </w:rPr>
        <w:t xml:space="preserve"> se llevó a cabo la audiencia de conciliación</w:t>
      </w:r>
      <w:r w:rsidR="00053359">
        <w:rPr>
          <w:rFonts w:cs="Arial"/>
          <w:sz w:val="26"/>
          <w:szCs w:val="26"/>
        </w:rPr>
        <w:t>, a la cual</w:t>
      </w:r>
      <w:r w:rsidR="00CD6E62" w:rsidRPr="00053359">
        <w:rPr>
          <w:rFonts w:cs="Arial"/>
          <w:sz w:val="26"/>
          <w:szCs w:val="26"/>
        </w:rPr>
        <w:t xml:space="preserve"> acudieron</w:t>
      </w:r>
      <w:r w:rsidR="0030069F">
        <w:rPr>
          <w:rFonts w:cs="Arial"/>
          <w:sz w:val="26"/>
          <w:szCs w:val="26"/>
        </w:rPr>
        <w:t xml:space="preserve"> las presuntas víctimas y</w:t>
      </w:r>
      <w:r w:rsidR="00CD6E62" w:rsidRPr="00053359">
        <w:rPr>
          <w:rFonts w:cs="Arial"/>
          <w:sz w:val="26"/>
          <w:szCs w:val="26"/>
        </w:rPr>
        <w:t xml:space="preserve"> los representantes </w:t>
      </w:r>
      <w:r w:rsidR="00CD6E62" w:rsidRPr="00A36289">
        <w:rPr>
          <w:rFonts w:cs="Arial"/>
          <w:sz w:val="26"/>
          <w:szCs w:val="26"/>
        </w:rPr>
        <w:t>de Protección Privada 2010 y Reforma 222</w:t>
      </w:r>
      <w:r w:rsidR="00CD6E62" w:rsidRPr="00053359">
        <w:rPr>
          <w:rFonts w:cs="Arial"/>
          <w:sz w:val="26"/>
          <w:szCs w:val="26"/>
        </w:rPr>
        <w:t xml:space="preserve">. </w:t>
      </w:r>
      <w:r w:rsidR="00934E31">
        <w:rPr>
          <w:rFonts w:cs="Arial"/>
          <w:sz w:val="26"/>
          <w:szCs w:val="26"/>
        </w:rPr>
        <w:t>La autoridad hizo con</w:t>
      </w:r>
      <w:r w:rsidR="00032C49">
        <w:rPr>
          <w:rFonts w:cs="Arial"/>
          <w:sz w:val="26"/>
          <w:szCs w:val="26"/>
        </w:rPr>
        <w:t>s</w:t>
      </w:r>
      <w:r w:rsidR="00934E31">
        <w:rPr>
          <w:rFonts w:cs="Arial"/>
          <w:sz w:val="26"/>
          <w:szCs w:val="26"/>
        </w:rPr>
        <w:t xml:space="preserve">tar que </w:t>
      </w:r>
      <w:r w:rsidR="00CD6E62" w:rsidRPr="00601F6A">
        <w:rPr>
          <w:rFonts w:cs="Arial"/>
          <w:sz w:val="26"/>
          <w:szCs w:val="26"/>
        </w:rPr>
        <w:t xml:space="preserve">partes </w:t>
      </w:r>
      <w:r w:rsidR="00032C49" w:rsidRPr="00601F6A">
        <w:rPr>
          <w:rFonts w:cs="Arial"/>
          <w:sz w:val="26"/>
          <w:szCs w:val="26"/>
        </w:rPr>
        <w:t>habían llegado</w:t>
      </w:r>
      <w:r w:rsidR="00CD6E62" w:rsidRPr="00601F6A">
        <w:rPr>
          <w:rFonts w:cs="Arial"/>
          <w:sz w:val="26"/>
          <w:szCs w:val="26"/>
        </w:rPr>
        <w:t xml:space="preserve"> a un acuerdo, en el que las </w:t>
      </w:r>
      <w:r w:rsidR="009C6271" w:rsidRPr="00601F6A">
        <w:rPr>
          <w:rFonts w:cs="Arial"/>
          <w:sz w:val="26"/>
          <w:szCs w:val="26"/>
        </w:rPr>
        <w:t>presuntas responsables</w:t>
      </w:r>
      <w:r w:rsidR="00CD6E62" w:rsidRPr="00601F6A">
        <w:rPr>
          <w:rFonts w:cs="Arial"/>
          <w:sz w:val="26"/>
          <w:szCs w:val="26"/>
        </w:rPr>
        <w:t xml:space="preserve"> se comprometieron</w:t>
      </w:r>
      <w:r w:rsidR="009C6271" w:rsidRPr="00601F6A">
        <w:rPr>
          <w:rFonts w:cs="Arial"/>
          <w:sz w:val="26"/>
          <w:szCs w:val="26"/>
        </w:rPr>
        <w:t xml:space="preserve">, entre otras medidas, </w:t>
      </w:r>
      <w:r w:rsidR="00601F6A">
        <w:rPr>
          <w:rFonts w:cs="Arial"/>
          <w:sz w:val="26"/>
          <w:szCs w:val="26"/>
        </w:rPr>
        <w:t xml:space="preserve">a </w:t>
      </w:r>
      <w:r w:rsidR="000114E5">
        <w:rPr>
          <w:rFonts w:cs="Arial"/>
          <w:sz w:val="26"/>
          <w:szCs w:val="26"/>
        </w:rPr>
        <w:t>“</w:t>
      </w:r>
      <w:r w:rsidR="00601F6A" w:rsidRPr="0090726A">
        <w:rPr>
          <w:rFonts w:cs="Arial"/>
          <w:sz w:val="26"/>
          <w:szCs w:val="26"/>
        </w:rPr>
        <w:t>r</w:t>
      </w:r>
      <w:r w:rsidR="00CD6E62" w:rsidRPr="0090726A">
        <w:rPr>
          <w:rFonts w:cs="Arial"/>
          <w:sz w:val="26"/>
          <w:szCs w:val="26"/>
        </w:rPr>
        <w:t xml:space="preserve">evisar </w:t>
      </w:r>
      <w:r w:rsidR="000114E5">
        <w:rPr>
          <w:rFonts w:cs="Arial"/>
          <w:sz w:val="26"/>
          <w:szCs w:val="26"/>
        </w:rPr>
        <w:t xml:space="preserve">respecto a la petición económica solicitada e informar por escrito a este Consejo, en una fecha no posterior al día 17 de mayo de 2016”. </w:t>
      </w:r>
    </w:p>
    <w:p w14:paraId="2FB7E7D5" w14:textId="77777777" w:rsidR="00CD6E62" w:rsidRDefault="00CD6E62" w:rsidP="001A476B">
      <w:pPr>
        <w:pStyle w:val="corte4fondo"/>
        <w:ind w:right="51" w:hanging="567"/>
        <w:rPr>
          <w:rFonts w:cs="Arial"/>
          <w:sz w:val="26"/>
          <w:szCs w:val="26"/>
        </w:rPr>
      </w:pPr>
    </w:p>
    <w:p w14:paraId="488F2B6B" w14:textId="6B33B658" w:rsidR="005E012B" w:rsidRPr="00DF3AC2" w:rsidRDefault="0010762E" w:rsidP="001A476B">
      <w:pPr>
        <w:pStyle w:val="corte4fondo"/>
        <w:numPr>
          <w:ilvl w:val="0"/>
          <w:numId w:val="2"/>
        </w:numPr>
        <w:ind w:left="0" w:right="51" w:hanging="567"/>
        <w:rPr>
          <w:rFonts w:cs="Arial"/>
          <w:sz w:val="26"/>
          <w:szCs w:val="26"/>
          <w:lang w:val="es-ES"/>
        </w:rPr>
      </w:pPr>
      <w:r w:rsidRPr="003F6B95">
        <w:rPr>
          <w:rFonts w:cs="Arial"/>
          <w:sz w:val="26"/>
          <w:szCs w:val="26"/>
          <w:lang w:val="es-ES"/>
        </w:rPr>
        <w:t xml:space="preserve">El 24 de agosto de 2017, el COPRED emitió un </w:t>
      </w:r>
      <w:r>
        <w:rPr>
          <w:rFonts w:cs="Arial"/>
          <w:sz w:val="26"/>
          <w:szCs w:val="26"/>
          <w:lang w:val="es-ES"/>
        </w:rPr>
        <w:t>“</w:t>
      </w:r>
      <w:r w:rsidRPr="003F6B95">
        <w:rPr>
          <w:rFonts w:cs="Arial"/>
          <w:sz w:val="26"/>
          <w:szCs w:val="26"/>
          <w:lang w:val="es-ES"/>
        </w:rPr>
        <w:t>acuerdo de conclusión</w:t>
      </w:r>
      <w:r>
        <w:rPr>
          <w:rFonts w:cs="Arial"/>
          <w:sz w:val="26"/>
          <w:szCs w:val="26"/>
          <w:lang w:val="es-ES"/>
        </w:rPr>
        <w:t>”,</w:t>
      </w:r>
      <w:r w:rsidRPr="003F6B95">
        <w:rPr>
          <w:rFonts w:cs="Arial"/>
          <w:sz w:val="26"/>
          <w:szCs w:val="26"/>
          <w:lang w:val="es-ES"/>
        </w:rPr>
        <w:t xml:space="preserve"> en el que </w:t>
      </w:r>
      <w:r w:rsidR="00BD42A1">
        <w:rPr>
          <w:rFonts w:cs="Arial"/>
          <w:sz w:val="26"/>
          <w:szCs w:val="26"/>
          <w:lang w:val="es-ES"/>
        </w:rPr>
        <w:t xml:space="preserve">recontó que, en 28 de abril de 2016, recibió un escrito del </w:t>
      </w:r>
      <w:r w:rsidR="00BD42A1">
        <w:rPr>
          <w:rFonts w:cs="Arial"/>
          <w:sz w:val="26"/>
          <w:szCs w:val="26"/>
          <w:lang w:val="es-ES"/>
        </w:rPr>
        <w:lastRenderedPageBreak/>
        <w:t xml:space="preserve">representante de </w:t>
      </w:r>
      <w:r w:rsidR="00BD42A1" w:rsidRPr="00A36289">
        <w:rPr>
          <w:rFonts w:cs="Arial"/>
          <w:sz w:val="26"/>
          <w:szCs w:val="26"/>
        </w:rPr>
        <w:t xml:space="preserve">Protección Privada 2010, en </w:t>
      </w:r>
      <w:r w:rsidR="00BD42A1" w:rsidRPr="0090726A">
        <w:rPr>
          <w:rFonts w:cs="Arial"/>
          <w:color w:val="000000" w:themeColor="text1"/>
          <w:sz w:val="26"/>
          <w:szCs w:val="26"/>
        </w:rPr>
        <w:t>el que inform</w:t>
      </w:r>
      <w:r w:rsidR="0085323E">
        <w:rPr>
          <w:rFonts w:cs="Arial"/>
          <w:color w:val="000000" w:themeColor="text1"/>
          <w:sz w:val="26"/>
          <w:szCs w:val="26"/>
        </w:rPr>
        <w:t>ó</w:t>
      </w:r>
      <w:r w:rsidR="00BD42A1" w:rsidRPr="0090726A">
        <w:rPr>
          <w:rFonts w:cs="Arial"/>
          <w:color w:val="000000" w:themeColor="text1"/>
          <w:sz w:val="26"/>
          <w:szCs w:val="26"/>
        </w:rPr>
        <w:t xml:space="preserve"> que</w:t>
      </w:r>
      <w:r w:rsidR="0085323E">
        <w:rPr>
          <w:rFonts w:cs="Arial"/>
          <w:color w:val="000000" w:themeColor="text1"/>
          <w:sz w:val="26"/>
          <w:szCs w:val="26"/>
        </w:rPr>
        <w:t xml:space="preserve"> </w:t>
      </w:r>
      <w:r w:rsidR="00BD42A1" w:rsidRPr="00DB0BD2">
        <w:rPr>
          <w:rFonts w:cs="Arial"/>
          <w:sz w:val="26"/>
          <w:szCs w:val="26"/>
          <w:lang w:val="es-ES"/>
        </w:rPr>
        <w:t xml:space="preserve">la solicitud sobre la petición económica no </w:t>
      </w:r>
      <w:r w:rsidR="00B8674B">
        <w:rPr>
          <w:rFonts w:cs="Arial"/>
          <w:sz w:val="26"/>
          <w:szCs w:val="26"/>
          <w:lang w:val="es-ES"/>
        </w:rPr>
        <w:t>sería</w:t>
      </w:r>
      <w:r w:rsidR="00B8674B" w:rsidRPr="00DB0BD2">
        <w:rPr>
          <w:rFonts w:cs="Arial"/>
          <w:sz w:val="26"/>
          <w:szCs w:val="26"/>
          <w:lang w:val="es-ES"/>
        </w:rPr>
        <w:t xml:space="preserve"> </w:t>
      </w:r>
      <w:r w:rsidR="00BD42A1" w:rsidRPr="00DB0BD2">
        <w:rPr>
          <w:rFonts w:cs="Arial"/>
          <w:sz w:val="26"/>
          <w:szCs w:val="26"/>
          <w:lang w:val="es-ES"/>
        </w:rPr>
        <w:t>posible de realizar</w:t>
      </w:r>
      <w:r w:rsidR="00DB0BD2" w:rsidRPr="00DB0BD2">
        <w:rPr>
          <w:rFonts w:cs="Arial"/>
          <w:sz w:val="26"/>
          <w:szCs w:val="26"/>
          <w:lang w:val="es-ES"/>
        </w:rPr>
        <w:t>.</w:t>
      </w:r>
      <w:r w:rsidR="00DB0BD2">
        <w:rPr>
          <w:rFonts w:cs="Arial"/>
          <w:sz w:val="26"/>
          <w:szCs w:val="26"/>
          <w:lang w:val="es-ES"/>
        </w:rPr>
        <w:t xml:space="preserve"> Por ello, </w:t>
      </w:r>
      <w:r w:rsidR="00AB7136">
        <w:rPr>
          <w:rFonts w:cs="Arial"/>
          <w:sz w:val="26"/>
          <w:szCs w:val="26"/>
          <w:lang w:val="es-ES"/>
        </w:rPr>
        <w:t>la autoridad</w:t>
      </w:r>
      <w:r w:rsidR="00DB0BD2">
        <w:rPr>
          <w:rFonts w:cs="Arial"/>
          <w:sz w:val="26"/>
          <w:szCs w:val="26"/>
          <w:lang w:val="es-ES"/>
        </w:rPr>
        <w:t xml:space="preserve"> </w:t>
      </w:r>
      <w:r w:rsidRPr="00DB0BD2">
        <w:rPr>
          <w:rFonts w:cs="Arial"/>
          <w:sz w:val="26"/>
          <w:szCs w:val="26"/>
          <w:lang w:val="es-ES"/>
        </w:rPr>
        <w:t>tuvo por cumplidos los primeros cuatro puntos del convenio celebrado en la audiencia de conciliación, mas no el punto asociado con la reparación económica solicitada por las presuntas víctimas. En ese sentido, al no haber acuerdo respecto del pago de la indemnización económica, el COPRED dejó a salvo los derechos de las partes, para hacerlos valer en la vía que consideraran procedente</w:t>
      </w:r>
      <w:r w:rsidR="005E012B">
        <w:rPr>
          <w:rFonts w:cs="Arial"/>
          <w:sz w:val="26"/>
          <w:szCs w:val="26"/>
          <w:lang w:val="es-ES"/>
        </w:rPr>
        <w:t>, de conformidad con lo siguiente</w:t>
      </w:r>
      <w:r w:rsidR="00881D4C">
        <w:rPr>
          <w:rStyle w:val="Refdenotaalpie"/>
          <w:rFonts w:cs="Arial"/>
          <w:sz w:val="26"/>
          <w:szCs w:val="26"/>
          <w:lang w:val="es-ES"/>
        </w:rPr>
        <w:footnoteReference w:id="133"/>
      </w:r>
      <w:r w:rsidR="005E012B">
        <w:rPr>
          <w:rFonts w:cs="Arial"/>
          <w:sz w:val="26"/>
          <w:szCs w:val="26"/>
          <w:lang w:val="es-ES"/>
        </w:rPr>
        <w:t>:</w:t>
      </w:r>
    </w:p>
    <w:p w14:paraId="13C10495" w14:textId="28058138" w:rsidR="005E012B" w:rsidRDefault="00987919" w:rsidP="00663DFF">
      <w:pPr>
        <w:pStyle w:val="corte4fondo"/>
        <w:spacing w:before="240" w:line="276" w:lineRule="auto"/>
        <w:ind w:left="567" w:right="616" w:firstLine="0"/>
        <w:rPr>
          <w:rFonts w:cs="Arial"/>
          <w:sz w:val="24"/>
          <w:szCs w:val="24"/>
          <w:lang w:val="es-ES"/>
        </w:rPr>
      </w:pPr>
      <w:r w:rsidRPr="00663DFF">
        <w:rPr>
          <w:rFonts w:cs="Arial"/>
          <w:sz w:val="24"/>
          <w:szCs w:val="24"/>
          <w:lang w:val="es-ES"/>
        </w:rPr>
        <w:t xml:space="preserve">Este Consejo considera adecuadamente satisfechos los puntos </w:t>
      </w:r>
      <w:r w:rsidR="00826CC4" w:rsidRPr="00826CC4">
        <w:rPr>
          <w:rFonts w:cs="Arial"/>
          <w:sz w:val="24"/>
          <w:szCs w:val="24"/>
          <w:lang w:val="es-ES"/>
        </w:rPr>
        <w:t>primero, segundo, tercero y cuarto</w:t>
      </w:r>
      <w:r w:rsidRPr="00663DFF">
        <w:rPr>
          <w:rFonts w:cs="Arial"/>
          <w:sz w:val="24"/>
          <w:szCs w:val="24"/>
          <w:lang w:val="es-ES"/>
        </w:rPr>
        <w:t xml:space="preserve"> de</w:t>
      </w:r>
      <w:r w:rsidR="00826CC4" w:rsidRPr="00826CC4">
        <w:rPr>
          <w:rFonts w:cs="Arial"/>
          <w:sz w:val="24"/>
          <w:szCs w:val="24"/>
          <w:lang w:val="es-ES"/>
        </w:rPr>
        <w:t xml:space="preserve"> la reunión conciliatoria, en cuanto al punto quinto, la parte respons</w:t>
      </w:r>
      <w:r w:rsidRPr="00663DFF">
        <w:rPr>
          <w:rFonts w:cs="Arial"/>
          <w:sz w:val="24"/>
          <w:szCs w:val="24"/>
          <w:lang w:val="es-ES"/>
        </w:rPr>
        <w:t xml:space="preserve">able manifestó que “ha considerado y evaluado que la solicitud sobre la petición económica no es posible de realizar, toda vez que es excesiva y durante el desarrollo de este procedimiento a mi representada se le ha generado un detrimento </w:t>
      </w:r>
      <w:r w:rsidR="00DF3AC2">
        <w:rPr>
          <w:rFonts w:cs="Arial"/>
          <w:sz w:val="24"/>
          <w:szCs w:val="24"/>
          <w:lang w:val="es-ES"/>
        </w:rPr>
        <w:t>considerable económico</w:t>
      </w:r>
      <w:r w:rsidRPr="00663DFF">
        <w:rPr>
          <w:rFonts w:cs="Arial"/>
          <w:sz w:val="24"/>
          <w:szCs w:val="24"/>
          <w:lang w:val="es-ES"/>
        </w:rPr>
        <w:t xml:space="preserve"> </w:t>
      </w:r>
      <w:r w:rsidR="00D962AA">
        <w:rPr>
          <w:rFonts w:cs="Arial"/>
          <w:sz w:val="24"/>
          <w:szCs w:val="24"/>
          <w:lang w:val="es-ES"/>
        </w:rPr>
        <w:t>(…)</w:t>
      </w:r>
      <w:r w:rsidRPr="00663DFF">
        <w:rPr>
          <w:rFonts w:cs="Arial"/>
          <w:sz w:val="24"/>
          <w:szCs w:val="24"/>
          <w:lang w:val="es-ES"/>
        </w:rPr>
        <w:t xml:space="preserve">”. En cuanto a dicha posición este Consejo considera que la reparación del daño de ninguna forma puede ser relacionada con las erogaciones que pudiera haber realizado la presunta responsable en concepto de gastos legales o por la publicación de la disculpa pública toda vez que no se trata del mismo concepto de reparación. En ese orden de ideas para determinar una indemnización se deben acercar las pretensiones de la </w:t>
      </w:r>
      <w:r w:rsidR="00EE333E" w:rsidRPr="00663DFF">
        <w:rPr>
          <w:rFonts w:cs="Arial"/>
          <w:sz w:val="24"/>
          <w:szCs w:val="24"/>
          <w:lang w:val="es-ES"/>
        </w:rPr>
        <w:t>víctima,</w:t>
      </w:r>
      <w:r w:rsidRPr="00663DFF">
        <w:rPr>
          <w:rFonts w:cs="Arial"/>
          <w:sz w:val="24"/>
          <w:szCs w:val="24"/>
          <w:lang w:val="es-ES"/>
        </w:rPr>
        <w:t xml:space="preserve"> así como los impactos psicosociales y psicoemocionales que generó el caso concreto. Al respecto, este Consejo carece de las facultades legales para determinar una cantidad pecuniaria como medida de reparación para las peticionarias, por otra parte, la probable responsable manifestó su inconformidad respecto a la cantidad solicitada, sin que exista una conciliación respecto de dicho punto. Toda vez que no existen hechos controvertidos por las partes y que existen diferentes posiciones respecto a la reparación económica pretendida y la determinación respecto de la misma no forma parte de las facultades de este Consejo, </w:t>
      </w:r>
      <w:r w:rsidRPr="00663DFF">
        <w:rPr>
          <w:rFonts w:cs="Arial"/>
          <w:sz w:val="24"/>
          <w:szCs w:val="24"/>
          <w:u w:val="single"/>
          <w:lang w:val="es-ES"/>
        </w:rPr>
        <w:t>se determina concluir el presente asunto con fundamento en el artículo 91 fracción V del Estatuto Orgánico de este Consejo, por no existir conciliación durante el trámite, dejando a salvo los derechos de las partes con relación al punto conciliato</w:t>
      </w:r>
      <w:r w:rsidR="00335A2D" w:rsidRPr="00663DFF">
        <w:rPr>
          <w:rFonts w:cs="Arial"/>
          <w:sz w:val="24"/>
          <w:szCs w:val="24"/>
          <w:u w:val="single"/>
          <w:lang w:val="es-ES"/>
        </w:rPr>
        <w:t>rio quinto, pa</w:t>
      </w:r>
      <w:r w:rsidRPr="00663DFF">
        <w:rPr>
          <w:rFonts w:cs="Arial"/>
          <w:sz w:val="24"/>
          <w:szCs w:val="24"/>
          <w:u w:val="single"/>
          <w:lang w:val="es-ES"/>
        </w:rPr>
        <w:t>ra hacerlos valer en la vía que consideren pertinente</w:t>
      </w:r>
      <w:r w:rsidR="00826CC4" w:rsidRPr="00335A2D">
        <w:rPr>
          <w:rFonts w:cs="Arial"/>
          <w:sz w:val="24"/>
          <w:szCs w:val="24"/>
          <w:lang w:val="es-ES"/>
        </w:rPr>
        <w:t xml:space="preserve">. (…). </w:t>
      </w:r>
    </w:p>
    <w:p w14:paraId="0E842FC1" w14:textId="12B70CA4" w:rsidR="00826CC4" w:rsidRPr="00663DFF" w:rsidRDefault="00826CC4" w:rsidP="00663DFF">
      <w:pPr>
        <w:pStyle w:val="corte4fondo"/>
        <w:spacing w:line="276" w:lineRule="auto"/>
        <w:ind w:left="567" w:right="616" w:firstLine="0"/>
        <w:jc w:val="right"/>
        <w:rPr>
          <w:rFonts w:cs="Arial"/>
          <w:sz w:val="24"/>
          <w:szCs w:val="24"/>
          <w:lang w:val="es-ES"/>
        </w:rPr>
      </w:pPr>
      <w:r>
        <w:rPr>
          <w:rFonts w:cs="Arial"/>
          <w:sz w:val="24"/>
          <w:szCs w:val="24"/>
          <w:lang w:val="es-ES"/>
        </w:rPr>
        <w:t>(Énfasis añadido)</w:t>
      </w:r>
    </w:p>
    <w:p w14:paraId="6D0A17B9" w14:textId="26B575E4" w:rsidR="000114E5" w:rsidRPr="00516174" w:rsidRDefault="000114E5" w:rsidP="00CD6E62">
      <w:pPr>
        <w:pStyle w:val="corte4fondo"/>
        <w:tabs>
          <w:tab w:val="left" w:pos="0"/>
        </w:tabs>
        <w:ind w:right="51" w:firstLine="0"/>
        <w:rPr>
          <w:rFonts w:cs="Arial"/>
          <w:sz w:val="26"/>
          <w:szCs w:val="26"/>
          <w:lang w:val="es-ES"/>
        </w:rPr>
      </w:pPr>
    </w:p>
    <w:p w14:paraId="5017F998" w14:textId="20F8EF38" w:rsidR="00FB2662" w:rsidRDefault="00E46101" w:rsidP="001A476B">
      <w:pPr>
        <w:pStyle w:val="corte4fondo"/>
        <w:numPr>
          <w:ilvl w:val="0"/>
          <w:numId w:val="2"/>
        </w:numPr>
        <w:ind w:left="0" w:right="51" w:hanging="567"/>
        <w:rPr>
          <w:rFonts w:cs="Arial"/>
          <w:sz w:val="26"/>
          <w:szCs w:val="26"/>
        </w:rPr>
      </w:pPr>
      <w:r w:rsidRPr="00516174">
        <w:rPr>
          <w:rFonts w:cs="Arial"/>
          <w:sz w:val="26"/>
          <w:szCs w:val="26"/>
        </w:rPr>
        <w:t xml:space="preserve">Por las razones precedentes, </w:t>
      </w:r>
      <w:r w:rsidR="002D24D6" w:rsidRPr="00516174">
        <w:rPr>
          <w:rFonts w:cs="Arial"/>
          <w:sz w:val="26"/>
          <w:szCs w:val="26"/>
        </w:rPr>
        <w:t xml:space="preserve">esta Primera Sala coincide </w:t>
      </w:r>
      <w:r w:rsidR="00731873">
        <w:rPr>
          <w:rFonts w:cs="Arial"/>
          <w:sz w:val="26"/>
          <w:szCs w:val="26"/>
        </w:rPr>
        <w:t xml:space="preserve">con la sala </w:t>
      </w:r>
      <w:r w:rsidR="002D24D6" w:rsidRPr="00516174">
        <w:rPr>
          <w:rFonts w:cs="Arial"/>
          <w:sz w:val="26"/>
          <w:szCs w:val="26"/>
        </w:rPr>
        <w:t xml:space="preserve">en que, </w:t>
      </w:r>
      <w:r w:rsidR="00516174" w:rsidRPr="00516174">
        <w:rPr>
          <w:rFonts w:cs="Arial"/>
          <w:sz w:val="26"/>
          <w:szCs w:val="26"/>
        </w:rPr>
        <w:t>dada</w:t>
      </w:r>
      <w:r w:rsidR="00516174" w:rsidRPr="00663DFF">
        <w:rPr>
          <w:rFonts w:cs="Arial"/>
          <w:sz w:val="26"/>
          <w:szCs w:val="26"/>
        </w:rPr>
        <w:t xml:space="preserve"> </w:t>
      </w:r>
      <w:r w:rsidR="00645E31">
        <w:rPr>
          <w:rFonts w:cs="Arial"/>
          <w:sz w:val="26"/>
          <w:szCs w:val="26"/>
        </w:rPr>
        <w:t>la particularidad</w:t>
      </w:r>
      <w:r w:rsidR="00516174" w:rsidRPr="00663DFF">
        <w:rPr>
          <w:rFonts w:cs="Arial"/>
          <w:sz w:val="26"/>
          <w:szCs w:val="26"/>
        </w:rPr>
        <w:t xml:space="preserve"> del convenio, </w:t>
      </w:r>
      <w:r w:rsidR="003D33E6">
        <w:rPr>
          <w:rFonts w:cs="Arial"/>
          <w:sz w:val="26"/>
          <w:szCs w:val="26"/>
        </w:rPr>
        <w:t xml:space="preserve">en el </w:t>
      </w:r>
      <w:r w:rsidR="00516174" w:rsidRPr="00663DFF">
        <w:rPr>
          <w:rFonts w:cs="Arial"/>
          <w:sz w:val="26"/>
          <w:szCs w:val="26"/>
        </w:rPr>
        <w:t xml:space="preserve">que no hubo </w:t>
      </w:r>
      <w:r w:rsidR="003D33E6">
        <w:rPr>
          <w:rFonts w:cs="Arial"/>
          <w:sz w:val="26"/>
          <w:szCs w:val="26"/>
        </w:rPr>
        <w:t>acuerdo</w:t>
      </w:r>
      <w:r w:rsidR="00516174" w:rsidRPr="00663DFF">
        <w:rPr>
          <w:rFonts w:cs="Arial"/>
          <w:sz w:val="26"/>
          <w:szCs w:val="26"/>
        </w:rPr>
        <w:t xml:space="preserve"> respecto </w:t>
      </w:r>
      <w:r w:rsidR="003D33E6">
        <w:rPr>
          <w:rFonts w:cs="Arial"/>
          <w:sz w:val="26"/>
          <w:szCs w:val="26"/>
        </w:rPr>
        <w:t>del pago de</w:t>
      </w:r>
      <w:r w:rsidR="00516174" w:rsidRPr="00663DFF">
        <w:rPr>
          <w:rFonts w:cs="Arial"/>
          <w:sz w:val="26"/>
          <w:szCs w:val="26"/>
        </w:rPr>
        <w:t xml:space="preserve"> la pretensión económica</w:t>
      </w:r>
      <w:r w:rsidR="00645E31">
        <w:rPr>
          <w:rFonts w:cs="Arial"/>
          <w:sz w:val="26"/>
          <w:szCs w:val="26"/>
        </w:rPr>
        <w:t xml:space="preserve"> </w:t>
      </w:r>
      <w:r w:rsidR="00486D39">
        <w:rPr>
          <w:rFonts w:cs="Arial"/>
          <w:sz w:val="26"/>
          <w:szCs w:val="26"/>
        </w:rPr>
        <w:t>y se dejaron a salvo derechos para su reclamo</w:t>
      </w:r>
      <w:r w:rsidR="00512AF0">
        <w:rPr>
          <w:rStyle w:val="Refdenotaalpie"/>
          <w:rFonts w:cs="Arial"/>
          <w:sz w:val="26"/>
          <w:szCs w:val="26"/>
        </w:rPr>
        <w:footnoteReference w:id="134"/>
      </w:r>
      <w:r w:rsidR="00516174" w:rsidRPr="00663DFF">
        <w:rPr>
          <w:rFonts w:cs="Arial"/>
          <w:sz w:val="26"/>
          <w:szCs w:val="26"/>
        </w:rPr>
        <w:t xml:space="preserve">, sí era </w:t>
      </w:r>
      <w:r w:rsidR="00967B72">
        <w:rPr>
          <w:rFonts w:cs="Arial"/>
          <w:sz w:val="26"/>
          <w:szCs w:val="26"/>
        </w:rPr>
        <w:t>viable</w:t>
      </w:r>
      <w:r w:rsidR="00516174" w:rsidRPr="00663DFF">
        <w:rPr>
          <w:rFonts w:cs="Arial"/>
          <w:sz w:val="26"/>
          <w:szCs w:val="26"/>
        </w:rPr>
        <w:t xml:space="preserve"> </w:t>
      </w:r>
      <w:r w:rsidR="00516174" w:rsidRPr="002830AE">
        <w:rPr>
          <w:rFonts w:cs="Arial"/>
          <w:sz w:val="26"/>
          <w:szCs w:val="26"/>
          <w:lang w:val="es-ES"/>
        </w:rPr>
        <w:t>demandar</w:t>
      </w:r>
      <w:r w:rsidR="00516174" w:rsidRPr="00663DFF">
        <w:rPr>
          <w:rFonts w:cs="Arial"/>
          <w:sz w:val="26"/>
          <w:szCs w:val="26"/>
        </w:rPr>
        <w:t xml:space="preserve"> civilmente el pago de una indemnización </w:t>
      </w:r>
      <w:r w:rsidR="00C257A1">
        <w:rPr>
          <w:rFonts w:cs="Arial"/>
          <w:sz w:val="26"/>
          <w:szCs w:val="26"/>
        </w:rPr>
        <w:lastRenderedPageBreak/>
        <w:t>económica a cargo</w:t>
      </w:r>
      <w:r w:rsidR="00A30954">
        <w:rPr>
          <w:rFonts w:cs="Arial"/>
          <w:sz w:val="26"/>
          <w:szCs w:val="26"/>
        </w:rPr>
        <w:t xml:space="preserve"> </w:t>
      </w:r>
      <w:r w:rsidR="00A30954" w:rsidRPr="00B60874">
        <w:rPr>
          <w:rFonts w:cs="Arial"/>
          <w:sz w:val="26"/>
          <w:szCs w:val="26"/>
        </w:rPr>
        <w:t>de las empresas</w:t>
      </w:r>
      <w:r w:rsidR="003D33E6">
        <w:rPr>
          <w:rFonts w:cs="Arial"/>
          <w:sz w:val="26"/>
          <w:szCs w:val="26"/>
        </w:rPr>
        <w:t>, como realizaron las hoy quejosas</w:t>
      </w:r>
      <w:r w:rsidR="00486D39">
        <w:rPr>
          <w:rFonts w:cs="Arial"/>
          <w:sz w:val="26"/>
          <w:szCs w:val="26"/>
        </w:rPr>
        <w:t>,</w:t>
      </w:r>
      <w:r w:rsidR="00307E7E">
        <w:rPr>
          <w:rFonts w:cs="Arial"/>
          <w:sz w:val="26"/>
          <w:szCs w:val="26"/>
        </w:rPr>
        <w:t xml:space="preserve"> en respeto del principio de complementariedad</w:t>
      </w:r>
      <w:r w:rsidR="00516174" w:rsidRPr="00663DFF">
        <w:rPr>
          <w:rFonts w:cs="Arial"/>
          <w:sz w:val="26"/>
          <w:szCs w:val="26"/>
        </w:rPr>
        <w:t>.</w:t>
      </w:r>
      <w:r w:rsidR="00985522">
        <w:rPr>
          <w:rFonts w:cs="Arial"/>
          <w:sz w:val="26"/>
          <w:szCs w:val="26"/>
        </w:rPr>
        <w:t xml:space="preserve"> </w:t>
      </w:r>
    </w:p>
    <w:p w14:paraId="1D5CDF75" w14:textId="0CC2AAD7" w:rsidR="009E7505" w:rsidRDefault="009E7505" w:rsidP="003C14C3">
      <w:pPr>
        <w:pStyle w:val="corte4fondo"/>
        <w:ind w:right="51" w:firstLine="0"/>
        <w:rPr>
          <w:rFonts w:cs="Arial"/>
          <w:sz w:val="26"/>
          <w:szCs w:val="26"/>
        </w:rPr>
      </w:pPr>
    </w:p>
    <w:p w14:paraId="42B19590" w14:textId="115BB95F" w:rsidR="00825FFF" w:rsidRDefault="00825FFF" w:rsidP="00825FFF">
      <w:pPr>
        <w:pStyle w:val="corte4fondo"/>
        <w:ind w:right="51" w:hanging="567"/>
        <w:jc w:val="center"/>
        <w:rPr>
          <w:rFonts w:cs="Arial"/>
          <w:b/>
          <w:bCs/>
          <w:sz w:val="26"/>
          <w:szCs w:val="26"/>
          <w:highlight w:val="yellow"/>
          <w:u w:val="single"/>
        </w:rPr>
      </w:pPr>
      <w:r w:rsidRPr="003F6B95">
        <w:rPr>
          <w:rFonts w:cs="Arial"/>
          <w:b/>
          <w:bCs/>
          <w:color w:val="000000" w:themeColor="text1"/>
          <w:sz w:val="26"/>
          <w:szCs w:val="26"/>
        </w:rPr>
        <w:t xml:space="preserve">VII. </w:t>
      </w:r>
      <w:r w:rsidR="00DA7494">
        <w:rPr>
          <w:rFonts w:cs="Arial"/>
          <w:b/>
          <w:bCs/>
          <w:color w:val="000000" w:themeColor="text1"/>
          <w:sz w:val="26"/>
          <w:szCs w:val="26"/>
        </w:rPr>
        <w:t xml:space="preserve">CONCLUSIÓN </w:t>
      </w:r>
      <w:r>
        <w:rPr>
          <w:rFonts w:cs="Arial"/>
          <w:b/>
          <w:bCs/>
          <w:color w:val="000000" w:themeColor="text1"/>
          <w:sz w:val="26"/>
          <w:szCs w:val="26"/>
        </w:rPr>
        <w:t xml:space="preserve">Y </w:t>
      </w:r>
      <w:r w:rsidRPr="003F6B95">
        <w:rPr>
          <w:rFonts w:cs="Arial"/>
          <w:b/>
          <w:bCs/>
          <w:color w:val="000000" w:themeColor="text1"/>
          <w:sz w:val="26"/>
          <w:szCs w:val="26"/>
        </w:rPr>
        <w:t>EFECTOS</w:t>
      </w:r>
    </w:p>
    <w:p w14:paraId="59997535" w14:textId="77777777" w:rsidR="003A0EEF" w:rsidRPr="007220DA" w:rsidRDefault="003A0EEF" w:rsidP="003C14C3">
      <w:pPr>
        <w:pStyle w:val="corte4fondo"/>
        <w:ind w:right="51" w:firstLine="0"/>
        <w:rPr>
          <w:rFonts w:cs="Arial"/>
          <w:sz w:val="26"/>
          <w:szCs w:val="26"/>
        </w:rPr>
      </w:pPr>
    </w:p>
    <w:p w14:paraId="1914F8ED" w14:textId="6A0B52C8" w:rsidR="00F1540A" w:rsidRPr="00D8669C" w:rsidRDefault="003A0EEF" w:rsidP="001A476B">
      <w:pPr>
        <w:pStyle w:val="corte4fondo"/>
        <w:numPr>
          <w:ilvl w:val="0"/>
          <w:numId w:val="2"/>
        </w:numPr>
        <w:ind w:left="0" w:right="51" w:hanging="567"/>
        <w:rPr>
          <w:rFonts w:cs="Arial"/>
          <w:sz w:val="26"/>
          <w:szCs w:val="26"/>
        </w:rPr>
      </w:pPr>
      <w:r w:rsidRPr="008F2D43">
        <w:rPr>
          <w:rFonts w:cs="Arial"/>
          <w:sz w:val="26"/>
          <w:szCs w:val="26"/>
        </w:rPr>
        <w:t>Con base en</w:t>
      </w:r>
      <w:r w:rsidR="00BE1651" w:rsidRPr="008F2D43">
        <w:rPr>
          <w:rFonts w:cs="Arial"/>
          <w:sz w:val="26"/>
          <w:szCs w:val="26"/>
        </w:rPr>
        <w:t xml:space="preserve"> el estudio</w:t>
      </w:r>
      <w:r w:rsidRPr="008F2D43">
        <w:rPr>
          <w:rFonts w:cs="Arial"/>
          <w:sz w:val="26"/>
          <w:szCs w:val="26"/>
        </w:rPr>
        <w:t xml:space="preserve"> precedente, esta Primera Sala concluye que</w:t>
      </w:r>
      <w:r w:rsidR="00DE6AF3" w:rsidRPr="008F2D43">
        <w:rPr>
          <w:rFonts w:cs="Arial"/>
          <w:sz w:val="26"/>
          <w:szCs w:val="26"/>
        </w:rPr>
        <w:t xml:space="preserve"> los primeros tres conceptos de violación resultaron esencialmente fundados. Así,</w:t>
      </w:r>
      <w:r w:rsidRPr="008F2D43">
        <w:rPr>
          <w:rFonts w:cs="Arial"/>
          <w:sz w:val="26"/>
          <w:szCs w:val="26"/>
        </w:rPr>
        <w:t xml:space="preserve"> en </w:t>
      </w:r>
      <w:r w:rsidR="00A30954" w:rsidRPr="002830AE">
        <w:rPr>
          <w:rFonts w:cs="Arial"/>
          <w:sz w:val="26"/>
          <w:szCs w:val="26"/>
          <w:lang w:val="es-ES"/>
        </w:rPr>
        <w:t>el</w:t>
      </w:r>
      <w:r w:rsidR="00A30954" w:rsidRPr="008F2D43">
        <w:rPr>
          <w:rFonts w:cs="Arial"/>
          <w:sz w:val="26"/>
          <w:szCs w:val="26"/>
        </w:rPr>
        <w:t xml:space="preserve"> </w:t>
      </w:r>
      <w:r w:rsidR="00DE6AF3" w:rsidRPr="008F2D43">
        <w:rPr>
          <w:rFonts w:cs="Arial"/>
          <w:sz w:val="26"/>
          <w:szCs w:val="26"/>
        </w:rPr>
        <w:t>caso ha quedado</w:t>
      </w:r>
      <w:r w:rsidR="003E7AF7" w:rsidRPr="008F2D43">
        <w:rPr>
          <w:rFonts w:cs="Arial"/>
          <w:sz w:val="26"/>
          <w:szCs w:val="26"/>
        </w:rPr>
        <w:t xml:space="preserve"> </w:t>
      </w:r>
      <w:r w:rsidR="003D33E6" w:rsidRPr="008F2D43">
        <w:rPr>
          <w:rFonts w:cs="Arial"/>
          <w:sz w:val="26"/>
          <w:szCs w:val="26"/>
        </w:rPr>
        <w:t>acreditado que</w:t>
      </w:r>
      <w:r w:rsidR="00A30954" w:rsidRPr="008F2D43">
        <w:rPr>
          <w:rFonts w:cs="Arial"/>
          <w:sz w:val="26"/>
          <w:szCs w:val="26"/>
        </w:rPr>
        <w:t xml:space="preserve"> </w:t>
      </w:r>
      <w:r w:rsidR="003D33E6" w:rsidRPr="008F2D43">
        <w:rPr>
          <w:rFonts w:cs="Arial"/>
          <w:sz w:val="26"/>
          <w:szCs w:val="26"/>
        </w:rPr>
        <w:t xml:space="preserve">el personal </w:t>
      </w:r>
      <w:r w:rsidR="00217FEB" w:rsidRPr="008F2D43">
        <w:rPr>
          <w:rFonts w:cs="Arial"/>
          <w:sz w:val="26"/>
          <w:szCs w:val="26"/>
        </w:rPr>
        <w:t xml:space="preserve">del </w:t>
      </w:r>
      <w:r w:rsidR="003D33E6" w:rsidRPr="008F2D43">
        <w:rPr>
          <w:rFonts w:cs="Arial"/>
          <w:sz w:val="26"/>
          <w:szCs w:val="26"/>
        </w:rPr>
        <w:t>centro comercial “</w:t>
      </w:r>
      <w:r w:rsidR="003D33E6" w:rsidRPr="00A36289">
        <w:rPr>
          <w:rFonts w:cs="Arial"/>
          <w:sz w:val="26"/>
          <w:szCs w:val="26"/>
        </w:rPr>
        <w:t xml:space="preserve">Reforma 222” </w:t>
      </w:r>
      <w:r w:rsidR="008F2D43" w:rsidRPr="008F2D43">
        <w:rPr>
          <w:rFonts w:cs="Arial"/>
          <w:sz w:val="26"/>
          <w:szCs w:val="26"/>
        </w:rPr>
        <w:t>cometió</w:t>
      </w:r>
      <w:r w:rsidR="003D33E6" w:rsidRPr="008F2D43">
        <w:rPr>
          <w:rFonts w:cs="Arial"/>
          <w:sz w:val="26"/>
          <w:szCs w:val="26"/>
        </w:rPr>
        <w:t xml:space="preserve"> actos discriminatorios tanto en el área de sanitarios </w:t>
      </w:r>
      <w:r w:rsidR="003D33E6" w:rsidRPr="008F2D43">
        <w:rPr>
          <w:rFonts w:cs="Arial"/>
          <w:color w:val="4D5156"/>
          <w:sz w:val="26"/>
          <w:szCs w:val="26"/>
          <w:shd w:val="clear" w:color="auto" w:fill="FFFFFF"/>
        </w:rPr>
        <w:t>—</w:t>
      </w:r>
      <w:r w:rsidR="003D33E6" w:rsidRPr="008F2D43">
        <w:rPr>
          <w:rFonts w:cs="Arial"/>
          <w:sz w:val="26"/>
          <w:szCs w:val="26"/>
        </w:rPr>
        <w:t xml:space="preserve">en perjuicio de las señoras </w:t>
      </w:r>
      <w:r w:rsidR="003D33E6" w:rsidRPr="008F2D43">
        <w:rPr>
          <w:rFonts w:cs="Arial"/>
          <w:color w:val="FF0000"/>
          <w:sz w:val="26"/>
          <w:szCs w:val="26"/>
          <w:lang w:val="es-ES"/>
        </w:rPr>
        <w:t>DF</w:t>
      </w:r>
      <w:r w:rsidR="003D33E6" w:rsidRPr="008F2D43">
        <w:rPr>
          <w:rFonts w:cs="Arial"/>
          <w:sz w:val="26"/>
          <w:szCs w:val="26"/>
          <w:lang w:val="es-ES"/>
        </w:rPr>
        <w:t xml:space="preserve"> y </w:t>
      </w:r>
      <w:r w:rsidR="003D33E6" w:rsidRPr="008F2D43">
        <w:rPr>
          <w:rFonts w:cs="Arial"/>
          <w:color w:val="FF0000"/>
          <w:sz w:val="26"/>
          <w:szCs w:val="26"/>
          <w:lang w:val="es-ES"/>
        </w:rPr>
        <w:t>MF</w:t>
      </w:r>
      <w:r w:rsidR="003D33E6" w:rsidRPr="008F2D43">
        <w:rPr>
          <w:rFonts w:cs="Arial"/>
          <w:color w:val="000000" w:themeColor="text1"/>
          <w:sz w:val="26"/>
          <w:szCs w:val="26"/>
          <w:shd w:val="clear" w:color="auto" w:fill="FFFFFF"/>
        </w:rPr>
        <w:t>—</w:t>
      </w:r>
      <w:r w:rsidR="003D33E6" w:rsidRPr="008F2D43">
        <w:rPr>
          <w:rFonts w:cs="Arial"/>
          <w:sz w:val="26"/>
          <w:szCs w:val="26"/>
        </w:rPr>
        <w:t xml:space="preserve">, como en el módulo de atención a clientes </w:t>
      </w:r>
      <w:r w:rsidR="003D33E6" w:rsidRPr="008F2D43">
        <w:rPr>
          <w:rFonts w:cs="Arial"/>
          <w:color w:val="4D5156"/>
          <w:sz w:val="26"/>
          <w:szCs w:val="26"/>
          <w:shd w:val="clear" w:color="auto" w:fill="FFFFFF"/>
        </w:rPr>
        <w:t>—</w:t>
      </w:r>
      <w:r w:rsidR="003D33E6" w:rsidRPr="008F2D43">
        <w:rPr>
          <w:rFonts w:cs="Arial"/>
          <w:sz w:val="26"/>
          <w:szCs w:val="26"/>
        </w:rPr>
        <w:t xml:space="preserve">en contra de las señoras </w:t>
      </w:r>
      <w:r w:rsidR="003D33E6" w:rsidRPr="008F2D43">
        <w:rPr>
          <w:rFonts w:cs="Arial"/>
          <w:color w:val="FF0000"/>
          <w:sz w:val="26"/>
          <w:szCs w:val="26"/>
          <w:lang w:val="es-ES"/>
        </w:rPr>
        <w:t>DF</w:t>
      </w:r>
      <w:r w:rsidR="003D33E6" w:rsidRPr="008F2D43">
        <w:rPr>
          <w:rFonts w:cs="Arial"/>
          <w:sz w:val="26"/>
          <w:szCs w:val="26"/>
          <w:lang w:val="es-ES"/>
        </w:rPr>
        <w:t xml:space="preserve">, </w:t>
      </w:r>
      <w:r w:rsidR="003D33E6" w:rsidRPr="008F2D43">
        <w:rPr>
          <w:rFonts w:cs="Arial"/>
          <w:color w:val="FF0000"/>
          <w:sz w:val="26"/>
          <w:szCs w:val="26"/>
          <w:lang w:val="es-ES"/>
        </w:rPr>
        <w:t>MF</w:t>
      </w:r>
      <w:r w:rsidR="003D33E6" w:rsidRPr="008F2D43" w:rsidDel="00885800">
        <w:rPr>
          <w:rFonts w:cs="Arial"/>
          <w:sz w:val="26"/>
          <w:szCs w:val="26"/>
          <w:lang w:val="es-ES"/>
        </w:rPr>
        <w:t xml:space="preserve"> </w:t>
      </w:r>
      <w:r w:rsidR="003D33E6" w:rsidRPr="008F2D43">
        <w:rPr>
          <w:rFonts w:cs="Arial"/>
          <w:sz w:val="26"/>
          <w:szCs w:val="26"/>
          <w:lang w:val="es-ES"/>
        </w:rPr>
        <w:t xml:space="preserve">y </w:t>
      </w:r>
      <w:r w:rsidR="003D33E6" w:rsidRPr="008F2D43">
        <w:rPr>
          <w:rFonts w:cs="Arial"/>
          <w:color w:val="FF0000"/>
          <w:sz w:val="26"/>
          <w:szCs w:val="26"/>
          <w:lang w:val="es-ES"/>
        </w:rPr>
        <w:t>GB</w:t>
      </w:r>
      <w:r w:rsidR="00B86537" w:rsidRPr="008F2D43">
        <w:rPr>
          <w:rFonts w:cs="Arial"/>
          <w:sz w:val="26"/>
          <w:szCs w:val="26"/>
        </w:rPr>
        <w:t>. Asimismo, quedó acreditado que</w:t>
      </w:r>
      <w:r w:rsidR="005D6F09" w:rsidRPr="008F2D43">
        <w:rPr>
          <w:rFonts w:cs="Arial"/>
          <w:sz w:val="26"/>
          <w:szCs w:val="26"/>
        </w:rPr>
        <w:t xml:space="preserve"> tales hechos ilícitos generaron un</w:t>
      </w:r>
      <w:r w:rsidR="003D33E6" w:rsidRPr="008F2D43">
        <w:rPr>
          <w:rFonts w:cs="Arial"/>
          <w:sz w:val="26"/>
          <w:szCs w:val="26"/>
        </w:rPr>
        <w:t xml:space="preserve"> daño moral </w:t>
      </w:r>
      <w:r w:rsidR="005D6F09" w:rsidRPr="008F2D43">
        <w:rPr>
          <w:rFonts w:cs="Arial"/>
          <w:sz w:val="26"/>
          <w:szCs w:val="26"/>
        </w:rPr>
        <w:t xml:space="preserve">en la esfera de las señoras </w:t>
      </w:r>
      <w:r w:rsidR="005D6F09" w:rsidRPr="008F2D43">
        <w:rPr>
          <w:rFonts w:cs="Arial"/>
          <w:color w:val="FF0000"/>
          <w:sz w:val="26"/>
          <w:szCs w:val="26"/>
          <w:lang w:val="es-ES"/>
        </w:rPr>
        <w:t>DF</w:t>
      </w:r>
      <w:r w:rsidR="005D6F09" w:rsidRPr="008F2D43" w:rsidDel="00885800">
        <w:rPr>
          <w:rFonts w:cs="Arial"/>
          <w:sz w:val="26"/>
          <w:szCs w:val="26"/>
          <w:lang w:val="es-ES"/>
        </w:rPr>
        <w:t xml:space="preserve"> </w:t>
      </w:r>
      <w:r w:rsidR="005D6F09" w:rsidRPr="008F2D43">
        <w:rPr>
          <w:rFonts w:cs="Arial"/>
          <w:sz w:val="26"/>
          <w:szCs w:val="26"/>
          <w:lang w:val="es-ES"/>
        </w:rPr>
        <w:t xml:space="preserve">y </w:t>
      </w:r>
      <w:r w:rsidR="005D6F09" w:rsidRPr="008F2D43">
        <w:rPr>
          <w:rFonts w:cs="Arial"/>
          <w:color w:val="FF0000"/>
          <w:sz w:val="26"/>
          <w:szCs w:val="26"/>
          <w:lang w:val="es-ES"/>
        </w:rPr>
        <w:t>GB</w:t>
      </w:r>
      <w:r w:rsidR="00EC391C" w:rsidRPr="00D8669C">
        <w:rPr>
          <w:rFonts w:cs="Arial"/>
          <w:sz w:val="26"/>
          <w:szCs w:val="26"/>
        </w:rPr>
        <w:t xml:space="preserve">, y que existió un nexo causal entre los hechos ilícitos y el daño generado. </w:t>
      </w:r>
    </w:p>
    <w:p w14:paraId="313F3D67" w14:textId="77777777" w:rsidR="00F1540A" w:rsidRPr="00D8669C" w:rsidRDefault="00F1540A" w:rsidP="00742D58">
      <w:pPr>
        <w:pStyle w:val="corte4fondo"/>
        <w:ind w:right="51" w:firstLine="0"/>
        <w:rPr>
          <w:rFonts w:cs="Arial"/>
          <w:sz w:val="26"/>
          <w:szCs w:val="26"/>
        </w:rPr>
      </w:pPr>
    </w:p>
    <w:p w14:paraId="54E9AB56" w14:textId="3D5D2DCE" w:rsidR="00DE520F" w:rsidRPr="00D8669C" w:rsidRDefault="00BF15B5" w:rsidP="00263912">
      <w:pPr>
        <w:pStyle w:val="corte4fondo"/>
        <w:numPr>
          <w:ilvl w:val="0"/>
          <w:numId w:val="2"/>
        </w:numPr>
        <w:ind w:left="0" w:right="51" w:hanging="567"/>
        <w:rPr>
          <w:rFonts w:cs="Arial"/>
          <w:sz w:val="26"/>
          <w:szCs w:val="26"/>
        </w:rPr>
      </w:pPr>
      <w:r w:rsidRPr="00D8669C">
        <w:rPr>
          <w:rFonts w:cs="Arial"/>
          <w:sz w:val="26"/>
          <w:szCs w:val="26"/>
        </w:rPr>
        <w:t>Ahora, esta Sala advierte que, desde su escrito de demanda</w:t>
      </w:r>
      <w:r w:rsidR="00D8669C" w:rsidRPr="00D8669C">
        <w:rPr>
          <w:rFonts w:cs="Arial"/>
          <w:sz w:val="26"/>
          <w:szCs w:val="26"/>
        </w:rPr>
        <w:t xml:space="preserve"> inicial</w:t>
      </w:r>
      <w:r w:rsidR="005276D8">
        <w:rPr>
          <w:rFonts w:cs="Arial"/>
          <w:sz w:val="26"/>
          <w:szCs w:val="26"/>
        </w:rPr>
        <w:t xml:space="preserve"> </w:t>
      </w:r>
      <w:r w:rsidR="00FA296C">
        <w:rPr>
          <w:rFonts w:cs="Arial"/>
          <w:sz w:val="26"/>
          <w:szCs w:val="26"/>
        </w:rPr>
        <w:t>hasta</w:t>
      </w:r>
      <w:r w:rsidR="00D8669C" w:rsidRPr="00D8669C">
        <w:rPr>
          <w:rFonts w:cs="Arial"/>
          <w:sz w:val="26"/>
          <w:szCs w:val="26"/>
        </w:rPr>
        <w:t xml:space="preserve"> la demanda de amparo, las quejosas atribuyeron </w:t>
      </w:r>
      <w:r w:rsidR="00601F9D" w:rsidRPr="00D8669C">
        <w:rPr>
          <w:rFonts w:cs="Arial"/>
          <w:sz w:val="26"/>
          <w:szCs w:val="26"/>
        </w:rPr>
        <w:t xml:space="preserve">la </w:t>
      </w:r>
      <w:r w:rsidR="00DA65D2" w:rsidRPr="00D8669C">
        <w:rPr>
          <w:rFonts w:cs="Arial"/>
          <w:sz w:val="26"/>
          <w:szCs w:val="26"/>
        </w:rPr>
        <w:t xml:space="preserve">responsabilidad por </w:t>
      </w:r>
      <w:r w:rsidR="00601F9D" w:rsidRPr="00D8669C">
        <w:rPr>
          <w:rFonts w:cs="Arial"/>
          <w:sz w:val="26"/>
          <w:szCs w:val="26"/>
        </w:rPr>
        <w:t>el</w:t>
      </w:r>
      <w:r w:rsidR="00141F2D" w:rsidRPr="00D8669C">
        <w:rPr>
          <w:rFonts w:cs="Arial"/>
          <w:sz w:val="26"/>
          <w:szCs w:val="26"/>
        </w:rPr>
        <w:t xml:space="preserve"> daño moral</w:t>
      </w:r>
      <w:r w:rsidR="00601F9D" w:rsidRPr="00D8669C">
        <w:rPr>
          <w:rFonts w:cs="Arial"/>
          <w:sz w:val="26"/>
          <w:szCs w:val="26"/>
        </w:rPr>
        <w:t xml:space="preserve"> generado</w:t>
      </w:r>
      <w:r w:rsidR="005276D8">
        <w:rPr>
          <w:rFonts w:cs="Arial"/>
          <w:sz w:val="26"/>
          <w:szCs w:val="26"/>
        </w:rPr>
        <w:t xml:space="preserve"> en las señoras,</w:t>
      </w:r>
      <w:r w:rsidR="00141F2D" w:rsidRPr="00D8669C">
        <w:rPr>
          <w:rFonts w:cs="Arial"/>
          <w:sz w:val="26"/>
          <w:szCs w:val="26"/>
        </w:rPr>
        <w:t xml:space="preserve"> </w:t>
      </w:r>
      <w:r w:rsidR="00D8669C" w:rsidRPr="00D8669C">
        <w:rPr>
          <w:rFonts w:cs="Arial"/>
          <w:sz w:val="26"/>
          <w:szCs w:val="26"/>
        </w:rPr>
        <w:t xml:space="preserve">tanto a </w:t>
      </w:r>
      <w:r w:rsidR="00141F2D" w:rsidRPr="00D8669C">
        <w:rPr>
          <w:rFonts w:cs="Arial"/>
          <w:sz w:val="26"/>
          <w:szCs w:val="26"/>
        </w:rPr>
        <w:t xml:space="preserve">la persona moral </w:t>
      </w:r>
      <w:r w:rsidR="00141F2D" w:rsidRPr="00A36289">
        <w:rPr>
          <w:rFonts w:cs="Arial"/>
          <w:sz w:val="26"/>
          <w:szCs w:val="26"/>
        </w:rPr>
        <w:t>Protección Privada 2010</w:t>
      </w:r>
      <w:r w:rsidR="005C0789" w:rsidRPr="00A36289">
        <w:rPr>
          <w:rFonts w:cs="Arial"/>
          <w:sz w:val="26"/>
          <w:szCs w:val="26"/>
        </w:rPr>
        <w:t xml:space="preserve">, </w:t>
      </w:r>
      <w:r w:rsidR="00D8669C" w:rsidRPr="00A36289">
        <w:rPr>
          <w:rFonts w:cs="Arial"/>
          <w:sz w:val="26"/>
          <w:szCs w:val="26"/>
        </w:rPr>
        <w:t>como a</w:t>
      </w:r>
      <w:r w:rsidR="005C0789" w:rsidRPr="00A36289">
        <w:rPr>
          <w:rFonts w:cs="Arial"/>
          <w:sz w:val="26"/>
          <w:szCs w:val="26"/>
        </w:rPr>
        <w:t xml:space="preserve"> </w:t>
      </w:r>
      <w:r w:rsidR="00141F2D" w:rsidRPr="00A36289">
        <w:rPr>
          <w:rFonts w:cs="Arial"/>
          <w:sz w:val="26"/>
          <w:szCs w:val="26"/>
        </w:rPr>
        <w:t>Reforma 222</w:t>
      </w:r>
      <w:r w:rsidR="00D8669C" w:rsidRPr="00A36289">
        <w:rPr>
          <w:rFonts w:cs="Arial"/>
          <w:sz w:val="26"/>
          <w:szCs w:val="26"/>
        </w:rPr>
        <w:t>.</w:t>
      </w:r>
      <w:r w:rsidR="00536580" w:rsidRPr="00A36289">
        <w:rPr>
          <w:rFonts w:cs="Arial"/>
          <w:sz w:val="26"/>
          <w:szCs w:val="26"/>
        </w:rPr>
        <w:t xml:space="preserve"> </w:t>
      </w:r>
      <w:r w:rsidR="00B1638D" w:rsidRPr="00A36289">
        <w:rPr>
          <w:rFonts w:cs="Arial"/>
          <w:sz w:val="26"/>
          <w:szCs w:val="26"/>
        </w:rPr>
        <w:t>L</w:t>
      </w:r>
      <w:r w:rsidR="00536580" w:rsidRPr="00A36289">
        <w:rPr>
          <w:rFonts w:cs="Arial"/>
          <w:sz w:val="26"/>
          <w:szCs w:val="26"/>
        </w:rPr>
        <w:t xml:space="preserve">a sala </w:t>
      </w:r>
      <w:r w:rsidR="007C17CA" w:rsidRPr="00A36289">
        <w:rPr>
          <w:rFonts w:cs="Arial"/>
          <w:sz w:val="26"/>
          <w:szCs w:val="26"/>
        </w:rPr>
        <w:t xml:space="preserve">responsable </w:t>
      </w:r>
      <w:r w:rsidR="00536580" w:rsidRPr="00A36289">
        <w:rPr>
          <w:rFonts w:cs="Arial"/>
          <w:sz w:val="26"/>
          <w:szCs w:val="26"/>
        </w:rPr>
        <w:t>res</w:t>
      </w:r>
      <w:r w:rsidR="00536580" w:rsidRPr="00D8669C">
        <w:rPr>
          <w:rFonts w:cs="Arial"/>
          <w:sz w:val="26"/>
          <w:szCs w:val="26"/>
        </w:rPr>
        <w:t xml:space="preserve">olvió en un sentido similar, al atribuir los hechos discriminatorios ocurridos en el sanitario de mujeres a ambas personas morales. Sin embargo, la sala </w:t>
      </w:r>
      <w:r w:rsidR="007C17CA" w:rsidRPr="00D8669C">
        <w:rPr>
          <w:rFonts w:cs="Arial"/>
          <w:sz w:val="26"/>
          <w:szCs w:val="26"/>
        </w:rPr>
        <w:t>de apelación</w:t>
      </w:r>
      <w:r w:rsidR="00536580" w:rsidRPr="00D8669C">
        <w:rPr>
          <w:rFonts w:cs="Arial"/>
          <w:sz w:val="26"/>
          <w:szCs w:val="26"/>
        </w:rPr>
        <w:t xml:space="preserve"> determinó lo anterior </w:t>
      </w:r>
      <w:r w:rsidR="00B1638D" w:rsidRPr="00D8669C">
        <w:rPr>
          <w:rFonts w:cs="Arial"/>
          <w:sz w:val="26"/>
          <w:szCs w:val="26"/>
        </w:rPr>
        <w:t>en atención a</w:t>
      </w:r>
      <w:r w:rsidR="00536580" w:rsidRPr="00D8669C">
        <w:rPr>
          <w:rFonts w:cs="Arial"/>
          <w:sz w:val="26"/>
          <w:szCs w:val="26"/>
        </w:rPr>
        <w:t xml:space="preserve"> que, a su parecer, </w:t>
      </w:r>
      <w:r w:rsidR="007C17CA" w:rsidRPr="00D8669C">
        <w:rPr>
          <w:rFonts w:cs="Arial"/>
          <w:sz w:val="26"/>
          <w:szCs w:val="26"/>
        </w:rPr>
        <w:t xml:space="preserve">tal responsabilidad </w:t>
      </w:r>
      <w:r w:rsidR="009857E3" w:rsidRPr="00D8669C">
        <w:rPr>
          <w:rFonts w:cs="Arial"/>
          <w:sz w:val="26"/>
          <w:szCs w:val="26"/>
        </w:rPr>
        <w:t>derivaba del expediente del COPRED</w:t>
      </w:r>
      <w:r w:rsidR="00DE520F" w:rsidRPr="00D8669C">
        <w:rPr>
          <w:rFonts w:cs="Arial"/>
          <w:sz w:val="26"/>
          <w:szCs w:val="26"/>
        </w:rPr>
        <w:t xml:space="preserve">, por el que se probaba la discriminación cometida por </w:t>
      </w:r>
      <w:r w:rsidR="005953F2" w:rsidRPr="00D8669C">
        <w:rPr>
          <w:rFonts w:cs="Arial"/>
          <w:sz w:val="26"/>
          <w:szCs w:val="26"/>
        </w:rPr>
        <w:t>ambas</w:t>
      </w:r>
      <w:r w:rsidR="00DE520F" w:rsidRPr="00D8669C">
        <w:rPr>
          <w:rFonts w:cs="Arial"/>
          <w:sz w:val="26"/>
          <w:szCs w:val="26"/>
        </w:rPr>
        <w:t xml:space="preserve"> empresas</w:t>
      </w:r>
      <w:r w:rsidR="009857E3" w:rsidRPr="00D8669C">
        <w:rPr>
          <w:rFonts w:cs="Arial"/>
          <w:sz w:val="26"/>
          <w:szCs w:val="26"/>
        </w:rPr>
        <w:t>.</w:t>
      </w:r>
      <w:r w:rsidR="00972732" w:rsidRPr="00D8669C">
        <w:rPr>
          <w:rFonts w:cs="Arial"/>
          <w:sz w:val="26"/>
          <w:szCs w:val="26"/>
        </w:rPr>
        <w:t xml:space="preserve"> </w:t>
      </w:r>
    </w:p>
    <w:p w14:paraId="4B3BAE82" w14:textId="77777777" w:rsidR="00DE520F" w:rsidRPr="008178AC" w:rsidRDefault="00DE520F" w:rsidP="00263912">
      <w:pPr>
        <w:pStyle w:val="corte4fondo"/>
        <w:ind w:right="51" w:hanging="567"/>
        <w:rPr>
          <w:rFonts w:cs="Arial"/>
          <w:sz w:val="26"/>
          <w:szCs w:val="26"/>
        </w:rPr>
      </w:pPr>
    </w:p>
    <w:p w14:paraId="22695DAE" w14:textId="5C3444C5" w:rsidR="00804078" w:rsidRPr="00804078" w:rsidRDefault="00972732" w:rsidP="00263912">
      <w:pPr>
        <w:pStyle w:val="corte4fondo"/>
        <w:numPr>
          <w:ilvl w:val="0"/>
          <w:numId w:val="2"/>
        </w:numPr>
        <w:ind w:left="0" w:right="51" w:hanging="567"/>
        <w:rPr>
          <w:rFonts w:cs="Arial"/>
          <w:sz w:val="26"/>
          <w:szCs w:val="26"/>
        </w:rPr>
      </w:pPr>
      <w:r w:rsidRPr="008178AC">
        <w:rPr>
          <w:rFonts w:cs="Arial"/>
          <w:sz w:val="26"/>
          <w:szCs w:val="26"/>
        </w:rPr>
        <w:t>C</w:t>
      </w:r>
      <w:r w:rsidR="00DE520F" w:rsidRPr="008178AC">
        <w:rPr>
          <w:rFonts w:cs="Arial"/>
          <w:sz w:val="26"/>
          <w:szCs w:val="26"/>
        </w:rPr>
        <w:t xml:space="preserve">omo sostuvimos anteriormente, </w:t>
      </w:r>
      <w:r w:rsidRPr="008178AC">
        <w:rPr>
          <w:rFonts w:cs="Arial"/>
          <w:sz w:val="26"/>
          <w:szCs w:val="26"/>
        </w:rPr>
        <w:t xml:space="preserve">fue incorrecto que la sala de apelación estimara que las constancias de la conciliación ante el COPRED </w:t>
      </w:r>
      <w:r w:rsidR="00117CAD" w:rsidRPr="008178AC">
        <w:rPr>
          <w:rFonts w:cs="Arial"/>
          <w:sz w:val="26"/>
          <w:szCs w:val="26"/>
        </w:rPr>
        <w:t>implicaban automáticamente el acreditamiento</w:t>
      </w:r>
      <w:r w:rsidR="00E80137" w:rsidRPr="008178AC">
        <w:rPr>
          <w:rFonts w:cs="Arial"/>
          <w:sz w:val="26"/>
          <w:szCs w:val="26"/>
        </w:rPr>
        <w:t xml:space="preserve"> </w:t>
      </w:r>
      <w:r w:rsidR="00117CAD" w:rsidRPr="008178AC">
        <w:rPr>
          <w:rFonts w:cs="Arial"/>
          <w:sz w:val="26"/>
          <w:szCs w:val="26"/>
        </w:rPr>
        <w:t xml:space="preserve">de los hechos discriminatorios cometidos en el sanitario de mujeres. </w:t>
      </w:r>
      <w:r w:rsidR="00E80137" w:rsidRPr="008178AC">
        <w:rPr>
          <w:rFonts w:cs="Arial"/>
          <w:sz w:val="26"/>
          <w:szCs w:val="26"/>
        </w:rPr>
        <w:t>En el mismo sentido,</w:t>
      </w:r>
      <w:r w:rsidR="00CE3F3C" w:rsidRPr="008178AC">
        <w:rPr>
          <w:rFonts w:cs="Arial"/>
          <w:sz w:val="26"/>
          <w:szCs w:val="26"/>
        </w:rPr>
        <w:t xml:space="preserve"> </w:t>
      </w:r>
      <w:r w:rsidR="00E80137" w:rsidRPr="008178AC">
        <w:rPr>
          <w:rFonts w:cs="Arial"/>
          <w:sz w:val="26"/>
          <w:szCs w:val="26"/>
        </w:rPr>
        <w:t>no</w:t>
      </w:r>
      <w:r w:rsidR="00EC0F5D" w:rsidRPr="008178AC">
        <w:rPr>
          <w:rFonts w:cs="Arial"/>
          <w:sz w:val="26"/>
          <w:szCs w:val="26"/>
        </w:rPr>
        <w:t xml:space="preserve"> era adecuado </w:t>
      </w:r>
      <w:r w:rsidR="00E80137" w:rsidRPr="008178AC">
        <w:rPr>
          <w:rFonts w:cs="Arial"/>
          <w:sz w:val="26"/>
          <w:szCs w:val="26"/>
        </w:rPr>
        <w:t>atribuir la responsabilidad de ambas personas morales con base en el expediente del COPRED</w:t>
      </w:r>
      <w:r w:rsidR="00217134" w:rsidRPr="008178AC">
        <w:rPr>
          <w:rFonts w:cs="Arial"/>
          <w:sz w:val="26"/>
          <w:szCs w:val="26"/>
        </w:rPr>
        <w:t>, aunque</w:t>
      </w:r>
      <w:r w:rsidR="00CE3F3C" w:rsidRPr="008178AC">
        <w:rPr>
          <w:rFonts w:cs="Arial"/>
          <w:sz w:val="26"/>
          <w:szCs w:val="26"/>
        </w:rPr>
        <w:t xml:space="preserve"> sí </w:t>
      </w:r>
      <w:r w:rsidR="00C144C9" w:rsidRPr="008178AC">
        <w:rPr>
          <w:rFonts w:cs="Arial"/>
          <w:sz w:val="26"/>
          <w:szCs w:val="26"/>
        </w:rPr>
        <w:t xml:space="preserve">por </w:t>
      </w:r>
      <w:r w:rsidR="00E85C04" w:rsidRPr="008178AC">
        <w:rPr>
          <w:rFonts w:cs="Arial"/>
          <w:sz w:val="26"/>
          <w:szCs w:val="26"/>
        </w:rPr>
        <w:t>las razones siguientes</w:t>
      </w:r>
      <w:r w:rsidR="00472202" w:rsidRPr="008178AC">
        <w:rPr>
          <w:rFonts w:cs="Arial"/>
          <w:sz w:val="26"/>
          <w:szCs w:val="26"/>
        </w:rPr>
        <w:t xml:space="preserve">. </w:t>
      </w:r>
    </w:p>
    <w:p w14:paraId="2F892639" w14:textId="77777777" w:rsidR="00C144C9" w:rsidRDefault="00C144C9" w:rsidP="00C144C9">
      <w:pPr>
        <w:pStyle w:val="corte4fondo"/>
        <w:ind w:right="51" w:firstLine="0"/>
        <w:rPr>
          <w:rFonts w:cs="Arial"/>
          <w:sz w:val="26"/>
          <w:szCs w:val="26"/>
          <w:highlight w:val="yellow"/>
        </w:rPr>
      </w:pPr>
    </w:p>
    <w:p w14:paraId="49C97000" w14:textId="4C87C381" w:rsidR="00804078" w:rsidRPr="00A720B3" w:rsidRDefault="00804078" w:rsidP="00C144C9">
      <w:pPr>
        <w:pStyle w:val="corte4fondo"/>
        <w:ind w:right="51" w:firstLine="0"/>
        <w:rPr>
          <w:rFonts w:cs="Arial"/>
          <w:i/>
          <w:iCs/>
          <w:sz w:val="26"/>
          <w:szCs w:val="26"/>
        </w:rPr>
      </w:pPr>
      <w:r w:rsidRPr="00A720B3">
        <w:rPr>
          <w:rFonts w:cs="Arial"/>
          <w:i/>
          <w:iCs/>
          <w:sz w:val="26"/>
          <w:szCs w:val="26"/>
        </w:rPr>
        <w:t xml:space="preserve">a. Atribución de responsabilidad por los hechos cometidos por </w:t>
      </w:r>
      <w:r w:rsidR="00AA216F" w:rsidRPr="00A720B3">
        <w:rPr>
          <w:rFonts w:cs="Arial"/>
          <w:i/>
          <w:iCs/>
          <w:sz w:val="26"/>
          <w:szCs w:val="26"/>
        </w:rPr>
        <w:t xml:space="preserve">el personal </w:t>
      </w:r>
      <w:r w:rsidRPr="00A720B3">
        <w:rPr>
          <w:rFonts w:cs="Arial"/>
          <w:i/>
          <w:iCs/>
          <w:sz w:val="26"/>
          <w:szCs w:val="26"/>
        </w:rPr>
        <w:t>de seguridad</w:t>
      </w:r>
    </w:p>
    <w:p w14:paraId="010E9322" w14:textId="77777777" w:rsidR="00804078" w:rsidRPr="00EC79AD" w:rsidRDefault="00804078" w:rsidP="00C144C9">
      <w:pPr>
        <w:pStyle w:val="corte4fondo"/>
        <w:ind w:right="51" w:firstLine="0"/>
        <w:rPr>
          <w:rFonts w:cs="Arial"/>
          <w:sz w:val="26"/>
          <w:szCs w:val="26"/>
        </w:rPr>
      </w:pPr>
    </w:p>
    <w:p w14:paraId="35F6630A" w14:textId="234E7EB8" w:rsidR="0074172B" w:rsidRPr="00E14DA0" w:rsidRDefault="00EA41A3" w:rsidP="00263912">
      <w:pPr>
        <w:pStyle w:val="corte4fondo"/>
        <w:numPr>
          <w:ilvl w:val="0"/>
          <w:numId w:val="2"/>
        </w:numPr>
        <w:ind w:left="0" w:right="51" w:hanging="567"/>
        <w:rPr>
          <w:rFonts w:cs="Arial"/>
          <w:sz w:val="26"/>
          <w:szCs w:val="26"/>
        </w:rPr>
      </w:pPr>
      <w:r w:rsidRPr="00EC79AD">
        <w:rPr>
          <w:rFonts w:cs="Arial"/>
          <w:sz w:val="26"/>
          <w:szCs w:val="26"/>
        </w:rPr>
        <w:lastRenderedPageBreak/>
        <w:t>E</w:t>
      </w:r>
      <w:r w:rsidR="0074172B" w:rsidRPr="00EC79AD">
        <w:rPr>
          <w:rFonts w:cs="Arial"/>
          <w:color w:val="000000" w:themeColor="text1"/>
          <w:sz w:val="26"/>
          <w:szCs w:val="26"/>
        </w:rPr>
        <w:t>l artículo 1924</w:t>
      </w:r>
      <w:r w:rsidRPr="00EC79AD">
        <w:rPr>
          <w:rFonts w:cs="Arial"/>
          <w:color w:val="000000" w:themeColor="text1"/>
          <w:sz w:val="26"/>
          <w:szCs w:val="26"/>
        </w:rPr>
        <w:t xml:space="preserve"> </w:t>
      </w:r>
      <w:r w:rsidRPr="00EC79AD">
        <w:rPr>
          <w:rFonts w:cs="Arial"/>
          <w:bCs/>
          <w:color w:val="000000" w:themeColor="text1"/>
          <w:sz w:val="26"/>
          <w:szCs w:val="26"/>
        </w:rPr>
        <w:t xml:space="preserve">del </w:t>
      </w:r>
      <w:r w:rsidRPr="00EC79AD">
        <w:rPr>
          <w:rFonts w:cs="Arial"/>
          <w:color w:val="000000" w:themeColor="text1"/>
          <w:sz w:val="26"/>
          <w:szCs w:val="26"/>
        </w:rPr>
        <w:t>Código Civil para el Distrito Federal</w:t>
      </w:r>
      <w:r w:rsidR="0074172B" w:rsidRPr="00EC79AD">
        <w:rPr>
          <w:rFonts w:cs="Arial"/>
          <w:color w:val="000000" w:themeColor="text1"/>
          <w:sz w:val="26"/>
          <w:szCs w:val="26"/>
        </w:rPr>
        <w:t xml:space="preserve"> dispone que los patrones y dueños de establecimientos mercantiles están obligados a responder de los daños y perjuicios causados por sus dependientes en el ejercicio de sus funciones, salvo que demuestren que en la comisión del daño no se les puede imputar ninguna culpa o negligencia</w:t>
      </w:r>
      <w:r w:rsidR="0074172B" w:rsidRPr="00EC79AD">
        <w:rPr>
          <w:rStyle w:val="Refdenotaalpie"/>
          <w:rFonts w:cs="Arial"/>
          <w:color w:val="000000" w:themeColor="text1"/>
          <w:sz w:val="26"/>
          <w:szCs w:val="26"/>
        </w:rPr>
        <w:footnoteReference w:id="135"/>
      </w:r>
      <w:r w:rsidR="0074172B" w:rsidRPr="00EC79AD">
        <w:rPr>
          <w:rFonts w:cs="Arial"/>
          <w:color w:val="000000" w:themeColor="text1"/>
          <w:sz w:val="26"/>
          <w:szCs w:val="26"/>
        </w:rPr>
        <w:t>.</w:t>
      </w:r>
      <w:r w:rsidR="0074172B" w:rsidRPr="00EC79AD">
        <w:rPr>
          <w:rFonts w:cs="Arial"/>
          <w:sz w:val="26"/>
          <w:szCs w:val="26"/>
        </w:rPr>
        <w:t xml:space="preserve"> </w:t>
      </w:r>
      <w:r w:rsidR="00EA37A1" w:rsidRPr="00EC79AD">
        <w:rPr>
          <w:rFonts w:cs="Arial"/>
          <w:sz w:val="26"/>
          <w:szCs w:val="26"/>
        </w:rPr>
        <w:t>C</w:t>
      </w:r>
      <w:r w:rsidRPr="00EC79AD">
        <w:rPr>
          <w:rFonts w:cs="Arial"/>
          <w:sz w:val="26"/>
          <w:szCs w:val="26"/>
        </w:rPr>
        <w:t xml:space="preserve">omo señalamos en apartados precedentes, este artículo prevé la responsabilidad </w:t>
      </w:r>
      <w:r w:rsidR="000272E2" w:rsidRPr="00EC79AD">
        <w:rPr>
          <w:rFonts w:cs="Arial"/>
          <w:sz w:val="26"/>
          <w:szCs w:val="26"/>
        </w:rPr>
        <w:t xml:space="preserve">por actos de terceros de </w:t>
      </w:r>
      <w:r w:rsidR="000272E2" w:rsidRPr="00EC79AD">
        <w:rPr>
          <w:rFonts w:cs="Arial"/>
          <w:color w:val="000000" w:themeColor="text1"/>
          <w:sz w:val="26"/>
          <w:szCs w:val="26"/>
        </w:rPr>
        <w:t xml:space="preserve">los patrones </w:t>
      </w:r>
      <w:r w:rsidR="003B66EB" w:rsidRPr="00EC79AD">
        <w:rPr>
          <w:rFonts w:cs="Arial"/>
          <w:color w:val="000000" w:themeColor="text1"/>
          <w:sz w:val="26"/>
          <w:szCs w:val="26"/>
        </w:rPr>
        <w:t xml:space="preserve">o dueños de </w:t>
      </w:r>
      <w:r w:rsidR="00203809" w:rsidRPr="00EC79AD">
        <w:rPr>
          <w:rFonts w:cs="Arial"/>
          <w:color w:val="000000" w:themeColor="text1"/>
          <w:sz w:val="26"/>
          <w:szCs w:val="26"/>
        </w:rPr>
        <w:t>comercios</w:t>
      </w:r>
      <w:r w:rsidR="003B66EB" w:rsidRPr="00EC79AD">
        <w:rPr>
          <w:rFonts w:cs="Arial"/>
          <w:color w:val="000000" w:themeColor="text1"/>
          <w:sz w:val="26"/>
          <w:szCs w:val="26"/>
        </w:rPr>
        <w:t>, respecto de sus trabajadores o dependiente</w:t>
      </w:r>
      <w:r w:rsidR="003B66EB" w:rsidRPr="00E14DA0">
        <w:rPr>
          <w:rFonts w:cs="Arial"/>
          <w:color w:val="000000" w:themeColor="text1"/>
          <w:sz w:val="26"/>
          <w:szCs w:val="26"/>
        </w:rPr>
        <w:t xml:space="preserve">s. </w:t>
      </w:r>
    </w:p>
    <w:p w14:paraId="0E041E29" w14:textId="77777777" w:rsidR="00043B41" w:rsidRPr="00E14DA0" w:rsidRDefault="00043B41" w:rsidP="00263912">
      <w:pPr>
        <w:pStyle w:val="corte4fondo"/>
        <w:ind w:right="51" w:hanging="567"/>
        <w:rPr>
          <w:rFonts w:cs="Arial"/>
          <w:sz w:val="26"/>
          <w:szCs w:val="26"/>
        </w:rPr>
      </w:pPr>
    </w:p>
    <w:p w14:paraId="64C02F15" w14:textId="563BABE0" w:rsidR="00901A60" w:rsidRPr="00A36289" w:rsidRDefault="00043B41" w:rsidP="00263912">
      <w:pPr>
        <w:pStyle w:val="corte4fondo"/>
        <w:numPr>
          <w:ilvl w:val="0"/>
          <w:numId w:val="2"/>
        </w:numPr>
        <w:ind w:left="0" w:right="51" w:hanging="567"/>
        <w:rPr>
          <w:rFonts w:cs="Arial"/>
          <w:sz w:val="26"/>
          <w:szCs w:val="26"/>
        </w:rPr>
      </w:pPr>
      <w:r w:rsidRPr="00E14DA0">
        <w:rPr>
          <w:rFonts w:cs="Arial"/>
          <w:sz w:val="26"/>
          <w:szCs w:val="26"/>
        </w:rPr>
        <w:t>En atención al precepto anterior</w:t>
      </w:r>
      <w:r w:rsidR="00AE1334" w:rsidRPr="00E14DA0">
        <w:rPr>
          <w:rFonts w:cs="Arial"/>
          <w:sz w:val="26"/>
          <w:szCs w:val="26"/>
        </w:rPr>
        <w:t xml:space="preserve">, </w:t>
      </w:r>
      <w:r w:rsidR="00203809" w:rsidRPr="00E14DA0">
        <w:rPr>
          <w:rFonts w:cs="Arial"/>
          <w:sz w:val="26"/>
          <w:szCs w:val="26"/>
        </w:rPr>
        <w:t xml:space="preserve">esta Primera Sala considera que, </w:t>
      </w:r>
      <w:r w:rsidR="007A1EBA" w:rsidRPr="00E14DA0">
        <w:rPr>
          <w:rFonts w:cs="Arial"/>
          <w:sz w:val="26"/>
          <w:szCs w:val="26"/>
        </w:rPr>
        <w:t xml:space="preserve">al </w:t>
      </w:r>
      <w:r w:rsidR="008B12FA" w:rsidRPr="00E14DA0">
        <w:rPr>
          <w:rFonts w:cs="Arial"/>
          <w:sz w:val="26"/>
          <w:szCs w:val="26"/>
        </w:rPr>
        <w:t>haberse</w:t>
      </w:r>
      <w:r w:rsidR="007A1EBA" w:rsidRPr="00E14DA0">
        <w:rPr>
          <w:rFonts w:cs="Arial"/>
          <w:sz w:val="26"/>
          <w:szCs w:val="26"/>
        </w:rPr>
        <w:t xml:space="preserve"> acreditado que la empresa de </w:t>
      </w:r>
      <w:r w:rsidR="007A1EBA" w:rsidRPr="00A36289">
        <w:rPr>
          <w:rFonts w:cs="Arial"/>
          <w:sz w:val="26"/>
          <w:szCs w:val="26"/>
        </w:rPr>
        <w:t xml:space="preserve">seguridad Protección Privada 2010 </w:t>
      </w:r>
      <w:r w:rsidR="007A1EBA" w:rsidRPr="00E14DA0">
        <w:rPr>
          <w:rFonts w:cs="Arial"/>
          <w:sz w:val="26"/>
          <w:szCs w:val="26"/>
        </w:rPr>
        <w:t>era la empleadora de los guardias de seguridad que cometieron los malos tratos en perjuicio de las quejosas</w:t>
      </w:r>
      <w:r w:rsidR="00E14DA0" w:rsidRPr="00E14DA0">
        <w:rPr>
          <w:rFonts w:cs="Arial"/>
          <w:sz w:val="26"/>
          <w:szCs w:val="26"/>
        </w:rPr>
        <w:t xml:space="preserve"> (tanto en los sanitarios de mujeres, como en el módulo de quejas)</w:t>
      </w:r>
      <w:r w:rsidR="007A1EBA" w:rsidRPr="00E14DA0">
        <w:rPr>
          <w:rFonts w:cs="Arial"/>
          <w:sz w:val="26"/>
          <w:szCs w:val="26"/>
        </w:rPr>
        <w:t xml:space="preserve">, </w:t>
      </w:r>
      <w:r w:rsidR="00CE77E9" w:rsidRPr="00E14DA0">
        <w:rPr>
          <w:rFonts w:cs="Arial"/>
          <w:sz w:val="26"/>
          <w:szCs w:val="26"/>
        </w:rPr>
        <w:t>esta</w:t>
      </w:r>
      <w:r w:rsidR="007A1EBA" w:rsidRPr="00E14DA0">
        <w:rPr>
          <w:rFonts w:cs="Arial"/>
          <w:sz w:val="26"/>
          <w:szCs w:val="26"/>
        </w:rPr>
        <w:t xml:space="preserve"> persona moral es responsable d</w:t>
      </w:r>
      <w:r w:rsidR="00901A60" w:rsidRPr="00E14DA0">
        <w:rPr>
          <w:rFonts w:cs="Arial"/>
          <w:sz w:val="26"/>
          <w:szCs w:val="26"/>
        </w:rPr>
        <w:t>el daño moral causado por sus dependientes</w:t>
      </w:r>
      <w:r w:rsidR="00720DFD" w:rsidRPr="00E14DA0">
        <w:rPr>
          <w:rFonts w:cs="Arial"/>
          <w:sz w:val="26"/>
          <w:szCs w:val="26"/>
        </w:rPr>
        <w:t xml:space="preserve">. Ello, pues los </w:t>
      </w:r>
      <w:r w:rsidR="00F078BF" w:rsidRPr="00E14DA0">
        <w:rPr>
          <w:rFonts w:cs="Arial"/>
          <w:sz w:val="26"/>
          <w:szCs w:val="26"/>
        </w:rPr>
        <w:t>trabajadores</w:t>
      </w:r>
      <w:r w:rsidR="00720DFD" w:rsidRPr="00E14DA0">
        <w:rPr>
          <w:rFonts w:cs="Arial"/>
          <w:sz w:val="26"/>
          <w:szCs w:val="26"/>
        </w:rPr>
        <w:t xml:space="preserve"> fueron </w:t>
      </w:r>
      <w:r w:rsidR="00901A60" w:rsidRPr="00E14DA0">
        <w:rPr>
          <w:rFonts w:cs="Arial"/>
          <w:sz w:val="26"/>
          <w:szCs w:val="26"/>
        </w:rPr>
        <w:t xml:space="preserve">quienes </w:t>
      </w:r>
      <w:r w:rsidR="00A42AF2" w:rsidRPr="00E14DA0">
        <w:rPr>
          <w:rFonts w:cs="Arial"/>
          <w:sz w:val="26"/>
          <w:szCs w:val="26"/>
        </w:rPr>
        <w:t>causaron</w:t>
      </w:r>
      <w:r w:rsidR="00901A60" w:rsidRPr="00E14DA0">
        <w:rPr>
          <w:rFonts w:cs="Arial"/>
          <w:sz w:val="26"/>
          <w:szCs w:val="26"/>
        </w:rPr>
        <w:t xml:space="preserve"> tal daño</w:t>
      </w:r>
      <w:r w:rsidR="00413CAC" w:rsidRPr="00E14DA0">
        <w:rPr>
          <w:rFonts w:cs="Arial"/>
          <w:sz w:val="26"/>
          <w:szCs w:val="26"/>
        </w:rPr>
        <w:t xml:space="preserve"> a las actoras,</w:t>
      </w:r>
      <w:r w:rsidR="00901A60" w:rsidRPr="00E14DA0">
        <w:rPr>
          <w:rFonts w:cs="Arial"/>
          <w:sz w:val="26"/>
          <w:szCs w:val="26"/>
        </w:rPr>
        <w:t xml:space="preserve"> en </w:t>
      </w:r>
      <w:r w:rsidR="007A2A77" w:rsidRPr="00E14DA0">
        <w:rPr>
          <w:rFonts w:cs="Arial"/>
          <w:sz w:val="26"/>
          <w:szCs w:val="26"/>
        </w:rPr>
        <w:t>ejercicio</w:t>
      </w:r>
      <w:r w:rsidR="00901A60" w:rsidRPr="00E14DA0">
        <w:rPr>
          <w:rFonts w:cs="Arial"/>
          <w:sz w:val="26"/>
          <w:szCs w:val="26"/>
        </w:rPr>
        <w:t xml:space="preserve"> de s</w:t>
      </w:r>
      <w:r w:rsidR="00901A60" w:rsidRPr="001743C1">
        <w:rPr>
          <w:rFonts w:cs="Arial"/>
          <w:sz w:val="26"/>
          <w:szCs w:val="26"/>
        </w:rPr>
        <w:t>us funciones como guardias de seguridad</w:t>
      </w:r>
      <w:r w:rsidR="00A42AF2" w:rsidRPr="001743C1">
        <w:rPr>
          <w:rFonts w:cs="Arial"/>
          <w:sz w:val="26"/>
          <w:szCs w:val="26"/>
        </w:rPr>
        <w:t xml:space="preserve"> del centro </w:t>
      </w:r>
      <w:r w:rsidR="00A42AF2" w:rsidRPr="00A36289">
        <w:rPr>
          <w:rFonts w:cs="Arial"/>
          <w:sz w:val="26"/>
          <w:szCs w:val="26"/>
        </w:rPr>
        <w:t>comercial “Reforma 222”</w:t>
      </w:r>
      <w:r w:rsidR="00901A60" w:rsidRPr="00A36289">
        <w:rPr>
          <w:rFonts w:cs="Arial"/>
          <w:sz w:val="26"/>
          <w:szCs w:val="26"/>
        </w:rPr>
        <w:t>.</w:t>
      </w:r>
    </w:p>
    <w:p w14:paraId="47B08ADF" w14:textId="77777777" w:rsidR="00901A60" w:rsidRPr="00A36289" w:rsidRDefault="00901A60" w:rsidP="00263912">
      <w:pPr>
        <w:pStyle w:val="corte4fondo"/>
        <w:ind w:right="51" w:hanging="567"/>
        <w:rPr>
          <w:rFonts w:cs="Arial"/>
          <w:sz w:val="26"/>
          <w:szCs w:val="26"/>
        </w:rPr>
      </w:pPr>
    </w:p>
    <w:p w14:paraId="5649FA36" w14:textId="06EDB140" w:rsidR="00272B95" w:rsidRPr="00A36289" w:rsidRDefault="00C0728D" w:rsidP="00263912">
      <w:pPr>
        <w:pStyle w:val="corte4fondo"/>
        <w:numPr>
          <w:ilvl w:val="0"/>
          <w:numId w:val="2"/>
        </w:numPr>
        <w:ind w:left="0" w:right="51" w:hanging="567"/>
        <w:rPr>
          <w:rFonts w:cs="Arial"/>
          <w:sz w:val="26"/>
          <w:szCs w:val="26"/>
        </w:rPr>
      </w:pPr>
      <w:r w:rsidRPr="00A36289">
        <w:rPr>
          <w:rFonts w:cs="Arial"/>
          <w:sz w:val="26"/>
          <w:szCs w:val="26"/>
        </w:rPr>
        <w:t>Por su parte</w:t>
      </w:r>
      <w:r w:rsidR="00A42AF2" w:rsidRPr="00A36289">
        <w:rPr>
          <w:rFonts w:cs="Arial"/>
          <w:sz w:val="26"/>
          <w:szCs w:val="26"/>
        </w:rPr>
        <w:t xml:space="preserve">, esta Suprema Corte considera que el artículo 1924 referido también permite atribuir la responsabilidad </w:t>
      </w:r>
      <w:r w:rsidR="00F70C4B" w:rsidRPr="00A36289">
        <w:rPr>
          <w:rFonts w:cs="Arial"/>
          <w:sz w:val="26"/>
          <w:szCs w:val="26"/>
        </w:rPr>
        <w:t xml:space="preserve">por </w:t>
      </w:r>
      <w:r w:rsidR="001743C1" w:rsidRPr="00A36289">
        <w:rPr>
          <w:rFonts w:cs="Arial"/>
          <w:sz w:val="26"/>
          <w:szCs w:val="26"/>
        </w:rPr>
        <w:t>tales</w:t>
      </w:r>
      <w:r w:rsidR="00F70C4B" w:rsidRPr="00A36289">
        <w:rPr>
          <w:rFonts w:cs="Arial"/>
          <w:sz w:val="26"/>
          <w:szCs w:val="26"/>
        </w:rPr>
        <w:t xml:space="preserve"> hechos discriminatorios</w:t>
      </w:r>
      <w:r w:rsidR="006C1527" w:rsidRPr="00A36289">
        <w:rPr>
          <w:rFonts w:cs="Arial"/>
          <w:sz w:val="26"/>
          <w:szCs w:val="26"/>
        </w:rPr>
        <w:t>,</w:t>
      </w:r>
      <w:r w:rsidR="00F70C4B" w:rsidRPr="00A36289">
        <w:rPr>
          <w:rFonts w:cs="Arial"/>
          <w:sz w:val="26"/>
          <w:szCs w:val="26"/>
        </w:rPr>
        <w:t xml:space="preserve"> a Reforma 222. </w:t>
      </w:r>
      <w:r w:rsidR="00DF588D" w:rsidRPr="00A36289">
        <w:rPr>
          <w:rFonts w:cs="Arial"/>
          <w:sz w:val="26"/>
          <w:szCs w:val="26"/>
        </w:rPr>
        <w:t>Como</w:t>
      </w:r>
      <w:r w:rsidR="00033049" w:rsidRPr="00A36289">
        <w:rPr>
          <w:rFonts w:cs="Arial"/>
          <w:sz w:val="26"/>
          <w:szCs w:val="26"/>
        </w:rPr>
        <w:t xml:space="preserve"> </w:t>
      </w:r>
      <w:r w:rsidR="00871BDB" w:rsidRPr="00A36289">
        <w:rPr>
          <w:rFonts w:cs="Arial"/>
          <w:sz w:val="26"/>
          <w:szCs w:val="26"/>
        </w:rPr>
        <w:t xml:space="preserve">la propia persona moral </w:t>
      </w:r>
      <w:r w:rsidR="00871BDB" w:rsidRPr="001743C1">
        <w:rPr>
          <w:rFonts w:cs="Arial"/>
          <w:sz w:val="26"/>
          <w:szCs w:val="26"/>
        </w:rPr>
        <w:t xml:space="preserve">sostuvo en el juicio civil, </w:t>
      </w:r>
      <w:r w:rsidR="00EA783C" w:rsidRPr="001743C1">
        <w:rPr>
          <w:rFonts w:cs="Arial"/>
          <w:sz w:val="26"/>
          <w:szCs w:val="26"/>
        </w:rPr>
        <w:t>éste se dedica a</w:t>
      </w:r>
      <w:r w:rsidR="00033049" w:rsidRPr="001743C1">
        <w:rPr>
          <w:rFonts w:cs="Arial"/>
          <w:sz w:val="26"/>
          <w:szCs w:val="26"/>
        </w:rPr>
        <w:t xml:space="preserve"> “</w:t>
      </w:r>
      <w:r w:rsidR="000D0633" w:rsidRPr="001743C1">
        <w:rPr>
          <w:rFonts w:cs="Arial"/>
          <w:sz w:val="26"/>
          <w:szCs w:val="26"/>
        </w:rPr>
        <w:t xml:space="preserve">a la promoción, operación, administración y mantenimiento del centro comercial </w:t>
      </w:r>
      <w:r w:rsidR="000D0633" w:rsidRPr="00A36289">
        <w:rPr>
          <w:rFonts w:cs="Arial"/>
          <w:sz w:val="26"/>
          <w:szCs w:val="26"/>
        </w:rPr>
        <w:t>‘Reforma 222’</w:t>
      </w:r>
      <w:r w:rsidR="00033049" w:rsidRPr="00A36289">
        <w:rPr>
          <w:rFonts w:cs="Arial"/>
          <w:sz w:val="26"/>
          <w:szCs w:val="26"/>
        </w:rPr>
        <w:t>”</w:t>
      </w:r>
      <w:r w:rsidR="000D0633" w:rsidRPr="00A36289">
        <w:rPr>
          <w:rStyle w:val="Refdenotaalpie"/>
          <w:rFonts w:cs="Arial"/>
          <w:sz w:val="26"/>
          <w:szCs w:val="26"/>
        </w:rPr>
        <w:footnoteReference w:id="136"/>
      </w:r>
      <w:r w:rsidR="00EA783C" w:rsidRPr="00A36289">
        <w:rPr>
          <w:rFonts w:cs="Arial"/>
          <w:sz w:val="26"/>
          <w:szCs w:val="26"/>
        </w:rPr>
        <w:t xml:space="preserve">. En ese sentido, </w:t>
      </w:r>
      <w:r w:rsidR="0035199E" w:rsidRPr="00A36289">
        <w:rPr>
          <w:rFonts w:cs="Arial"/>
          <w:sz w:val="26"/>
          <w:szCs w:val="26"/>
        </w:rPr>
        <w:t xml:space="preserve">Reforma 222 </w:t>
      </w:r>
      <w:r w:rsidR="008963CA" w:rsidRPr="00A36289">
        <w:rPr>
          <w:rFonts w:cs="Arial"/>
          <w:sz w:val="26"/>
          <w:szCs w:val="26"/>
        </w:rPr>
        <w:t>es</w:t>
      </w:r>
      <w:r w:rsidR="00EA783C" w:rsidRPr="00A36289">
        <w:rPr>
          <w:rFonts w:cs="Arial"/>
          <w:sz w:val="26"/>
          <w:szCs w:val="26"/>
        </w:rPr>
        <w:t xml:space="preserve"> la encargada de</w:t>
      </w:r>
      <w:r w:rsidR="008963CA" w:rsidRPr="00A36289">
        <w:rPr>
          <w:rFonts w:cs="Arial"/>
          <w:sz w:val="26"/>
          <w:szCs w:val="26"/>
        </w:rPr>
        <w:t xml:space="preserve"> la operación del centro comercial</w:t>
      </w:r>
      <w:r w:rsidR="0035199E" w:rsidRPr="00A36289">
        <w:rPr>
          <w:rFonts w:cs="Arial"/>
          <w:sz w:val="26"/>
          <w:szCs w:val="26"/>
        </w:rPr>
        <w:t xml:space="preserve"> con el mismo nombre</w:t>
      </w:r>
      <w:r w:rsidR="008963CA" w:rsidRPr="00A36289">
        <w:rPr>
          <w:rFonts w:cs="Arial"/>
          <w:sz w:val="26"/>
          <w:szCs w:val="26"/>
        </w:rPr>
        <w:t xml:space="preserve">, entre cuyas actuaciones </w:t>
      </w:r>
      <w:r w:rsidR="0035199E" w:rsidRPr="00A36289">
        <w:rPr>
          <w:rFonts w:cs="Arial"/>
          <w:sz w:val="26"/>
          <w:szCs w:val="26"/>
        </w:rPr>
        <w:t xml:space="preserve">de mando </w:t>
      </w:r>
      <w:r w:rsidR="00C050A1" w:rsidRPr="00A36289">
        <w:rPr>
          <w:rFonts w:cs="Arial"/>
          <w:sz w:val="26"/>
          <w:szCs w:val="26"/>
        </w:rPr>
        <w:t>determinó que Protección Privada 2010</w:t>
      </w:r>
      <w:r w:rsidR="00215145" w:rsidRPr="00A36289">
        <w:rPr>
          <w:rFonts w:cs="Arial"/>
          <w:sz w:val="26"/>
          <w:szCs w:val="26"/>
        </w:rPr>
        <w:t xml:space="preserve">, como su dependiente, </w:t>
      </w:r>
      <w:r w:rsidR="0035199E" w:rsidRPr="00A36289">
        <w:rPr>
          <w:rFonts w:cs="Arial"/>
          <w:sz w:val="26"/>
          <w:szCs w:val="26"/>
        </w:rPr>
        <w:t>brindar</w:t>
      </w:r>
      <w:r w:rsidR="00391B1C" w:rsidRPr="00A36289">
        <w:rPr>
          <w:rFonts w:cs="Arial"/>
          <w:sz w:val="26"/>
          <w:szCs w:val="26"/>
        </w:rPr>
        <w:t>a</w:t>
      </w:r>
      <w:r w:rsidR="00C050A1" w:rsidRPr="00A36289">
        <w:rPr>
          <w:rFonts w:cs="Arial"/>
          <w:sz w:val="26"/>
          <w:szCs w:val="26"/>
        </w:rPr>
        <w:t xml:space="preserve"> la seguridad o asisti</w:t>
      </w:r>
      <w:r w:rsidR="001743C1" w:rsidRPr="00A36289">
        <w:rPr>
          <w:rFonts w:cs="Arial"/>
          <w:sz w:val="26"/>
          <w:szCs w:val="26"/>
        </w:rPr>
        <w:t>era</w:t>
      </w:r>
      <w:r w:rsidR="00C050A1" w:rsidRPr="00A36289">
        <w:rPr>
          <w:rFonts w:cs="Arial"/>
          <w:sz w:val="26"/>
          <w:szCs w:val="26"/>
        </w:rPr>
        <w:t xml:space="preserve"> a las personas que accedieran y/o hicieran uso de las instalaciones del centro comercia</w:t>
      </w:r>
      <w:r w:rsidR="00EE2A3E" w:rsidRPr="00A36289">
        <w:rPr>
          <w:rFonts w:cs="Arial"/>
          <w:sz w:val="26"/>
          <w:szCs w:val="26"/>
        </w:rPr>
        <w:t>l</w:t>
      </w:r>
      <w:r w:rsidR="00C050A1" w:rsidRPr="00A36289">
        <w:rPr>
          <w:rFonts w:cs="Arial"/>
          <w:sz w:val="26"/>
          <w:szCs w:val="26"/>
        </w:rPr>
        <w:t xml:space="preserve">. </w:t>
      </w:r>
    </w:p>
    <w:p w14:paraId="4A49D704" w14:textId="77777777" w:rsidR="00272B95" w:rsidRPr="00A36289" w:rsidRDefault="00272B95" w:rsidP="00263912">
      <w:pPr>
        <w:pStyle w:val="corte4fondo"/>
        <w:ind w:right="51" w:hanging="567"/>
        <w:rPr>
          <w:rFonts w:cs="Arial"/>
          <w:sz w:val="26"/>
          <w:szCs w:val="26"/>
        </w:rPr>
      </w:pPr>
    </w:p>
    <w:p w14:paraId="7A3867CC" w14:textId="6E81A310" w:rsidR="000D0633" w:rsidRPr="00A36289" w:rsidRDefault="00CF15D4" w:rsidP="00263912">
      <w:pPr>
        <w:pStyle w:val="corte4fondo"/>
        <w:numPr>
          <w:ilvl w:val="0"/>
          <w:numId w:val="2"/>
        </w:numPr>
        <w:ind w:left="0" w:right="51" w:hanging="567"/>
        <w:rPr>
          <w:rFonts w:cs="Arial"/>
          <w:sz w:val="26"/>
          <w:szCs w:val="26"/>
        </w:rPr>
      </w:pPr>
      <w:r w:rsidRPr="00A36289">
        <w:rPr>
          <w:rFonts w:cs="Arial"/>
          <w:sz w:val="26"/>
          <w:szCs w:val="26"/>
        </w:rPr>
        <w:t xml:space="preserve">Así, Reforma 222 </w:t>
      </w:r>
      <w:r w:rsidR="00EE2A3E" w:rsidRPr="00A36289">
        <w:rPr>
          <w:rFonts w:cs="Arial"/>
          <w:sz w:val="26"/>
          <w:szCs w:val="26"/>
        </w:rPr>
        <w:t>era</w:t>
      </w:r>
      <w:r w:rsidRPr="00A36289">
        <w:rPr>
          <w:rFonts w:cs="Arial"/>
          <w:sz w:val="26"/>
          <w:szCs w:val="26"/>
        </w:rPr>
        <w:t xml:space="preserve"> </w:t>
      </w:r>
      <w:r w:rsidR="00EE2A3E" w:rsidRPr="00A36289">
        <w:rPr>
          <w:rFonts w:cs="Arial"/>
          <w:sz w:val="26"/>
          <w:szCs w:val="26"/>
        </w:rPr>
        <w:t>responsable de</w:t>
      </w:r>
      <w:r w:rsidRPr="00A36289">
        <w:rPr>
          <w:rFonts w:cs="Arial"/>
          <w:sz w:val="26"/>
          <w:szCs w:val="26"/>
        </w:rPr>
        <w:t xml:space="preserve"> que Protección Privada 2010 </w:t>
      </w:r>
      <w:r w:rsidRPr="00EB29CC">
        <w:rPr>
          <w:rFonts w:cs="Arial"/>
          <w:color w:val="000000" w:themeColor="text1"/>
          <w:sz w:val="26"/>
          <w:szCs w:val="26"/>
        </w:rPr>
        <w:t xml:space="preserve">realizara sus funciones </w:t>
      </w:r>
      <w:r w:rsidR="000467E4" w:rsidRPr="00EB29CC">
        <w:rPr>
          <w:rFonts w:cs="Arial"/>
          <w:color w:val="000000" w:themeColor="text1"/>
          <w:sz w:val="26"/>
          <w:szCs w:val="26"/>
        </w:rPr>
        <w:t xml:space="preserve">de seguridad en el centro comercial sin discriminar </w:t>
      </w:r>
      <w:r w:rsidR="00EE2A3E" w:rsidRPr="00EB29CC">
        <w:rPr>
          <w:rFonts w:cs="Arial"/>
          <w:color w:val="000000" w:themeColor="text1"/>
          <w:sz w:val="26"/>
          <w:szCs w:val="26"/>
        </w:rPr>
        <w:t xml:space="preserve">a las personas que </w:t>
      </w:r>
      <w:r w:rsidR="00F41487" w:rsidRPr="00EB29CC">
        <w:rPr>
          <w:rFonts w:cs="Arial"/>
          <w:color w:val="000000" w:themeColor="text1"/>
          <w:sz w:val="26"/>
          <w:szCs w:val="26"/>
        </w:rPr>
        <w:t>quisieran hacer uso de</w:t>
      </w:r>
      <w:r w:rsidR="00A56CAC" w:rsidRPr="00EB29CC">
        <w:rPr>
          <w:rFonts w:cs="Arial"/>
          <w:color w:val="000000" w:themeColor="text1"/>
          <w:sz w:val="26"/>
          <w:szCs w:val="26"/>
        </w:rPr>
        <w:t xml:space="preserve"> </w:t>
      </w:r>
      <w:r w:rsidR="002F7EB2" w:rsidRPr="00EB29CC">
        <w:rPr>
          <w:rFonts w:cs="Arial"/>
          <w:color w:val="000000" w:themeColor="text1"/>
          <w:sz w:val="26"/>
          <w:szCs w:val="26"/>
        </w:rPr>
        <w:t>las</w:t>
      </w:r>
      <w:r w:rsidR="00A56CAC" w:rsidRPr="00EB29CC">
        <w:rPr>
          <w:rFonts w:cs="Arial"/>
          <w:color w:val="000000" w:themeColor="text1"/>
          <w:sz w:val="26"/>
          <w:szCs w:val="26"/>
        </w:rPr>
        <w:t xml:space="preserve"> instalaciones, como</w:t>
      </w:r>
      <w:r w:rsidR="00F41487" w:rsidRPr="00EB29CC">
        <w:rPr>
          <w:rFonts w:cs="Arial"/>
          <w:color w:val="000000" w:themeColor="text1"/>
          <w:sz w:val="26"/>
          <w:szCs w:val="26"/>
        </w:rPr>
        <w:t xml:space="preserve"> los </w:t>
      </w:r>
      <w:r w:rsidR="00E62F9F" w:rsidRPr="00EB29CC">
        <w:rPr>
          <w:rFonts w:cs="Arial"/>
          <w:color w:val="000000" w:themeColor="text1"/>
          <w:sz w:val="26"/>
          <w:szCs w:val="26"/>
        </w:rPr>
        <w:t>sanitarios de mujeres</w:t>
      </w:r>
      <w:r w:rsidR="00E234F4" w:rsidRPr="00EB29CC">
        <w:rPr>
          <w:rFonts w:cs="Arial"/>
          <w:color w:val="000000" w:themeColor="text1"/>
          <w:sz w:val="26"/>
          <w:szCs w:val="26"/>
        </w:rPr>
        <w:t>, o que quisieran interponer una queja</w:t>
      </w:r>
      <w:r w:rsidR="00D778A5">
        <w:rPr>
          <w:rFonts w:cs="Arial"/>
          <w:color w:val="000000" w:themeColor="text1"/>
          <w:sz w:val="26"/>
          <w:szCs w:val="26"/>
        </w:rPr>
        <w:t xml:space="preserve"> </w:t>
      </w:r>
      <w:r w:rsidR="00D778A5" w:rsidRPr="00A36289">
        <w:rPr>
          <w:rFonts w:cs="Arial"/>
          <w:sz w:val="26"/>
          <w:szCs w:val="26"/>
        </w:rPr>
        <w:t xml:space="preserve">ante la comisión de actos </w:t>
      </w:r>
      <w:r w:rsidR="00D778A5" w:rsidRPr="00A36289">
        <w:rPr>
          <w:rFonts w:cs="Arial"/>
          <w:sz w:val="26"/>
          <w:szCs w:val="26"/>
        </w:rPr>
        <w:lastRenderedPageBreak/>
        <w:t>discriminatorios</w:t>
      </w:r>
      <w:r w:rsidR="00E62F9F" w:rsidRPr="00A36289">
        <w:rPr>
          <w:rFonts w:cs="Arial"/>
          <w:sz w:val="26"/>
          <w:szCs w:val="26"/>
        </w:rPr>
        <w:t xml:space="preserve">. </w:t>
      </w:r>
      <w:r w:rsidR="00A56CAC" w:rsidRPr="00A36289">
        <w:rPr>
          <w:rFonts w:cs="Arial"/>
          <w:sz w:val="26"/>
          <w:szCs w:val="26"/>
        </w:rPr>
        <w:t xml:space="preserve">Por ello, </w:t>
      </w:r>
      <w:r w:rsidR="004B56A7" w:rsidRPr="00A36289">
        <w:rPr>
          <w:rFonts w:cs="Arial"/>
          <w:sz w:val="26"/>
          <w:szCs w:val="26"/>
        </w:rPr>
        <w:t>esta Primera Sala también atribuye a Reforma 222</w:t>
      </w:r>
      <w:r w:rsidR="00A56CAC" w:rsidRPr="00A36289">
        <w:rPr>
          <w:rFonts w:cs="Arial"/>
          <w:sz w:val="26"/>
          <w:szCs w:val="26"/>
        </w:rPr>
        <w:t xml:space="preserve"> </w:t>
      </w:r>
      <w:r w:rsidR="00C14893" w:rsidRPr="00A36289">
        <w:rPr>
          <w:rFonts w:cs="Arial"/>
          <w:sz w:val="26"/>
          <w:szCs w:val="26"/>
        </w:rPr>
        <w:t xml:space="preserve">la responsabilidad por los </w:t>
      </w:r>
      <w:r w:rsidR="00097B9C" w:rsidRPr="00A36289">
        <w:rPr>
          <w:rFonts w:cs="Arial"/>
          <w:sz w:val="26"/>
          <w:szCs w:val="26"/>
        </w:rPr>
        <w:t xml:space="preserve">actos discriminatorios </w:t>
      </w:r>
      <w:r w:rsidR="004B56A7" w:rsidRPr="00A36289">
        <w:rPr>
          <w:rFonts w:cs="Arial"/>
          <w:sz w:val="26"/>
          <w:szCs w:val="26"/>
        </w:rPr>
        <w:t xml:space="preserve">y daño moral causado </w:t>
      </w:r>
      <w:r w:rsidR="000D4485" w:rsidRPr="00A36289">
        <w:rPr>
          <w:rFonts w:cs="Arial"/>
          <w:sz w:val="26"/>
          <w:szCs w:val="26"/>
        </w:rPr>
        <w:t>por el personal</w:t>
      </w:r>
      <w:r w:rsidR="004B56A7" w:rsidRPr="00A36289">
        <w:rPr>
          <w:rFonts w:cs="Arial"/>
          <w:sz w:val="26"/>
          <w:szCs w:val="26"/>
        </w:rPr>
        <w:t xml:space="preserve"> de</w:t>
      </w:r>
      <w:r w:rsidR="00097B9C" w:rsidRPr="00A36289">
        <w:rPr>
          <w:rFonts w:cs="Arial"/>
          <w:sz w:val="26"/>
          <w:szCs w:val="26"/>
        </w:rPr>
        <w:t xml:space="preserve"> </w:t>
      </w:r>
      <w:r w:rsidR="000D4485" w:rsidRPr="00A36289">
        <w:rPr>
          <w:rFonts w:cs="Arial"/>
          <w:sz w:val="26"/>
          <w:szCs w:val="26"/>
        </w:rPr>
        <w:t>seguridad</w:t>
      </w:r>
      <w:r w:rsidR="00097B9C" w:rsidRPr="00A36289">
        <w:rPr>
          <w:rFonts w:cs="Arial"/>
          <w:sz w:val="26"/>
          <w:szCs w:val="26"/>
        </w:rPr>
        <w:t xml:space="preserve"> en el sanitario de mujeres y el módulo de quejas</w:t>
      </w:r>
      <w:r w:rsidR="004B56A7" w:rsidRPr="00A36289">
        <w:rPr>
          <w:rFonts w:cs="Arial"/>
          <w:sz w:val="26"/>
          <w:szCs w:val="26"/>
        </w:rPr>
        <w:t xml:space="preserve"> del centro comercial</w:t>
      </w:r>
      <w:r w:rsidR="00D14C1B" w:rsidRPr="00A36289">
        <w:rPr>
          <w:rFonts w:cs="Arial"/>
          <w:sz w:val="26"/>
          <w:szCs w:val="26"/>
        </w:rPr>
        <w:t xml:space="preserve"> “Reforma 222”</w:t>
      </w:r>
      <w:r w:rsidR="004B56A7" w:rsidRPr="00A36289">
        <w:rPr>
          <w:rFonts w:cs="Arial"/>
          <w:sz w:val="26"/>
          <w:szCs w:val="26"/>
        </w:rPr>
        <w:t xml:space="preserve">. </w:t>
      </w:r>
    </w:p>
    <w:p w14:paraId="150A3296" w14:textId="77777777" w:rsidR="00113A30" w:rsidRDefault="00113A30" w:rsidP="00911D6A">
      <w:pPr>
        <w:pStyle w:val="corte4fondo"/>
        <w:ind w:right="51" w:hanging="567"/>
        <w:rPr>
          <w:rFonts w:cs="Arial"/>
          <w:sz w:val="26"/>
          <w:szCs w:val="26"/>
          <w:highlight w:val="yellow"/>
        </w:rPr>
      </w:pPr>
    </w:p>
    <w:p w14:paraId="6FE92DB2" w14:textId="5F8FD437" w:rsidR="00804078" w:rsidRPr="00A720B3" w:rsidRDefault="000A1F54" w:rsidP="00804078">
      <w:pPr>
        <w:pStyle w:val="corte4fondo"/>
        <w:ind w:right="51" w:firstLine="0"/>
        <w:rPr>
          <w:rFonts w:cs="Arial"/>
          <w:i/>
          <w:iCs/>
          <w:sz w:val="26"/>
          <w:szCs w:val="26"/>
        </w:rPr>
      </w:pPr>
      <w:r w:rsidRPr="00A720B3">
        <w:rPr>
          <w:rFonts w:cs="Arial"/>
          <w:i/>
          <w:iCs/>
          <w:sz w:val="26"/>
          <w:szCs w:val="26"/>
        </w:rPr>
        <w:t>b</w:t>
      </w:r>
      <w:r w:rsidR="00804078" w:rsidRPr="00A720B3">
        <w:rPr>
          <w:rFonts w:cs="Arial"/>
          <w:i/>
          <w:iCs/>
          <w:sz w:val="26"/>
          <w:szCs w:val="26"/>
        </w:rPr>
        <w:t xml:space="preserve">. Atribución de responsabilidad por los hechos cometidos por el personal de </w:t>
      </w:r>
      <w:r w:rsidRPr="00A720B3">
        <w:rPr>
          <w:rFonts w:cs="Arial"/>
          <w:i/>
          <w:iCs/>
          <w:sz w:val="26"/>
          <w:szCs w:val="26"/>
        </w:rPr>
        <w:t>atención al cliente</w:t>
      </w:r>
    </w:p>
    <w:p w14:paraId="2E113406" w14:textId="77777777" w:rsidR="00804078" w:rsidRPr="00E356CB" w:rsidRDefault="00804078" w:rsidP="00804078">
      <w:pPr>
        <w:pStyle w:val="corte4fondo"/>
        <w:ind w:right="51" w:firstLine="0"/>
        <w:rPr>
          <w:rFonts w:cs="Arial"/>
          <w:sz w:val="26"/>
          <w:szCs w:val="26"/>
        </w:rPr>
      </w:pPr>
    </w:p>
    <w:p w14:paraId="2F3B3C2C" w14:textId="60C82DCA" w:rsidR="00A65CAC" w:rsidRPr="00E356CB" w:rsidRDefault="00804078" w:rsidP="00263912">
      <w:pPr>
        <w:pStyle w:val="corte4fondo"/>
        <w:numPr>
          <w:ilvl w:val="0"/>
          <w:numId w:val="2"/>
        </w:numPr>
        <w:ind w:left="0" w:right="51" w:hanging="567"/>
        <w:rPr>
          <w:rFonts w:cs="Arial"/>
          <w:sz w:val="26"/>
          <w:szCs w:val="26"/>
        </w:rPr>
      </w:pPr>
      <w:r w:rsidRPr="00E356CB">
        <w:rPr>
          <w:rFonts w:cs="Arial"/>
          <w:sz w:val="26"/>
          <w:szCs w:val="26"/>
        </w:rPr>
        <w:t xml:space="preserve">Por </w:t>
      </w:r>
      <w:r w:rsidR="004E588E" w:rsidRPr="00E356CB">
        <w:rPr>
          <w:rFonts w:cs="Arial"/>
          <w:sz w:val="26"/>
          <w:szCs w:val="26"/>
        </w:rPr>
        <w:t xml:space="preserve">otra </w:t>
      </w:r>
      <w:r w:rsidRPr="00E356CB">
        <w:rPr>
          <w:rFonts w:cs="Arial"/>
          <w:sz w:val="26"/>
          <w:szCs w:val="26"/>
        </w:rPr>
        <w:t>parte</w:t>
      </w:r>
      <w:r w:rsidR="00113A30" w:rsidRPr="00E356CB">
        <w:rPr>
          <w:rFonts w:cs="Arial"/>
          <w:sz w:val="26"/>
          <w:szCs w:val="26"/>
        </w:rPr>
        <w:t xml:space="preserve">, </w:t>
      </w:r>
      <w:r w:rsidR="00DE2DB7" w:rsidRPr="00E356CB">
        <w:rPr>
          <w:rFonts w:cs="Arial"/>
          <w:sz w:val="26"/>
          <w:szCs w:val="26"/>
        </w:rPr>
        <w:t xml:space="preserve">en el apartado previo </w:t>
      </w:r>
      <w:r w:rsidR="00113A30" w:rsidRPr="00E356CB">
        <w:rPr>
          <w:rFonts w:cs="Arial"/>
          <w:sz w:val="26"/>
          <w:szCs w:val="26"/>
        </w:rPr>
        <w:t xml:space="preserve">quedó acreditado que el personal administrativo del módulo de atención a quejas trató de forma indiferente y agresiva a las señoras </w:t>
      </w:r>
      <w:r w:rsidR="00911D6A" w:rsidRPr="00E356CB">
        <w:rPr>
          <w:rFonts w:cs="Arial"/>
          <w:color w:val="FF0000"/>
          <w:sz w:val="26"/>
          <w:szCs w:val="26"/>
          <w:lang w:val="es-ES"/>
        </w:rPr>
        <w:t>DF</w:t>
      </w:r>
      <w:r w:rsidR="00911D6A" w:rsidRPr="00E356CB">
        <w:rPr>
          <w:rFonts w:cs="Arial"/>
          <w:sz w:val="26"/>
          <w:szCs w:val="26"/>
          <w:lang w:val="es-ES"/>
        </w:rPr>
        <w:t xml:space="preserve">, </w:t>
      </w:r>
      <w:r w:rsidR="00911D6A" w:rsidRPr="00E356CB">
        <w:rPr>
          <w:rFonts w:cs="Arial"/>
          <w:color w:val="FF0000"/>
          <w:sz w:val="26"/>
          <w:szCs w:val="26"/>
          <w:lang w:val="es-ES"/>
        </w:rPr>
        <w:t>MF</w:t>
      </w:r>
      <w:r w:rsidR="00911D6A" w:rsidRPr="00E356CB" w:rsidDel="00885800">
        <w:rPr>
          <w:rFonts w:cs="Arial"/>
          <w:sz w:val="26"/>
          <w:szCs w:val="26"/>
          <w:lang w:val="es-ES"/>
        </w:rPr>
        <w:t xml:space="preserve"> </w:t>
      </w:r>
      <w:r w:rsidR="00911D6A" w:rsidRPr="00E356CB">
        <w:rPr>
          <w:rFonts w:cs="Arial"/>
          <w:sz w:val="26"/>
          <w:szCs w:val="26"/>
          <w:lang w:val="es-ES"/>
        </w:rPr>
        <w:t xml:space="preserve">y </w:t>
      </w:r>
      <w:r w:rsidR="00911D6A" w:rsidRPr="00E356CB">
        <w:rPr>
          <w:rFonts w:cs="Arial"/>
          <w:color w:val="FF0000"/>
          <w:sz w:val="26"/>
          <w:szCs w:val="26"/>
          <w:lang w:val="es-ES"/>
        </w:rPr>
        <w:t>GB</w:t>
      </w:r>
      <w:r w:rsidR="00E356CB" w:rsidRPr="00E356CB">
        <w:rPr>
          <w:rFonts w:cs="Arial"/>
          <w:sz w:val="26"/>
          <w:szCs w:val="26"/>
          <w:lang w:val="es-ES"/>
        </w:rPr>
        <w:t>; que</w:t>
      </w:r>
      <w:r w:rsidR="00911D6A" w:rsidRPr="00E356CB">
        <w:rPr>
          <w:rFonts w:cs="Arial"/>
          <w:sz w:val="26"/>
          <w:szCs w:val="26"/>
        </w:rPr>
        <w:t xml:space="preserve"> tales hechos ilícitos generaron un daño moral en la esfera de las señoras </w:t>
      </w:r>
      <w:r w:rsidR="00911D6A" w:rsidRPr="00E356CB">
        <w:rPr>
          <w:rFonts w:cs="Arial"/>
          <w:color w:val="FF0000"/>
          <w:sz w:val="26"/>
          <w:szCs w:val="26"/>
          <w:lang w:val="es-ES"/>
        </w:rPr>
        <w:t>DF</w:t>
      </w:r>
      <w:r w:rsidR="00911D6A" w:rsidRPr="00E356CB" w:rsidDel="00885800">
        <w:rPr>
          <w:rFonts w:cs="Arial"/>
          <w:sz w:val="26"/>
          <w:szCs w:val="26"/>
          <w:lang w:val="es-ES"/>
        </w:rPr>
        <w:t xml:space="preserve"> </w:t>
      </w:r>
      <w:r w:rsidR="00911D6A" w:rsidRPr="00E356CB">
        <w:rPr>
          <w:rFonts w:cs="Arial"/>
          <w:sz w:val="26"/>
          <w:szCs w:val="26"/>
          <w:lang w:val="es-ES"/>
        </w:rPr>
        <w:t xml:space="preserve">y </w:t>
      </w:r>
      <w:r w:rsidR="00911D6A" w:rsidRPr="00E356CB">
        <w:rPr>
          <w:rFonts w:cs="Arial"/>
          <w:color w:val="FF0000"/>
          <w:sz w:val="26"/>
          <w:szCs w:val="26"/>
          <w:lang w:val="es-ES"/>
        </w:rPr>
        <w:t>GB</w:t>
      </w:r>
      <w:r w:rsidR="00911D6A" w:rsidRPr="00E356CB">
        <w:rPr>
          <w:rFonts w:cs="Arial"/>
          <w:sz w:val="26"/>
          <w:szCs w:val="26"/>
        </w:rPr>
        <w:t>, y que existió un nexo causal entre los hechos ilícitos y el daño generado.</w:t>
      </w:r>
      <w:r w:rsidR="00B663E7" w:rsidRPr="00E356CB">
        <w:rPr>
          <w:rFonts w:cs="Arial"/>
          <w:sz w:val="26"/>
          <w:szCs w:val="26"/>
        </w:rPr>
        <w:t xml:space="preserve"> En ese sentido, dado que el personal del módulo de quejas era</w:t>
      </w:r>
      <w:r w:rsidR="003E3D80" w:rsidRPr="00E356CB">
        <w:rPr>
          <w:rFonts w:cs="Arial"/>
          <w:sz w:val="26"/>
          <w:szCs w:val="26"/>
        </w:rPr>
        <w:t xml:space="preserve"> dependiente de </w:t>
      </w:r>
      <w:r w:rsidR="004A6933" w:rsidRPr="00E356CB">
        <w:rPr>
          <w:rFonts w:cs="Arial"/>
          <w:sz w:val="26"/>
          <w:szCs w:val="26"/>
        </w:rPr>
        <w:t xml:space="preserve">la </w:t>
      </w:r>
      <w:r w:rsidR="004A6933" w:rsidRPr="00A36289">
        <w:rPr>
          <w:rFonts w:cs="Arial"/>
          <w:sz w:val="26"/>
          <w:szCs w:val="26"/>
        </w:rPr>
        <w:t xml:space="preserve">persona moral </w:t>
      </w:r>
      <w:r w:rsidR="003E3D80" w:rsidRPr="00A36289">
        <w:rPr>
          <w:rFonts w:cs="Arial"/>
          <w:sz w:val="26"/>
          <w:szCs w:val="26"/>
        </w:rPr>
        <w:t>Reforma 222</w:t>
      </w:r>
      <w:r w:rsidR="006E7396" w:rsidRPr="00A36289">
        <w:rPr>
          <w:rFonts w:cs="Arial"/>
          <w:sz w:val="26"/>
          <w:szCs w:val="26"/>
        </w:rPr>
        <w:t xml:space="preserve"> </w:t>
      </w:r>
      <w:r w:rsidR="006E7396" w:rsidRPr="00E356CB">
        <w:rPr>
          <w:rFonts w:cs="Arial"/>
          <w:sz w:val="26"/>
          <w:szCs w:val="26"/>
        </w:rPr>
        <w:t>y cometió los malos tratos en el ejercicio de sus funciones</w:t>
      </w:r>
      <w:r w:rsidR="003E3D80" w:rsidRPr="00E356CB">
        <w:rPr>
          <w:rFonts w:cs="Arial"/>
          <w:sz w:val="26"/>
          <w:szCs w:val="26"/>
        </w:rPr>
        <w:t xml:space="preserve">, </w:t>
      </w:r>
      <w:r w:rsidR="005A76A9" w:rsidRPr="00E356CB">
        <w:rPr>
          <w:rFonts w:cs="Arial"/>
          <w:sz w:val="26"/>
          <w:szCs w:val="26"/>
        </w:rPr>
        <w:t xml:space="preserve">se atribuye a </w:t>
      </w:r>
      <w:r w:rsidR="00C108B4" w:rsidRPr="00E356CB">
        <w:rPr>
          <w:rFonts w:cs="Arial"/>
          <w:sz w:val="26"/>
          <w:szCs w:val="26"/>
        </w:rPr>
        <w:t xml:space="preserve">dicha empresa </w:t>
      </w:r>
      <w:r w:rsidR="005A76A9" w:rsidRPr="00E356CB">
        <w:rPr>
          <w:rFonts w:cs="Arial"/>
          <w:sz w:val="26"/>
          <w:szCs w:val="26"/>
        </w:rPr>
        <w:t xml:space="preserve">la responsabilidad de </w:t>
      </w:r>
      <w:r w:rsidR="006E7396" w:rsidRPr="00E356CB">
        <w:rPr>
          <w:rFonts w:cs="Arial"/>
          <w:sz w:val="26"/>
          <w:szCs w:val="26"/>
        </w:rPr>
        <w:t>los</w:t>
      </w:r>
      <w:r w:rsidR="005A76A9" w:rsidRPr="00E356CB">
        <w:rPr>
          <w:rFonts w:cs="Arial"/>
          <w:sz w:val="26"/>
          <w:szCs w:val="26"/>
        </w:rPr>
        <w:t xml:space="preserve"> hechos </w:t>
      </w:r>
      <w:r w:rsidR="006E7396" w:rsidRPr="00E356CB">
        <w:rPr>
          <w:rFonts w:cs="Arial"/>
          <w:sz w:val="26"/>
          <w:szCs w:val="26"/>
        </w:rPr>
        <w:t>ilícitos y daño moral causado</w:t>
      </w:r>
      <w:r w:rsidR="005A76A9" w:rsidRPr="00E356CB">
        <w:rPr>
          <w:rFonts w:cs="Arial"/>
          <w:sz w:val="26"/>
          <w:szCs w:val="26"/>
        </w:rPr>
        <w:t xml:space="preserve"> por </w:t>
      </w:r>
      <w:r w:rsidR="00130E5D" w:rsidRPr="00E356CB">
        <w:rPr>
          <w:rFonts w:cs="Arial"/>
          <w:sz w:val="26"/>
          <w:szCs w:val="26"/>
        </w:rPr>
        <w:t>el</w:t>
      </w:r>
      <w:r w:rsidR="004A6933" w:rsidRPr="00E356CB">
        <w:rPr>
          <w:rFonts w:cs="Arial"/>
          <w:sz w:val="26"/>
          <w:szCs w:val="26"/>
        </w:rPr>
        <w:t xml:space="preserve"> personal de atención al cliente, conforme al artículo 1924 antes </w:t>
      </w:r>
      <w:r w:rsidR="00EB0D0D" w:rsidRPr="00E356CB">
        <w:rPr>
          <w:rFonts w:cs="Arial"/>
          <w:sz w:val="26"/>
          <w:szCs w:val="26"/>
        </w:rPr>
        <w:t>referido</w:t>
      </w:r>
      <w:r w:rsidR="004A6933" w:rsidRPr="00E356CB">
        <w:rPr>
          <w:rFonts w:cs="Arial"/>
          <w:sz w:val="26"/>
          <w:szCs w:val="26"/>
        </w:rPr>
        <w:t xml:space="preserve">. </w:t>
      </w:r>
    </w:p>
    <w:p w14:paraId="71DDDA3D" w14:textId="77777777" w:rsidR="005A76A9" w:rsidRPr="008E102E" w:rsidRDefault="005A76A9" w:rsidP="00263912">
      <w:pPr>
        <w:pStyle w:val="corte4fondo"/>
        <w:ind w:right="51" w:hanging="567"/>
        <w:rPr>
          <w:rFonts w:cs="Arial"/>
          <w:sz w:val="26"/>
          <w:szCs w:val="26"/>
        </w:rPr>
      </w:pPr>
    </w:p>
    <w:p w14:paraId="1024077A" w14:textId="75206E28" w:rsidR="003D33E6" w:rsidRPr="00A36289" w:rsidRDefault="00517522" w:rsidP="00263912">
      <w:pPr>
        <w:pStyle w:val="corte4fondo"/>
        <w:numPr>
          <w:ilvl w:val="0"/>
          <w:numId w:val="2"/>
        </w:numPr>
        <w:ind w:left="0" w:right="51" w:hanging="567"/>
        <w:rPr>
          <w:rFonts w:cs="Arial"/>
          <w:sz w:val="26"/>
          <w:szCs w:val="26"/>
        </w:rPr>
      </w:pPr>
      <w:r w:rsidRPr="008E102E">
        <w:rPr>
          <w:rFonts w:cs="Arial"/>
          <w:sz w:val="26"/>
          <w:szCs w:val="26"/>
        </w:rPr>
        <w:t>P</w:t>
      </w:r>
      <w:r w:rsidR="00901A60" w:rsidRPr="008E102E">
        <w:rPr>
          <w:rFonts w:cs="Arial"/>
          <w:sz w:val="26"/>
          <w:szCs w:val="26"/>
        </w:rPr>
        <w:t xml:space="preserve">recisamos que </w:t>
      </w:r>
      <w:r w:rsidR="00233B11" w:rsidRPr="008E102E">
        <w:rPr>
          <w:rFonts w:cs="Arial"/>
          <w:sz w:val="26"/>
          <w:szCs w:val="26"/>
        </w:rPr>
        <w:t xml:space="preserve">ninguna de las empresas </w:t>
      </w:r>
      <w:r w:rsidR="004B56A7" w:rsidRPr="008E102E">
        <w:rPr>
          <w:rFonts w:cs="Arial"/>
          <w:sz w:val="26"/>
          <w:szCs w:val="26"/>
        </w:rPr>
        <w:t xml:space="preserve">aportó material al juicio que </w:t>
      </w:r>
      <w:r w:rsidR="00E13EF5" w:rsidRPr="008E102E">
        <w:rPr>
          <w:rFonts w:cs="Arial"/>
          <w:sz w:val="26"/>
          <w:szCs w:val="26"/>
        </w:rPr>
        <w:t>pudiera acreditar que</w:t>
      </w:r>
      <w:r w:rsidR="00A979DF" w:rsidRPr="008E102E">
        <w:rPr>
          <w:rFonts w:cs="Arial"/>
          <w:sz w:val="26"/>
          <w:szCs w:val="26"/>
        </w:rPr>
        <w:t>,</w:t>
      </w:r>
      <w:r w:rsidR="00901A60" w:rsidRPr="008E102E">
        <w:rPr>
          <w:rFonts w:cs="Arial"/>
          <w:sz w:val="26"/>
          <w:szCs w:val="26"/>
        </w:rPr>
        <w:t xml:space="preserve"> en la comisión del daño </w:t>
      </w:r>
      <w:r w:rsidR="006C1012" w:rsidRPr="008E102E">
        <w:rPr>
          <w:rFonts w:cs="Arial"/>
          <w:sz w:val="26"/>
          <w:szCs w:val="26"/>
        </w:rPr>
        <w:t xml:space="preserve">causado a las señoras </w:t>
      </w:r>
      <w:r w:rsidR="006C1012" w:rsidRPr="008E102E">
        <w:rPr>
          <w:rFonts w:cs="Arial"/>
          <w:color w:val="FF0000"/>
          <w:sz w:val="26"/>
          <w:szCs w:val="26"/>
          <w:lang w:val="es-ES"/>
        </w:rPr>
        <w:t>DF</w:t>
      </w:r>
      <w:r w:rsidR="006C1012" w:rsidRPr="008E102E" w:rsidDel="00885800">
        <w:rPr>
          <w:rFonts w:cs="Arial"/>
          <w:sz w:val="26"/>
          <w:szCs w:val="26"/>
          <w:lang w:val="es-ES"/>
        </w:rPr>
        <w:t xml:space="preserve"> </w:t>
      </w:r>
      <w:r w:rsidR="006C1012" w:rsidRPr="008E102E">
        <w:rPr>
          <w:rFonts w:cs="Arial"/>
          <w:sz w:val="26"/>
          <w:szCs w:val="26"/>
          <w:lang w:val="es-ES"/>
        </w:rPr>
        <w:t xml:space="preserve">y </w:t>
      </w:r>
      <w:r w:rsidR="006C1012" w:rsidRPr="008E102E">
        <w:rPr>
          <w:rFonts w:cs="Arial"/>
          <w:color w:val="FF0000"/>
          <w:sz w:val="26"/>
          <w:szCs w:val="26"/>
          <w:lang w:val="es-ES"/>
        </w:rPr>
        <w:t>GB</w:t>
      </w:r>
      <w:r w:rsidR="006C1012" w:rsidRPr="008E102E">
        <w:rPr>
          <w:rFonts w:cs="Arial"/>
          <w:sz w:val="26"/>
          <w:szCs w:val="26"/>
        </w:rPr>
        <w:t xml:space="preserve">, </w:t>
      </w:r>
      <w:r w:rsidR="00901A60" w:rsidRPr="008E102E">
        <w:rPr>
          <w:rFonts w:cs="Arial"/>
          <w:sz w:val="26"/>
          <w:szCs w:val="26"/>
        </w:rPr>
        <w:t xml:space="preserve">no se les </w:t>
      </w:r>
      <w:r w:rsidR="00761D76" w:rsidRPr="008E102E">
        <w:rPr>
          <w:rFonts w:cs="Arial"/>
          <w:sz w:val="26"/>
          <w:szCs w:val="26"/>
        </w:rPr>
        <w:t>podía</w:t>
      </w:r>
      <w:r w:rsidR="00901A60" w:rsidRPr="008E102E">
        <w:rPr>
          <w:rFonts w:cs="Arial"/>
          <w:sz w:val="26"/>
          <w:szCs w:val="26"/>
        </w:rPr>
        <w:t xml:space="preserve"> imputar ninguna culpa o negligencia</w:t>
      </w:r>
      <w:r w:rsidR="002F46E0" w:rsidRPr="008E102E">
        <w:rPr>
          <w:rFonts w:cs="Arial"/>
          <w:sz w:val="26"/>
          <w:szCs w:val="26"/>
        </w:rPr>
        <w:t xml:space="preserve">, </w:t>
      </w:r>
      <w:r w:rsidR="00224951" w:rsidRPr="008E102E">
        <w:rPr>
          <w:rFonts w:cs="Arial"/>
          <w:sz w:val="26"/>
          <w:szCs w:val="26"/>
        </w:rPr>
        <w:t>lo cual era el eximente de responsabilidad previsto en</w:t>
      </w:r>
      <w:r w:rsidR="002F46E0" w:rsidRPr="008E102E">
        <w:rPr>
          <w:rFonts w:cs="Arial"/>
          <w:sz w:val="26"/>
          <w:szCs w:val="26"/>
        </w:rPr>
        <w:t xml:space="preserve"> el artículo 1924 citado</w:t>
      </w:r>
      <w:r w:rsidRPr="008E102E">
        <w:rPr>
          <w:rFonts w:cs="Arial"/>
          <w:sz w:val="26"/>
          <w:szCs w:val="26"/>
        </w:rPr>
        <w:t xml:space="preserve">. </w:t>
      </w:r>
      <w:r w:rsidR="006F302E" w:rsidRPr="008E102E">
        <w:rPr>
          <w:rFonts w:cs="Arial"/>
          <w:sz w:val="26"/>
          <w:szCs w:val="26"/>
        </w:rPr>
        <w:t>En ese sentido, no se advierte que las empresas hubieren acreditado que ejercieron toda la diligencia debida para impedir</w:t>
      </w:r>
      <w:r w:rsidR="00CD4AD4" w:rsidRPr="008E102E">
        <w:rPr>
          <w:rFonts w:cs="Arial"/>
          <w:sz w:val="26"/>
          <w:szCs w:val="26"/>
        </w:rPr>
        <w:t xml:space="preserve"> o evitar</w:t>
      </w:r>
      <w:r w:rsidR="006F302E" w:rsidRPr="008E102E">
        <w:rPr>
          <w:rFonts w:cs="Arial"/>
          <w:sz w:val="26"/>
          <w:szCs w:val="26"/>
        </w:rPr>
        <w:t xml:space="preserve"> que se cometiera</w:t>
      </w:r>
      <w:r w:rsidR="00376BBE" w:rsidRPr="008E102E">
        <w:rPr>
          <w:rFonts w:cs="Arial"/>
          <w:sz w:val="26"/>
          <w:szCs w:val="26"/>
        </w:rPr>
        <w:t xml:space="preserve">n los actos </w:t>
      </w:r>
      <w:r w:rsidR="006F302E" w:rsidRPr="008E102E">
        <w:rPr>
          <w:rFonts w:cs="Arial"/>
          <w:sz w:val="26"/>
          <w:szCs w:val="26"/>
        </w:rPr>
        <w:t>discriminatorio</w:t>
      </w:r>
      <w:r w:rsidR="00376BBE" w:rsidRPr="008E102E">
        <w:rPr>
          <w:rFonts w:cs="Arial"/>
          <w:sz w:val="26"/>
          <w:szCs w:val="26"/>
        </w:rPr>
        <w:t>s en perjuicio de las señoras</w:t>
      </w:r>
      <w:r w:rsidR="006F302E" w:rsidRPr="008E102E">
        <w:rPr>
          <w:rFonts w:cs="Arial"/>
          <w:sz w:val="26"/>
          <w:szCs w:val="26"/>
        </w:rPr>
        <w:t xml:space="preserve">. </w:t>
      </w:r>
      <w:r w:rsidR="00EC391C" w:rsidRPr="008E102E">
        <w:rPr>
          <w:rFonts w:cs="Arial"/>
          <w:sz w:val="26"/>
          <w:szCs w:val="26"/>
        </w:rPr>
        <w:t>Por lo anterior, esta Suprema Corte concluye que</w:t>
      </w:r>
      <w:r w:rsidR="000D0633" w:rsidRPr="008E102E">
        <w:rPr>
          <w:rFonts w:cs="Arial"/>
          <w:sz w:val="26"/>
          <w:szCs w:val="26"/>
        </w:rPr>
        <w:t>, como sostuvieron las quejosas,</w:t>
      </w:r>
      <w:r w:rsidR="00EC391C" w:rsidRPr="008E102E">
        <w:rPr>
          <w:rFonts w:cs="Arial"/>
          <w:sz w:val="26"/>
          <w:szCs w:val="26"/>
        </w:rPr>
        <w:t xml:space="preserve"> e</w:t>
      </w:r>
      <w:r w:rsidR="00731873" w:rsidRPr="008E102E">
        <w:rPr>
          <w:rFonts w:cs="Arial"/>
          <w:sz w:val="26"/>
          <w:szCs w:val="26"/>
        </w:rPr>
        <w:t>ra</w:t>
      </w:r>
      <w:r w:rsidR="00EC391C" w:rsidRPr="008E102E">
        <w:rPr>
          <w:rFonts w:cs="Arial"/>
          <w:sz w:val="26"/>
          <w:szCs w:val="26"/>
        </w:rPr>
        <w:t xml:space="preserve"> proce</w:t>
      </w:r>
      <w:r w:rsidR="00EC391C" w:rsidRPr="00BC233A">
        <w:rPr>
          <w:rFonts w:cs="Arial"/>
          <w:sz w:val="26"/>
          <w:szCs w:val="26"/>
        </w:rPr>
        <w:t xml:space="preserve">dente condenar a las </w:t>
      </w:r>
      <w:r w:rsidR="00EC391C" w:rsidRPr="00A36289">
        <w:rPr>
          <w:rFonts w:cs="Arial"/>
          <w:sz w:val="26"/>
          <w:szCs w:val="26"/>
        </w:rPr>
        <w:t>empresas</w:t>
      </w:r>
      <w:r w:rsidR="000D0633" w:rsidRPr="00A36289">
        <w:rPr>
          <w:rFonts w:cs="Arial"/>
          <w:sz w:val="26"/>
          <w:szCs w:val="26"/>
        </w:rPr>
        <w:t xml:space="preserve"> Protección Privada 2010 y Reforma 222</w:t>
      </w:r>
      <w:r w:rsidR="00EC391C" w:rsidRPr="00A36289">
        <w:rPr>
          <w:rFonts w:cs="Arial"/>
          <w:sz w:val="26"/>
          <w:szCs w:val="26"/>
        </w:rPr>
        <w:t xml:space="preserve"> al pago de una justa indemnización</w:t>
      </w:r>
      <w:r w:rsidR="00470532" w:rsidRPr="00A36289">
        <w:rPr>
          <w:rFonts w:cs="Arial"/>
          <w:sz w:val="26"/>
          <w:szCs w:val="26"/>
        </w:rPr>
        <w:t xml:space="preserve"> a favor de las </w:t>
      </w:r>
      <w:r w:rsidR="000D0633" w:rsidRPr="00A36289">
        <w:rPr>
          <w:rFonts w:cs="Arial"/>
          <w:sz w:val="26"/>
          <w:szCs w:val="26"/>
        </w:rPr>
        <w:t>actoras.</w:t>
      </w:r>
    </w:p>
    <w:p w14:paraId="4BE5457B" w14:textId="77777777" w:rsidR="006032E3" w:rsidRPr="00A36289" w:rsidRDefault="006032E3" w:rsidP="00263912">
      <w:pPr>
        <w:pStyle w:val="corte4fondo"/>
        <w:ind w:right="51" w:hanging="567"/>
        <w:rPr>
          <w:rFonts w:cs="Arial"/>
          <w:sz w:val="26"/>
          <w:szCs w:val="26"/>
        </w:rPr>
      </w:pPr>
    </w:p>
    <w:p w14:paraId="6FEA5203" w14:textId="389D92B7" w:rsidR="00B92E09" w:rsidRPr="00A36289" w:rsidRDefault="00D61523" w:rsidP="00263912">
      <w:pPr>
        <w:pStyle w:val="corte4fondo"/>
        <w:numPr>
          <w:ilvl w:val="0"/>
          <w:numId w:val="2"/>
        </w:numPr>
        <w:ind w:left="0" w:right="51" w:hanging="567"/>
        <w:rPr>
          <w:rFonts w:cs="Arial"/>
          <w:b/>
          <w:bCs/>
          <w:sz w:val="26"/>
          <w:szCs w:val="26"/>
        </w:rPr>
      </w:pPr>
      <w:r w:rsidRPr="00A36289">
        <w:rPr>
          <w:rFonts w:cs="Arial"/>
          <w:sz w:val="26"/>
          <w:szCs w:val="26"/>
        </w:rPr>
        <w:t xml:space="preserve">Ahora, clarificamos que la condena anterior no es procedente respecto de la persona moral Dahnos. </w:t>
      </w:r>
      <w:r w:rsidR="00901D20" w:rsidRPr="00A36289">
        <w:rPr>
          <w:rFonts w:cs="Arial"/>
          <w:sz w:val="26"/>
          <w:szCs w:val="26"/>
        </w:rPr>
        <w:t>E</w:t>
      </w:r>
      <w:r w:rsidR="0062425D" w:rsidRPr="00A36289">
        <w:rPr>
          <w:rFonts w:cs="Arial"/>
          <w:sz w:val="26"/>
          <w:szCs w:val="26"/>
        </w:rPr>
        <w:t xml:space="preserve">sta Sala recuerda </w:t>
      </w:r>
      <w:r w:rsidR="0044096D" w:rsidRPr="00A36289">
        <w:rPr>
          <w:rFonts w:cs="Arial"/>
          <w:sz w:val="26"/>
          <w:szCs w:val="26"/>
        </w:rPr>
        <w:t>que</w:t>
      </w:r>
      <w:r w:rsidR="00B544BF" w:rsidRPr="00A36289">
        <w:rPr>
          <w:rFonts w:cs="Arial"/>
          <w:sz w:val="26"/>
          <w:szCs w:val="26"/>
        </w:rPr>
        <w:t>, en la sentencia</w:t>
      </w:r>
      <w:r w:rsidR="006C4B25" w:rsidRPr="00A36289">
        <w:rPr>
          <w:rFonts w:cs="Arial"/>
          <w:sz w:val="26"/>
          <w:szCs w:val="26"/>
        </w:rPr>
        <w:t xml:space="preserve"> de apelación</w:t>
      </w:r>
      <w:r w:rsidR="00B544BF" w:rsidRPr="00A36289">
        <w:rPr>
          <w:rFonts w:cs="Arial"/>
          <w:sz w:val="26"/>
          <w:szCs w:val="26"/>
        </w:rPr>
        <w:t>,</w:t>
      </w:r>
      <w:r w:rsidR="0044096D" w:rsidRPr="00A36289">
        <w:rPr>
          <w:rFonts w:cs="Arial"/>
          <w:sz w:val="26"/>
          <w:szCs w:val="26"/>
        </w:rPr>
        <w:t xml:space="preserve"> la </w:t>
      </w:r>
      <w:r w:rsidR="00B544BF" w:rsidRPr="00A36289">
        <w:rPr>
          <w:rFonts w:cs="Arial"/>
          <w:sz w:val="26"/>
          <w:szCs w:val="26"/>
        </w:rPr>
        <w:t>sala</w:t>
      </w:r>
      <w:r w:rsidR="0044096D" w:rsidRPr="00A36289">
        <w:rPr>
          <w:rFonts w:cs="Arial"/>
          <w:sz w:val="26"/>
          <w:szCs w:val="26"/>
        </w:rPr>
        <w:t xml:space="preserve"> </w:t>
      </w:r>
      <w:r w:rsidR="006C4B25" w:rsidRPr="00A36289">
        <w:rPr>
          <w:rFonts w:cs="Arial"/>
          <w:sz w:val="26"/>
          <w:szCs w:val="26"/>
        </w:rPr>
        <w:t xml:space="preserve">responsable </w:t>
      </w:r>
      <w:r w:rsidR="0044096D" w:rsidRPr="00A36289">
        <w:rPr>
          <w:rFonts w:cs="Arial"/>
          <w:sz w:val="26"/>
          <w:szCs w:val="26"/>
        </w:rPr>
        <w:t xml:space="preserve">consideró que </w:t>
      </w:r>
      <w:r w:rsidR="0031185F" w:rsidRPr="00A36289">
        <w:rPr>
          <w:rFonts w:cs="Arial"/>
          <w:sz w:val="26"/>
          <w:szCs w:val="26"/>
        </w:rPr>
        <w:t xml:space="preserve">Dahnos no </w:t>
      </w:r>
      <w:r w:rsidR="0031185F" w:rsidRPr="00BC233A">
        <w:rPr>
          <w:rFonts w:cs="Arial"/>
          <w:sz w:val="26"/>
          <w:szCs w:val="26"/>
        </w:rPr>
        <w:t>tenía legitimación pasiva en la causa</w:t>
      </w:r>
      <w:r w:rsidR="00887E13" w:rsidRPr="00BC233A">
        <w:rPr>
          <w:rFonts w:cs="Arial"/>
          <w:sz w:val="26"/>
          <w:szCs w:val="26"/>
        </w:rPr>
        <w:t xml:space="preserve">. </w:t>
      </w:r>
      <w:r w:rsidRPr="00BC233A">
        <w:rPr>
          <w:rFonts w:cs="Arial"/>
          <w:sz w:val="26"/>
          <w:szCs w:val="26"/>
        </w:rPr>
        <w:t>La</w:t>
      </w:r>
      <w:r w:rsidR="00B92E09" w:rsidRPr="00BC233A">
        <w:rPr>
          <w:rFonts w:cs="Arial"/>
          <w:sz w:val="26"/>
          <w:szCs w:val="26"/>
        </w:rPr>
        <w:t xml:space="preserve"> sala recontó que, al absolver diversas posiciones, </w:t>
      </w:r>
      <w:r w:rsidR="00B92E09" w:rsidRPr="00A36289">
        <w:rPr>
          <w:rFonts w:cs="Arial"/>
          <w:sz w:val="26"/>
          <w:szCs w:val="26"/>
        </w:rPr>
        <w:t xml:space="preserve">Dahnos reconoció i) ser una persona moral dedicada al desarrollo, </w:t>
      </w:r>
      <w:r w:rsidR="00B92E09" w:rsidRPr="00A36289">
        <w:rPr>
          <w:rFonts w:cs="Arial"/>
          <w:sz w:val="26"/>
          <w:szCs w:val="26"/>
        </w:rPr>
        <w:lastRenderedPageBreak/>
        <w:t>arrendamiento, operación y administración de centros comerciales, oficinas y proyectos de usos mixtos; ii) ser la desarrolladora del centro comercial “Reforma 222”</w:t>
      </w:r>
      <w:r w:rsidR="006C484B" w:rsidRPr="00A36289">
        <w:rPr>
          <w:rFonts w:cs="Arial"/>
          <w:sz w:val="26"/>
          <w:szCs w:val="26"/>
        </w:rPr>
        <w:t>,</w:t>
      </w:r>
      <w:r w:rsidR="00B92E09" w:rsidRPr="00A36289">
        <w:rPr>
          <w:rFonts w:cs="Arial"/>
          <w:sz w:val="26"/>
          <w:szCs w:val="26"/>
        </w:rPr>
        <w:t xml:space="preserve"> y iii) ser la operadora de un fideicomiso de inversión y bienes raíces denominado </w:t>
      </w:r>
      <w:r w:rsidR="00D90657" w:rsidRPr="00A36289">
        <w:rPr>
          <w:rFonts w:cs="Arial"/>
          <w:sz w:val="26"/>
          <w:szCs w:val="26"/>
        </w:rPr>
        <w:t>“</w:t>
      </w:r>
      <w:r w:rsidR="00B92E09" w:rsidRPr="00A36289">
        <w:rPr>
          <w:rFonts w:cs="Arial"/>
          <w:sz w:val="26"/>
          <w:szCs w:val="26"/>
        </w:rPr>
        <w:t>Fibra Danhos</w:t>
      </w:r>
      <w:r w:rsidR="00D90657" w:rsidRPr="00A36289">
        <w:rPr>
          <w:rFonts w:cs="Arial"/>
          <w:sz w:val="26"/>
          <w:szCs w:val="26"/>
        </w:rPr>
        <w:t>”.</w:t>
      </w:r>
      <w:r w:rsidR="00B92E09" w:rsidRPr="00A36289">
        <w:rPr>
          <w:rFonts w:cs="Arial"/>
          <w:sz w:val="26"/>
          <w:szCs w:val="26"/>
        </w:rPr>
        <w:t xml:space="preserve"> </w:t>
      </w:r>
    </w:p>
    <w:p w14:paraId="6277D04B" w14:textId="77777777" w:rsidR="00B92E09" w:rsidRPr="00A36289" w:rsidRDefault="00B92E09" w:rsidP="00263912">
      <w:pPr>
        <w:pStyle w:val="corte4fondo"/>
        <w:ind w:right="51" w:hanging="567"/>
        <w:rPr>
          <w:rFonts w:cs="Arial"/>
          <w:b/>
          <w:bCs/>
          <w:sz w:val="26"/>
          <w:szCs w:val="26"/>
        </w:rPr>
      </w:pPr>
    </w:p>
    <w:p w14:paraId="3AAD11FD" w14:textId="3D191BB3" w:rsidR="00FB28B5" w:rsidRPr="00B75A85" w:rsidRDefault="00B92E09" w:rsidP="00263912">
      <w:pPr>
        <w:pStyle w:val="corte4fondo"/>
        <w:numPr>
          <w:ilvl w:val="0"/>
          <w:numId w:val="2"/>
        </w:numPr>
        <w:ind w:left="0" w:right="51" w:hanging="567"/>
        <w:rPr>
          <w:rFonts w:cs="Arial"/>
          <w:sz w:val="26"/>
          <w:szCs w:val="26"/>
          <w:lang w:val="es-ES"/>
        </w:rPr>
      </w:pPr>
      <w:r w:rsidRPr="00A36289">
        <w:rPr>
          <w:rFonts w:cs="Arial"/>
          <w:sz w:val="26"/>
          <w:szCs w:val="26"/>
        </w:rPr>
        <w:t>No obstante, la autoridad responsable c</w:t>
      </w:r>
      <w:r w:rsidR="00887E13" w:rsidRPr="00A36289">
        <w:rPr>
          <w:rFonts w:cs="Arial"/>
          <w:sz w:val="26"/>
          <w:szCs w:val="26"/>
        </w:rPr>
        <w:t xml:space="preserve">onsideró que el hecho de que </w:t>
      </w:r>
      <w:r w:rsidR="00FE681D" w:rsidRPr="00A36289">
        <w:rPr>
          <w:rFonts w:cs="Arial"/>
          <w:sz w:val="26"/>
          <w:szCs w:val="26"/>
        </w:rPr>
        <w:t>Dahnos</w:t>
      </w:r>
      <w:r w:rsidR="00887E13" w:rsidRPr="00A36289">
        <w:rPr>
          <w:rFonts w:cs="Arial"/>
          <w:sz w:val="26"/>
          <w:szCs w:val="26"/>
        </w:rPr>
        <w:t xml:space="preserve"> hubie</w:t>
      </w:r>
      <w:r w:rsidR="00DB466A" w:rsidRPr="00A36289">
        <w:rPr>
          <w:rFonts w:cs="Arial"/>
          <w:sz w:val="26"/>
          <w:szCs w:val="26"/>
        </w:rPr>
        <w:t>ra</w:t>
      </w:r>
      <w:r w:rsidR="00887E13" w:rsidRPr="00A36289">
        <w:rPr>
          <w:rFonts w:cs="Arial"/>
          <w:sz w:val="26"/>
          <w:szCs w:val="26"/>
        </w:rPr>
        <w:t xml:space="preserve"> reconocido</w:t>
      </w:r>
      <w:r w:rsidR="00DB466A" w:rsidRPr="00A36289">
        <w:rPr>
          <w:rFonts w:cs="Arial"/>
          <w:sz w:val="26"/>
          <w:szCs w:val="26"/>
        </w:rPr>
        <w:t xml:space="preserve"> </w:t>
      </w:r>
      <w:r w:rsidR="00887E13" w:rsidRPr="00A36289">
        <w:rPr>
          <w:rFonts w:cs="Arial"/>
          <w:sz w:val="26"/>
          <w:szCs w:val="26"/>
        </w:rPr>
        <w:t xml:space="preserve">ser la desarrolladora del centro comercial </w:t>
      </w:r>
      <w:r w:rsidR="00DB466A" w:rsidRPr="00A36289">
        <w:rPr>
          <w:rFonts w:cs="Arial"/>
          <w:sz w:val="26"/>
          <w:szCs w:val="26"/>
        </w:rPr>
        <w:t>“</w:t>
      </w:r>
      <w:r w:rsidR="00887E13" w:rsidRPr="00A36289">
        <w:rPr>
          <w:rFonts w:cs="Arial"/>
          <w:sz w:val="26"/>
          <w:szCs w:val="26"/>
        </w:rPr>
        <w:t>Reforma 222</w:t>
      </w:r>
      <w:r w:rsidR="00DB466A" w:rsidRPr="00A36289">
        <w:rPr>
          <w:rFonts w:cs="Arial"/>
          <w:sz w:val="26"/>
          <w:szCs w:val="26"/>
        </w:rPr>
        <w:t>”</w:t>
      </w:r>
      <w:r w:rsidR="00887E13" w:rsidRPr="00A36289">
        <w:rPr>
          <w:rFonts w:cs="Arial"/>
          <w:sz w:val="26"/>
          <w:szCs w:val="26"/>
        </w:rPr>
        <w:t xml:space="preserve"> no la obliga</w:t>
      </w:r>
      <w:r w:rsidR="00FE681D" w:rsidRPr="00A36289">
        <w:rPr>
          <w:rFonts w:cs="Arial"/>
          <w:sz w:val="26"/>
          <w:szCs w:val="26"/>
        </w:rPr>
        <w:t>ba</w:t>
      </w:r>
      <w:r w:rsidR="00887E13" w:rsidRPr="00A36289">
        <w:rPr>
          <w:rFonts w:cs="Arial"/>
          <w:sz w:val="26"/>
          <w:szCs w:val="26"/>
        </w:rPr>
        <w:t xml:space="preserve"> a responder de las prestaciones exigidas por </w:t>
      </w:r>
      <w:r w:rsidR="00887E13" w:rsidRPr="00B75A85">
        <w:rPr>
          <w:rFonts w:cs="Arial"/>
          <w:sz w:val="26"/>
          <w:szCs w:val="26"/>
        </w:rPr>
        <w:t xml:space="preserve">las </w:t>
      </w:r>
      <w:r w:rsidR="00DB466A" w:rsidRPr="00B75A85">
        <w:rPr>
          <w:rFonts w:cs="Arial"/>
          <w:sz w:val="26"/>
          <w:szCs w:val="26"/>
        </w:rPr>
        <w:t>actoras</w:t>
      </w:r>
      <w:r w:rsidR="00FE681D" w:rsidRPr="00B75A85">
        <w:rPr>
          <w:rFonts w:cs="Arial"/>
          <w:sz w:val="26"/>
          <w:szCs w:val="26"/>
        </w:rPr>
        <w:t>, ya que las desarrolladoras inmobiliarias son aquellas personas dedicadas a la ejecución y construcción de inmuebles</w:t>
      </w:r>
      <w:r w:rsidR="00887E13" w:rsidRPr="00B75A85">
        <w:rPr>
          <w:rFonts w:cs="Arial"/>
          <w:sz w:val="26"/>
          <w:szCs w:val="26"/>
        </w:rPr>
        <w:t>.</w:t>
      </w:r>
      <w:r w:rsidR="00FE681D" w:rsidRPr="00B75A85">
        <w:rPr>
          <w:rFonts w:cs="Arial"/>
          <w:sz w:val="26"/>
          <w:szCs w:val="26"/>
        </w:rPr>
        <w:t xml:space="preserve"> </w:t>
      </w:r>
      <w:r w:rsidR="00FB2E7E" w:rsidRPr="00B75A85">
        <w:rPr>
          <w:rFonts w:cs="Arial"/>
          <w:sz w:val="26"/>
          <w:szCs w:val="26"/>
        </w:rPr>
        <w:t>Además</w:t>
      </w:r>
      <w:r w:rsidR="00887E13" w:rsidRPr="00B75A85">
        <w:rPr>
          <w:rFonts w:cs="Arial"/>
          <w:sz w:val="26"/>
          <w:szCs w:val="26"/>
        </w:rPr>
        <w:t xml:space="preserve">, </w:t>
      </w:r>
      <w:r w:rsidR="00FE681D" w:rsidRPr="00B75A85">
        <w:rPr>
          <w:rFonts w:cs="Arial"/>
          <w:sz w:val="26"/>
          <w:szCs w:val="26"/>
        </w:rPr>
        <w:t>sostuvo</w:t>
      </w:r>
      <w:r w:rsidR="00887E13" w:rsidRPr="00B75A85">
        <w:rPr>
          <w:rFonts w:cs="Arial"/>
          <w:sz w:val="26"/>
          <w:szCs w:val="26"/>
        </w:rPr>
        <w:t xml:space="preserve"> que las </w:t>
      </w:r>
      <w:r w:rsidR="0011683F" w:rsidRPr="00B75A85">
        <w:rPr>
          <w:rFonts w:cs="Arial"/>
          <w:sz w:val="26"/>
          <w:szCs w:val="26"/>
        </w:rPr>
        <w:t>actoras</w:t>
      </w:r>
      <w:r w:rsidR="00887E13" w:rsidRPr="00B75A85">
        <w:rPr>
          <w:rFonts w:cs="Arial"/>
          <w:sz w:val="26"/>
          <w:szCs w:val="26"/>
        </w:rPr>
        <w:t xml:space="preserve"> no aportaron medio probatorio alguno respecto del fideicomiso de inversión y bienes raíces </w:t>
      </w:r>
      <w:r w:rsidR="00887E13" w:rsidRPr="00A36289">
        <w:rPr>
          <w:rFonts w:cs="Arial"/>
          <w:sz w:val="26"/>
          <w:szCs w:val="26"/>
        </w:rPr>
        <w:t xml:space="preserve">denominado </w:t>
      </w:r>
      <w:r w:rsidR="00FE681D" w:rsidRPr="00A36289">
        <w:rPr>
          <w:rFonts w:cs="Arial"/>
          <w:sz w:val="26"/>
          <w:szCs w:val="26"/>
        </w:rPr>
        <w:t>“</w:t>
      </w:r>
      <w:r w:rsidR="00887E13" w:rsidRPr="00A36289">
        <w:rPr>
          <w:rFonts w:cs="Arial"/>
          <w:sz w:val="26"/>
          <w:szCs w:val="26"/>
        </w:rPr>
        <w:t>Fibra Danhos</w:t>
      </w:r>
      <w:r w:rsidR="00FE681D" w:rsidRPr="00A36289">
        <w:rPr>
          <w:rFonts w:cs="Arial"/>
          <w:sz w:val="26"/>
          <w:szCs w:val="26"/>
        </w:rPr>
        <w:t>”,</w:t>
      </w:r>
      <w:r w:rsidR="00887E13" w:rsidRPr="00A36289">
        <w:rPr>
          <w:rFonts w:cs="Arial"/>
          <w:sz w:val="26"/>
          <w:szCs w:val="26"/>
        </w:rPr>
        <w:t xml:space="preserve"> a fin de determinar si con base en él exist</w:t>
      </w:r>
      <w:r w:rsidR="00677F54" w:rsidRPr="00A36289">
        <w:rPr>
          <w:rFonts w:cs="Arial"/>
          <w:sz w:val="26"/>
          <w:szCs w:val="26"/>
        </w:rPr>
        <w:t>ía</w:t>
      </w:r>
      <w:r w:rsidR="00887E13" w:rsidRPr="00A36289">
        <w:rPr>
          <w:rFonts w:cs="Arial"/>
          <w:sz w:val="26"/>
          <w:szCs w:val="26"/>
        </w:rPr>
        <w:t xml:space="preserve"> </w:t>
      </w:r>
      <w:r w:rsidR="00677F54" w:rsidRPr="00A36289">
        <w:rPr>
          <w:rFonts w:cs="Arial"/>
          <w:sz w:val="26"/>
          <w:szCs w:val="26"/>
        </w:rPr>
        <w:t>la</w:t>
      </w:r>
      <w:r w:rsidR="00887E13" w:rsidRPr="00A36289">
        <w:rPr>
          <w:rFonts w:cs="Arial"/>
          <w:sz w:val="26"/>
          <w:szCs w:val="26"/>
        </w:rPr>
        <w:t xml:space="preserve"> obligación d</w:t>
      </w:r>
      <w:r w:rsidR="00677F54" w:rsidRPr="00A36289">
        <w:rPr>
          <w:rFonts w:cs="Arial"/>
          <w:sz w:val="26"/>
          <w:szCs w:val="26"/>
        </w:rPr>
        <w:t>e</w:t>
      </w:r>
      <w:r w:rsidR="00887E13" w:rsidRPr="00A36289">
        <w:rPr>
          <w:rFonts w:cs="Arial"/>
          <w:sz w:val="26"/>
          <w:szCs w:val="26"/>
        </w:rPr>
        <w:t xml:space="preserve"> Danhos de </w:t>
      </w:r>
      <w:r w:rsidR="00887E13" w:rsidRPr="00B75A85">
        <w:rPr>
          <w:rFonts w:cs="Arial"/>
          <w:sz w:val="26"/>
          <w:szCs w:val="26"/>
        </w:rPr>
        <w:t xml:space="preserve">satisfacer las prestaciones </w:t>
      </w:r>
      <w:r w:rsidR="00677F54" w:rsidRPr="00B75A85">
        <w:rPr>
          <w:rFonts w:cs="Arial"/>
          <w:sz w:val="26"/>
          <w:szCs w:val="26"/>
        </w:rPr>
        <w:t>reclamadas</w:t>
      </w:r>
      <w:r w:rsidR="006C4B25" w:rsidRPr="00B75A85">
        <w:rPr>
          <w:rStyle w:val="Refdenotaalpie"/>
          <w:rFonts w:cs="Arial"/>
          <w:sz w:val="26"/>
          <w:szCs w:val="26"/>
          <w:lang w:val="es-ES"/>
        </w:rPr>
        <w:footnoteReference w:id="137"/>
      </w:r>
      <w:r w:rsidR="00887E13" w:rsidRPr="00B75A85">
        <w:rPr>
          <w:rFonts w:cs="Arial"/>
          <w:sz w:val="26"/>
          <w:szCs w:val="26"/>
        </w:rPr>
        <w:t xml:space="preserve">. </w:t>
      </w:r>
    </w:p>
    <w:p w14:paraId="0B9A0BD3" w14:textId="77777777" w:rsidR="00FB28B5" w:rsidRPr="00C70F51" w:rsidRDefault="00FB28B5" w:rsidP="00263912">
      <w:pPr>
        <w:pStyle w:val="corte4fondo"/>
        <w:ind w:right="51" w:hanging="567"/>
        <w:rPr>
          <w:rFonts w:cs="Arial"/>
          <w:sz w:val="26"/>
          <w:szCs w:val="26"/>
          <w:lang w:val="es-ES"/>
        </w:rPr>
      </w:pPr>
    </w:p>
    <w:p w14:paraId="39CCC9E3" w14:textId="2DDB16A5" w:rsidR="00996C47" w:rsidRPr="00C70F51" w:rsidRDefault="00EF32FA" w:rsidP="00263912">
      <w:pPr>
        <w:pStyle w:val="corte4fondo"/>
        <w:numPr>
          <w:ilvl w:val="0"/>
          <w:numId w:val="2"/>
        </w:numPr>
        <w:ind w:left="0" w:right="51" w:hanging="567"/>
        <w:rPr>
          <w:rFonts w:cs="Arial"/>
          <w:sz w:val="26"/>
          <w:szCs w:val="26"/>
          <w:lang w:val="es-ES"/>
        </w:rPr>
      </w:pPr>
      <w:r w:rsidRPr="00C70F51">
        <w:rPr>
          <w:rFonts w:cs="Arial"/>
          <w:sz w:val="26"/>
          <w:szCs w:val="26"/>
          <w:lang w:val="es-ES"/>
        </w:rPr>
        <w:t>Al respecto</w:t>
      </w:r>
      <w:r w:rsidR="00664CDE" w:rsidRPr="00C70F51">
        <w:rPr>
          <w:rFonts w:cs="Arial"/>
          <w:sz w:val="26"/>
          <w:szCs w:val="26"/>
          <w:lang w:val="es-ES"/>
        </w:rPr>
        <w:t>,</w:t>
      </w:r>
      <w:r w:rsidR="004D05A5" w:rsidRPr="00C70F51">
        <w:rPr>
          <w:rFonts w:cs="Arial"/>
          <w:sz w:val="26"/>
          <w:szCs w:val="26"/>
          <w:lang w:val="es-ES"/>
        </w:rPr>
        <w:t xml:space="preserve"> </w:t>
      </w:r>
      <w:r w:rsidR="00BA11EC" w:rsidRPr="00C70F51">
        <w:rPr>
          <w:rFonts w:cs="Arial"/>
          <w:sz w:val="26"/>
          <w:szCs w:val="26"/>
          <w:lang w:val="es-ES"/>
        </w:rPr>
        <w:t xml:space="preserve">las quejosas sostuvieron que ellas habían demandado al pago de las </w:t>
      </w:r>
      <w:r w:rsidR="00BA11EC" w:rsidRPr="00A36289">
        <w:rPr>
          <w:rFonts w:cs="Arial"/>
          <w:sz w:val="26"/>
          <w:szCs w:val="26"/>
          <w:lang w:val="es-ES"/>
        </w:rPr>
        <w:t xml:space="preserve">prestaciones a </w:t>
      </w:r>
      <w:r w:rsidR="00786A40" w:rsidRPr="00A36289">
        <w:rPr>
          <w:rFonts w:cs="Arial"/>
          <w:sz w:val="26"/>
          <w:szCs w:val="26"/>
          <w:lang w:val="es-ES"/>
        </w:rPr>
        <w:t>“Grupo Danhos”</w:t>
      </w:r>
      <w:r w:rsidR="00BA11EC" w:rsidRPr="00A36289">
        <w:rPr>
          <w:rFonts w:cs="Arial"/>
          <w:sz w:val="26"/>
          <w:szCs w:val="26"/>
          <w:lang w:val="es-ES"/>
        </w:rPr>
        <w:t>, por lo que el hecho de que</w:t>
      </w:r>
      <w:r w:rsidR="00786A40" w:rsidRPr="00A36289">
        <w:rPr>
          <w:rFonts w:cs="Arial"/>
          <w:sz w:val="26"/>
          <w:szCs w:val="26"/>
          <w:lang w:val="es-ES"/>
        </w:rPr>
        <w:t xml:space="preserve"> Danhos </w:t>
      </w:r>
      <w:r w:rsidR="00BA11EC" w:rsidRPr="00A36289">
        <w:rPr>
          <w:rFonts w:cs="Arial"/>
          <w:sz w:val="26"/>
          <w:szCs w:val="26"/>
          <w:lang w:val="es-ES"/>
        </w:rPr>
        <w:t>hubiere</w:t>
      </w:r>
      <w:r w:rsidR="00786A40" w:rsidRPr="00A36289">
        <w:rPr>
          <w:rFonts w:cs="Arial"/>
          <w:sz w:val="26"/>
          <w:szCs w:val="26"/>
          <w:lang w:val="es-ES"/>
        </w:rPr>
        <w:t xml:space="preserve"> comparecido a juicio </w:t>
      </w:r>
      <w:r w:rsidR="00786A40" w:rsidRPr="00A36289">
        <w:rPr>
          <w:rFonts w:cs="Arial"/>
          <w:i/>
          <w:sz w:val="26"/>
          <w:szCs w:val="26"/>
          <w:lang w:val="es-ES"/>
        </w:rPr>
        <w:t>motu proprio</w:t>
      </w:r>
      <w:r w:rsidR="00786A40" w:rsidRPr="00A36289">
        <w:rPr>
          <w:rFonts w:cs="Arial"/>
          <w:sz w:val="26"/>
          <w:szCs w:val="26"/>
          <w:lang w:val="es-ES"/>
        </w:rPr>
        <w:t>,</w:t>
      </w:r>
      <w:r w:rsidR="00BA11EC" w:rsidRPr="00A36289">
        <w:rPr>
          <w:rFonts w:cs="Arial"/>
          <w:sz w:val="26"/>
          <w:szCs w:val="26"/>
          <w:lang w:val="es-ES"/>
        </w:rPr>
        <w:t xml:space="preserve"> no podía </w:t>
      </w:r>
      <w:r w:rsidR="00786A40" w:rsidRPr="00A36289">
        <w:rPr>
          <w:rFonts w:cs="Arial"/>
          <w:sz w:val="26"/>
          <w:szCs w:val="26"/>
          <w:lang w:val="es-ES"/>
        </w:rPr>
        <w:t xml:space="preserve">tener el alcance para condenarlas por haber ejercitado una acción improcedente en su contra. </w:t>
      </w:r>
      <w:r w:rsidR="000D2468" w:rsidRPr="00A36289">
        <w:rPr>
          <w:rFonts w:cs="Arial"/>
          <w:sz w:val="26"/>
          <w:szCs w:val="26"/>
          <w:lang w:val="es-ES"/>
        </w:rPr>
        <w:t>También</w:t>
      </w:r>
      <w:r w:rsidR="00996C47" w:rsidRPr="00A36289">
        <w:rPr>
          <w:rFonts w:cs="Arial"/>
          <w:sz w:val="26"/>
          <w:szCs w:val="26"/>
          <w:lang w:val="es-ES"/>
        </w:rPr>
        <w:t xml:space="preserve"> consideraron que la sala debió haber llamado a juicio a Concentradora Fibra Danhos, al actualizarse la figura de litisconsorcio pasivo necesario entre ésta y las demandadas</w:t>
      </w:r>
      <w:r w:rsidR="00996C47" w:rsidRPr="00C70F51">
        <w:rPr>
          <w:rStyle w:val="Refdenotaalpie"/>
          <w:rFonts w:cs="Arial"/>
          <w:sz w:val="26"/>
          <w:szCs w:val="26"/>
          <w:lang w:val="es-ES"/>
        </w:rPr>
        <w:footnoteReference w:id="138"/>
      </w:r>
      <w:r w:rsidR="00996C47" w:rsidRPr="00C70F51">
        <w:rPr>
          <w:rFonts w:cs="Arial"/>
          <w:sz w:val="26"/>
          <w:szCs w:val="26"/>
          <w:lang w:val="es-ES"/>
        </w:rPr>
        <w:t>.</w:t>
      </w:r>
    </w:p>
    <w:p w14:paraId="10B9FD65" w14:textId="77777777" w:rsidR="00996C47" w:rsidRPr="00C70F51" w:rsidRDefault="00996C47" w:rsidP="00263912">
      <w:pPr>
        <w:pStyle w:val="corte4fondo"/>
        <w:ind w:right="51" w:hanging="567"/>
        <w:rPr>
          <w:rFonts w:cs="Arial"/>
          <w:sz w:val="26"/>
          <w:szCs w:val="26"/>
          <w:lang w:val="es-ES"/>
        </w:rPr>
      </w:pPr>
    </w:p>
    <w:p w14:paraId="713EE221" w14:textId="06E32704" w:rsidR="00996C47" w:rsidRPr="00A36289" w:rsidRDefault="00996C47" w:rsidP="00263912">
      <w:pPr>
        <w:pStyle w:val="corte4fondo"/>
        <w:numPr>
          <w:ilvl w:val="0"/>
          <w:numId w:val="2"/>
        </w:numPr>
        <w:ind w:left="0" w:right="51" w:hanging="567"/>
        <w:rPr>
          <w:rFonts w:cs="Arial"/>
          <w:sz w:val="26"/>
          <w:szCs w:val="26"/>
          <w:lang w:val="es-ES"/>
        </w:rPr>
      </w:pPr>
      <w:r w:rsidRPr="00C70F51">
        <w:rPr>
          <w:rFonts w:cs="Arial"/>
          <w:sz w:val="26"/>
          <w:szCs w:val="26"/>
          <w:lang w:val="es-ES"/>
        </w:rPr>
        <w:t xml:space="preserve">Como resolvimos en apartados precedentes, </w:t>
      </w:r>
      <w:r w:rsidR="00535567" w:rsidRPr="00C70F51">
        <w:rPr>
          <w:rFonts w:cs="Arial"/>
          <w:sz w:val="26"/>
          <w:szCs w:val="26"/>
          <w:lang w:val="es-ES"/>
        </w:rPr>
        <w:t xml:space="preserve">estos </w:t>
      </w:r>
      <w:r w:rsidR="00195654" w:rsidRPr="00C70F51">
        <w:rPr>
          <w:rFonts w:cs="Arial"/>
          <w:sz w:val="26"/>
          <w:szCs w:val="26"/>
          <w:lang w:val="es-ES"/>
        </w:rPr>
        <w:t>planteamientos</w:t>
      </w:r>
      <w:r w:rsidR="00415E62" w:rsidRPr="00C70F51">
        <w:rPr>
          <w:rFonts w:cs="Arial"/>
          <w:color w:val="4D5156"/>
          <w:sz w:val="26"/>
          <w:szCs w:val="26"/>
          <w:shd w:val="clear" w:color="auto" w:fill="FFFFFF"/>
        </w:rPr>
        <w:t xml:space="preserve"> </w:t>
      </w:r>
      <w:r w:rsidR="00415E62" w:rsidRPr="00C70F51">
        <w:rPr>
          <w:rFonts w:cs="Arial"/>
          <w:color w:val="000000" w:themeColor="text1"/>
          <w:sz w:val="26"/>
          <w:szCs w:val="26"/>
          <w:lang w:val="es-ES"/>
        </w:rPr>
        <w:t>resultaron inoperantes</w:t>
      </w:r>
      <w:r w:rsidR="00AB47C0">
        <w:rPr>
          <w:rFonts w:cs="Arial"/>
          <w:color w:val="000000" w:themeColor="text1"/>
          <w:sz w:val="26"/>
          <w:szCs w:val="26"/>
          <w:lang w:val="es-ES"/>
        </w:rPr>
        <w:t xml:space="preserve"> e infundados</w:t>
      </w:r>
      <w:r w:rsidR="00415E62" w:rsidRPr="00C70F51">
        <w:rPr>
          <w:rFonts w:cs="Arial"/>
          <w:color w:val="000000" w:themeColor="text1"/>
          <w:sz w:val="26"/>
          <w:szCs w:val="26"/>
          <w:lang w:val="es-ES"/>
        </w:rPr>
        <w:t xml:space="preserve">. </w:t>
      </w:r>
      <w:r w:rsidR="000D2468" w:rsidRPr="00C70F51">
        <w:rPr>
          <w:rFonts w:cs="Arial"/>
          <w:color w:val="000000" w:themeColor="text1"/>
          <w:sz w:val="26"/>
          <w:szCs w:val="26"/>
          <w:lang w:val="es-ES"/>
        </w:rPr>
        <w:t>Asimismo,</w:t>
      </w:r>
      <w:r w:rsidR="0050445B" w:rsidRPr="00C70F51">
        <w:rPr>
          <w:rFonts w:cs="Arial"/>
          <w:color w:val="000000" w:themeColor="text1"/>
          <w:sz w:val="26"/>
          <w:szCs w:val="26"/>
          <w:lang w:val="es-ES"/>
        </w:rPr>
        <w:t xml:space="preserve"> advertimos que las quejosas no encaminaron sus conceptos de violación </w:t>
      </w:r>
      <w:r w:rsidR="00510CD7" w:rsidRPr="00C70F51">
        <w:rPr>
          <w:rFonts w:cs="Arial"/>
          <w:color w:val="000000" w:themeColor="text1"/>
          <w:sz w:val="26"/>
          <w:szCs w:val="26"/>
          <w:lang w:val="es-ES"/>
        </w:rPr>
        <w:t>a</w:t>
      </w:r>
      <w:r w:rsidR="0050445B" w:rsidRPr="00C70F51">
        <w:rPr>
          <w:rFonts w:cs="Arial"/>
          <w:color w:val="000000" w:themeColor="text1"/>
          <w:sz w:val="26"/>
          <w:szCs w:val="26"/>
          <w:lang w:val="es-ES"/>
        </w:rPr>
        <w:t xml:space="preserve"> sostener, por ejemplo, por</w:t>
      </w:r>
      <w:r w:rsidR="00205198" w:rsidRPr="00C70F51">
        <w:rPr>
          <w:rFonts w:cs="Arial"/>
          <w:color w:val="000000" w:themeColor="text1"/>
          <w:sz w:val="26"/>
          <w:szCs w:val="26"/>
          <w:lang w:val="es-ES"/>
        </w:rPr>
        <w:t xml:space="preserve"> </w:t>
      </w:r>
      <w:r w:rsidR="0050445B" w:rsidRPr="00C70F51">
        <w:rPr>
          <w:rFonts w:cs="Arial"/>
          <w:color w:val="000000" w:themeColor="text1"/>
          <w:sz w:val="26"/>
          <w:szCs w:val="26"/>
          <w:lang w:val="es-ES"/>
        </w:rPr>
        <w:t xml:space="preserve">qué </w:t>
      </w:r>
      <w:r w:rsidR="003177FC" w:rsidRPr="00A36289">
        <w:rPr>
          <w:rFonts w:cs="Arial"/>
          <w:sz w:val="26"/>
          <w:szCs w:val="26"/>
          <w:lang w:val="es-ES"/>
        </w:rPr>
        <w:t>Dahnos sí tenía legitimación pasiva en la caus</w:t>
      </w:r>
      <w:r w:rsidR="00CE534C" w:rsidRPr="00A36289">
        <w:rPr>
          <w:rFonts w:cs="Arial"/>
          <w:sz w:val="26"/>
          <w:szCs w:val="26"/>
          <w:lang w:val="es-ES"/>
        </w:rPr>
        <w:t>a</w:t>
      </w:r>
      <w:r w:rsidR="00205198" w:rsidRPr="00A36289">
        <w:rPr>
          <w:rFonts w:cs="Arial"/>
          <w:sz w:val="26"/>
          <w:szCs w:val="26"/>
          <w:lang w:val="es-ES"/>
        </w:rPr>
        <w:t>, contrario a lo afirmado por la sala</w:t>
      </w:r>
      <w:r w:rsidR="00430B58" w:rsidRPr="00A36289">
        <w:rPr>
          <w:rFonts w:cs="Arial"/>
          <w:sz w:val="26"/>
          <w:szCs w:val="26"/>
          <w:lang w:val="es-ES"/>
        </w:rPr>
        <w:t xml:space="preserve"> responsable</w:t>
      </w:r>
      <w:r w:rsidR="00CE534C" w:rsidRPr="00A36289">
        <w:rPr>
          <w:rFonts w:cs="Arial"/>
          <w:sz w:val="26"/>
          <w:szCs w:val="26"/>
          <w:lang w:val="es-ES"/>
        </w:rPr>
        <w:t xml:space="preserve">. </w:t>
      </w:r>
      <w:r w:rsidR="005F36C8" w:rsidRPr="00A36289">
        <w:rPr>
          <w:rFonts w:cs="Arial"/>
          <w:sz w:val="26"/>
          <w:szCs w:val="26"/>
          <w:lang w:val="es-ES"/>
        </w:rPr>
        <w:t xml:space="preserve">Por ello, </w:t>
      </w:r>
      <w:r w:rsidR="006819FF" w:rsidRPr="00A36289">
        <w:rPr>
          <w:rFonts w:cs="Arial"/>
          <w:sz w:val="26"/>
          <w:szCs w:val="26"/>
          <w:lang w:val="es-ES"/>
        </w:rPr>
        <w:t>ante la</w:t>
      </w:r>
      <w:r w:rsidR="006819FF" w:rsidRPr="00A36289" w:rsidDel="004201B0">
        <w:rPr>
          <w:rFonts w:cs="Arial"/>
          <w:sz w:val="26"/>
          <w:szCs w:val="26"/>
          <w:lang w:val="es-ES"/>
        </w:rPr>
        <w:t xml:space="preserve"> </w:t>
      </w:r>
      <w:r w:rsidR="004201B0" w:rsidRPr="00A36289">
        <w:rPr>
          <w:rFonts w:cs="Arial"/>
          <w:sz w:val="26"/>
          <w:szCs w:val="26"/>
          <w:lang w:val="es-ES"/>
        </w:rPr>
        <w:t xml:space="preserve">ineficacia </w:t>
      </w:r>
      <w:r w:rsidR="006819FF" w:rsidRPr="00A36289">
        <w:rPr>
          <w:rFonts w:cs="Arial"/>
          <w:sz w:val="26"/>
          <w:szCs w:val="26"/>
          <w:lang w:val="es-ES"/>
        </w:rPr>
        <w:t>de los planteamientos de la</w:t>
      </w:r>
      <w:r w:rsidR="00773678" w:rsidRPr="00A36289">
        <w:rPr>
          <w:rFonts w:cs="Arial"/>
          <w:sz w:val="26"/>
          <w:szCs w:val="26"/>
          <w:lang w:val="es-ES"/>
        </w:rPr>
        <w:t>s</w:t>
      </w:r>
      <w:r w:rsidR="006819FF" w:rsidRPr="00A36289">
        <w:rPr>
          <w:rFonts w:cs="Arial"/>
          <w:sz w:val="26"/>
          <w:szCs w:val="26"/>
          <w:lang w:val="es-ES"/>
        </w:rPr>
        <w:t xml:space="preserve"> quejosa</w:t>
      </w:r>
      <w:r w:rsidR="00773678" w:rsidRPr="00A36289">
        <w:rPr>
          <w:rFonts w:cs="Arial"/>
          <w:sz w:val="26"/>
          <w:szCs w:val="26"/>
          <w:lang w:val="es-ES"/>
        </w:rPr>
        <w:t>s</w:t>
      </w:r>
      <w:r w:rsidR="006819FF" w:rsidRPr="00A36289">
        <w:rPr>
          <w:rFonts w:cs="Arial"/>
          <w:sz w:val="26"/>
          <w:szCs w:val="26"/>
          <w:lang w:val="es-ES"/>
        </w:rPr>
        <w:t>, queda</w:t>
      </w:r>
      <w:r w:rsidR="00EF7560" w:rsidRPr="00A36289">
        <w:rPr>
          <w:rFonts w:cs="Arial"/>
          <w:sz w:val="26"/>
          <w:szCs w:val="26"/>
          <w:lang w:val="es-ES"/>
        </w:rPr>
        <w:t xml:space="preserve"> firme la determinación de la sala de excluir a esta persona moral</w:t>
      </w:r>
      <w:r w:rsidR="00B7766B" w:rsidRPr="00A36289">
        <w:rPr>
          <w:rFonts w:cs="Arial"/>
          <w:sz w:val="26"/>
          <w:szCs w:val="26"/>
          <w:lang w:val="es-ES"/>
        </w:rPr>
        <w:t xml:space="preserve"> de la atribución de responsabilidad</w:t>
      </w:r>
      <w:r w:rsidR="00EF7560" w:rsidRPr="00A36289">
        <w:rPr>
          <w:rFonts w:cs="Arial"/>
          <w:sz w:val="26"/>
          <w:szCs w:val="26"/>
          <w:lang w:val="es-ES"/>
        </w:rPr>
        <w:t>.</w:t>
      </w:r>
    </w:p>
    <w:p w14:paraId="59AEEC94" w14:textId="77777777" w:rsidR="00205198" w:rsidRPr="00A36289" w:rsidRDefault="00205198" w:rsidP="00263912">
      <w:pPr>
        <w:pStyle w:val="corte4fondo"/>
        <w:ind w:right="51" w:hanging="567"/>
        <w:rPr>
          <w:rFonts w:cs="Arial"/>
          <w:sz w:val="26"/>
          <w:szCs w:val="26"/>
          <w:lang w:val="es-ES"/>
        </w:rPr>
      </w:pPr>
    </w:p>
    <w:p w14:paraId="03922184" w14:textId="72095F47" w:rsidR="00880608" w:rsidRPr="00A36289" w:rsidRDefault="006C21EA" w:rsidP="00263912">
      <w:pPr>
        <w:pStyle w:val="corte4fondo"/>
        <w:numPr>
          <w:ilvl w:val="0"/>
          <w:numId w:val="2"/>
        </w:numPr>
        <w:ind w:left="0" w:right="51" w:hanging="567"/>
        <w:rPr>
          <w:rFonts w:cs="Arial"/>
          <w:sz w:val="26"/>
          <w:szCs w:val="26"/>
          <w:lang w:val="es-ES"/>
        </w:rPr>
      </w:pPr>
      <w:r w:rsidRPr="00A36289">
        <w:rPr>
          <w:rFonts w:cs="Arial"/>
          <w:sz w:val="26"/>
          <w:szCs w:val="26"/>
          <w:lang w:val="es-ES"/>
        </w:rPr>
        <w:t>Por todo lo anterior</w:t>
      </w:r>
      <w:r w:rsidR="007C4081" w:rsidRPr="00A36289">
        <w:rPr>
          <w:rFonts w:cs="Arial"/>
          <w:sz w:val="26"/>
          <w:szCs w:val="26"/>
          <w:lang w:val="es-ES"/>
        </w:rPr>
        <w:t xml:space="preserve">, esta </w:t>
      </w:r>
      <w:r w:rsidR="008F3739">
        <w:rPr>
          <w:rFonts w:cs="Arial"/>
          <w:sz w:val="26"/>
          <w:szCs w:val="26"/>
          <w:lang w:val="es-ES"/>
        </w:rPr>
        <w:t xml:space="preserve">Primera Sala </w:t>
      </w:r>
      <w:r w:rsidR="00505776" w:rsidRPr="00A36289">
        <w:rPr>
          <w:rFonts w:cs="Arial"/>
          <w:sz w:val="26"/>
          <w:szCs w:val="26"/>
          <w:lang w:val="es-ES"/>
        </w:rPr>
        <w:t>concluye</w:t>
      </w:r>
      <w:r w:rsidR="007C4081" w:rsidRPr="00A36289">
        <w:rPr>
          <w:rFonts w:cs="Arial"/>
          <w:sz w:val="26"/>
          <w:szCs w:val="26"/>
          <w:lang w:val="es-ES"/>
        </w:rPr>
        <w:t xml:space="preserve"> que</w:t>
      </w:r>
      <w:r w:rsidR="00B27DAC" w:rsidRPr="00A36289">
        <w:rPr>
          <w:rFonts w:cs="Arial"/>
          <w:sz w:val="26"/>
          <w:szCs w:val="26"/>
          <w:lang w:val="es-ES"/>
        </w:rPr>
        <w:t>,</w:t>
      </w:r>
      <w:r w:rsidRPr="00A36289">
        <w:rPr>
          <w:rFonts w:cs="Arial"/>
          <w:sz w:val="26"/>
          <w:szCs w:val="26"/>
          <w:lang w:val="es-ES"/>
        </w:rPr>
        <w:t xml:space="preserve"> </w:t>
      </w:r>
      <w:r w:rsidR="00470164" w:rsidRPr="00A36289">
        <w:rPr>
          <w:rFonts w:cs="Arial"/>
          <w:sz w:val="26"/>
          <w:szCs w:val="26"/>
          <w:lang w:val="es-ES"/>
        </w:rPr>
        <w:t xml:space="preserve">en el caso, era procedente condenar a las personas morales Protección Privada 2010 y </w:t>
      </w:r>
      <w:r w:rsidR="00470164" w:rsidRPr="00A36289">
        <w:rPr>
          <w:rFonts w:cs="Arial"/>
          <w:sz w:val="26"/>
          <w:szCs w:val="26"/>
          <w:lang w:val="es-ES"/>
        </w:rPr>
        <w:lastRenderedPageBreak/>
        <w:t xml:space="preserve">Reforma 222, al pago de una indemnización por el daño moral causado en </w:t>
      </w:r>
      <w:r w:rsidR="00470164" w:rsidRPr="008408EE">
        <w:rPr>
          <w:rFonts w:cs="Arial"/>
          <w:color w:val="000000" w:themeColor="text1"/>
          <w:sz w:val="26"/>
          <w:szCs w:val="26"/>
          <w:lang w:val="es-ES"/>
        </w:rPr>
        <w:t xml:space="preserve">las señoras </w:t>
      </w:r>
      <w:r w:rsidR="00470164" w:rsidRPr="008408EE">
        <w:rPr>
          <w:rFonts w:cs="Arial"/>
          <w:color w:val="FF0000"/>
          <w:sz w:val="26"/>
          <w:szCs w:val="26"/>
          <w:lang w:val="es-ES"/>
        </w:rPr>
        <w:t>DF</w:t>
      </w:r>
      <w:r w:rsidR="00470164" w:rsidRPr="008408EE" w:rsidDel="00885800">
        <w:rPr>
          <w:rFonts w:cs="Arial"/>
          <w:sz w:val="26"/>
          <w:szCs w:val="26"/>
          <w:lang w:val="es-ES"/>
        </w:rPr>
        <w:t xml:space="preserve"> </w:t>
      </w:r>
      <w:r w:rsidR="00470164" w:rsidRPr="008408EE">
        <w:rPr>
          <w:rFonts w:cs="Arial"/>
          <w:sz w:val="26"/>
          <w:szCs w:val="26"/>
          <w:lang w:val="es-ES"/>
        </w:rPr>
        <w:t xml:space="preserve">y </w:t>
      </w:r>
      <w:r w:rsidR="00470164" w:rsidRPr="008408EE">
        <w:rPr>
          <w:rFonts w:cs="Arial"/>
          <w:color w:val="FF0000"/>
          <w:sz w:val="26"/>
          <w:szCs w:val="26"/>
          <w:lang w:val="es-ES"/>
        </w:rPr>
        <w:t>GB</w:t>
      </w:r>
      <w:r w:rsidR="00470164" w:rsidRPr="008408EE">
        <w:rPr>
          <w:rFonts w:cs="Arial"/>
          <w:color w:val="000000" w:themeColor="text1"/>
          <w:sz w:val="26"/>
          <w:szCs w:val="26"/>
          <w:lang w:val="es-ES"/>
        </w:rPr>
        <w:t xml:space="preserve">. </w:t>
      </w:r>
      <w:r w:rsidR="00472055" w:rsidRPr="008408EE">
        <w:rPr>
          <w:rFonts w:cs="Arial"/>
          <w:color w:val="000000" w:themeColor="text1"/>
          <w:sz w:val="26"/>
          <w:szCs w:val="26"/>
          <w:lang w:val="es-ES"/>
        </w:rPr>
        <w:t>En este punto</w:t>
      </w:r>
      <w:r w:rsidR="00083961" w:rsidRPr="008408EE">
        <w:rPr>
          <w:rFonts w:cs="Arial"/>
          <w:color w:val="000000" w:themeColor="text1"/>
          <w:sz w:val="26"/>
          <w:szCs w:val="26"/>
          <w:lang w:val="es-ES"/>
        </w:rPr>
        <w:t xml:space="preserve">, </w:t>
      </w:r>
      <w:r w:rsidR="00472055" w:rsidRPr="008408EE">
        <w:rPr>
          <w:rFonts w:cs="Arial"/>
          <w:color w:val="000000" w:themeColor="text1"/>
          <w:sz w:val="26"/>
          <w:szCs w:val="26"/>
          <w:lang w:val="es-ES"/>
        </w:rPr>
        <w:t xml:space="preserve">advertimos </w:t>
      </w:r>
      <w:r w:rsidR="00083961" w:rsidRPr="008408EE">
        <w:rPr>
          <w:rFonts w:cs="Arial"/>
          <w:color w:val="000000" w:themeColor="text1"/>
          <w:sz w:val="26"/>
          <w:szCs w:val="26"/>
          <w:lang w:val="es-ES"/>
        </w:rPr>
        <w:t>que, en</w:t>
      </w:r>
      <w:r w:rsidR="00B27DAC" w:rsidRPr="008408EE">
        <w:rPr>
          <w:rFonts w:cs="Arial"/>
          <w:color w:val="000000" w:themeColor="text1"/>
          <w:sz w:val="26"/>
          <w:szCs w:val="26"/>
          <w:lang w:val="es-ES"/>
        </w:rPr>
        <w:t xml:space="preserve"> </w:t>
      </w:r>
      <w:r w:rsidR="00472055" w:rsidRPr="008408EE">
        <w:rPr>
          <w:rFonts w:cs="Arial"/>
          <w:color w:val="000000" w:themeColor="text1"/>
          <w:sz w:val="26"/>
          <w:szCs w:val="26"/>
          <w:lang w:val="es-ES"/>
        </w:rPr>
        <w:t>la</w:t>
      </w:r>
      <w:r w:rsidR="00B27DAC" w:rsidRPr="008408EE">
        <w:rPr>
          <w:rFonts w:cs="Arial"/>
          <w:color w:val="000000" w:themeColor="text1"/>
          <w:sz w:val="26"/>
          <w:szCs w:val="26"/>
          <w:lang w:val="es-ES"/>
        </w:rPr>
        <w:t xml:space="preserve"> demanda </w:t>
      </w:r>
      <w:r w:rsidR="00B27DAC" w:rsidRPr="00A36289">
        <w:rPr>
          <w:rFonts w:cs="Arial"/>
          <w:sz w:val="26"/>
          <w:szCs w:val="26"/>
          <w:lang w:val="es-ES"/>
        </w:rPr>
        <w:t>civil,</w:t>
      </w:r>
      <w:r w:rsidR="00B932A5" w:rsidRPr="00A36289">
        <w:rPr>
          <w:rFonts w:cs="Arial"/>
          <w:sz w:val="26"/>
          <w:szCs w:val="26"/>
          <w:lang w:val="es-ES"/>
        </w:rPr>
        <w:t xml:space="preserve"> </w:t>
      </w:r>
      <w:r w:rsidR="00B932A5" w:rsidRPr="00A36289">
        <w:rPr>
          <w:rFonts w:cs="Arial"/>
          <w:sz w:val="26"/>
          <w:szCs w:val="26"/>
        </w:rPr>
        <w:t>las actoras solicitaron el pago de una indemnización de un monto no menor de $10,000,000.00 (diez millones de pesos), ante los hechos discriminatorios cometidos con base en su identidad y expresión de género</w:t>
      </w:r>
      <w:r w:rsidR="0080210A" w:rsidRPr="00A36289">
        <w:rPr>
          <w:rFonts w:cs="Arial"/>
          <w:sz w:val="26"/>
          <w:szCs w:val="26"/>
        </w:rPr>
        <w:t xml:space="preserve">. Para las señoras, tal monto atendía a los derechos lesionados en el caso, </w:t>
      </w:r>
      <w:r w:rsidR="00472055" w:rsidRPr="00A36289">
        <w:rPr>
          <w:rFonts w:cs="Arial"/>
          <w:sz w:val="26"/>
          <w:szCs w:val="26"/>
        </w:rPr>
        <w:t>el</w:t>
      </w:r>
      <w:r w:rsidR="0080210A" w:rsidRPr="00A36289">
        <w:rPr>
          <w:rFonts w:cs="Arial"/>
          <w:sz w:val="26"/>
          <w:szCs w:val="26"/>
        </w:rPr>
        <w:t xml:space="preserve"> grado de responsabilidad de las </w:t>
      </w:r>
      <w:r w:rsidR="00D00317" w:rsidRPr="00A36289">
        <w:rPr>
          <w:rFonts w:cs="Arial"/>
          <w:sz w:val="26"/>
          <w:szCs w:val="26"/>
        </w:rPr>
        <w:t>empresas</w:t>
      </w:r>
      <w:r w:rsidR="0080210A" w:rsidRPr="00A36289">
        <w:rPr>
          <w:rFonts w:cs="Arial"/>
          <w:sz w:val="26"/>
          <w:szCs w:val="26"/>
        </w:rPr>
        <w:t xml:space="preserve">, </w:t>
      </w:r>
      <w:r w:rsidR="00472055" w:rsidRPr="00A36289">
        <w:rPr>
          <w:rFonts w:cs="Arial"/>
          <w:sz w:val="26"/>
          <w:szCs w:val="26"/>
        </w:rPr>
        <w:t>e</w:t>
      </w:r>
      <w:r w:rsidR="0080210A" w:rsidRPr="00A36289">
        <w:rPr>
          <w:rFonts w:cs="Arial"/>
          <w:sz w:val="26"/>
          <w:szCs w:val="26"/>
        </w:rPr>
        <w:t xml:space="preserve">l historial de denuncias y la capacidad económica de las demandadas. </w:t>
      </w:r>
    </w:p>
    <w:p w14:paraId="03504AAD" w14:textId="77777777" w:rsidR="0080210A" w:rsidRPr="00A36289" w:rsidRDefault="0080210A" w:rsidP="00263912">
      <w:pPr>
        <w:pStyle w:val="corte4fondo"/>
        <w:ind w:right="51" w:hanging="567"/>
        <w:rPr>
          <w:rFonts w:cs="Arial"/>
          <w:sz w:val="26"/>
          <w:szCs w:val="26"/>
        </w:rPr>
      </w:pPr>
    </w:p>
    <w:p w14:paraId="2AC37033" w14:textId="68E2C945" w:rsidR="000C67BC" w:rsidRPr="008408EE" w:rsidRDefault="001C0417" w:rsidP="00263912">
      <w:pPr>
        <w:pStyle w:val="corte4fondo"/>
        <w:numPr>
          <w:ilvl w:val="0"/>
          <w:numId w:val="2"/>
        </w:numPr>
        <w:ind w:left="0" w:right="51" w:hanging="567"/>
        <w:rPr>
          <w:rFonts w:cs="Arial"/>
          <w:sz w:val="26"/>
          <w:szCs w:val="26"/>
        </w:rPr>
      </w:pPr>
      <w:r w:rsidRPr="00A36289">
        <w:rPr>
          <w:rFonts w:cs="Arial"/>
          <w:sz w:val="26"/>
          <w:szCs w:val="26"/>
          <w:lang w:val="es-ES"/>
        </w:rPr>
        <w:t>L</w:t>
      </w:r>
      <w:r w:rsidR="00B27DAC" w:rsidRPr="00A36289">
        <w:rPr>
          <w:rFonts w:cs="Arial"/>
          <w:sz w:val="26"/>
          <w:szCs w:val="26"/>
          <w:lang w:val="es-ES"/>
        </w:rPr>
        <w:t xml:space="preserve">as </w:t>
      </w:r>
      <w:r w:rsidR="00B3346D" w:rsidRPr="00A36289">
        <w:rPr>
          <w:rFonts w:cs="Arial"/>
          <w:sz w:val="26"/>
          <w:szCs w:val="26"/>
          <w:lang w:val="es-ES"/>
        </w:rPr>
        <w:t xml:space="preserve">actoras </w:t>
      </w:r>
      <w:r w:rsidRPr="00A36289">
        <w:rPr>
          <w:rFonts w:cs="Arial"/>
          <w:sz w:val="26"/>
          <w:szCs w:val="26"/>
          <w:lang w:val="es-ES"/>
        </w:rPr>
        <w:t xml:space="preserve">añadieron </w:t>
      </w:r>
      <w:r w:rsidR="00B3346D" w:rsidRPr="00A36289">
        <w:rPr>
          <w:rFonts w:cs="Arial"/>
          <w:sz w:val="26"/>
          <w:szCs w:val="26"/>
          <w:lang w:val="es-ES"/>
        </w:rPr>
        <w:t xml:space="preserve">que Reforma 222 </w:t>
      </w:r>
      <w:r w:rsidR="00202AC1" w:rsidRPr="00A36289">
        <w:rPr>
          <w:rFonts w:cs="Arial"/>
          <w:sz w:val="26"/>
          <w:szCs w:val="26"/>
          <w:lang w:val="es-ES"/>
        </w:rPr>
        <w:t xml:space="preserve">cuenta </w:t>
      </w:r>
      <w:r w:rsidR="00100E38" w:rsidRPr="008408EE">
        <w:rPr>
          <w:rFonts w:cs="Arial"/>
          <w:sz w:val="26"/>
          <w:szCs w:val="26"/>
        </w:rPr>
        <w:t>con diversos antecedentes de actos discriminatorios, de los cuales se desprende su actitud temática de omitir la implementación de medidas de prevención, capacitación y seguridad apropiadas, en “perjuicio del interés social”</w:t>
      </w:r>
      <w:r w:rsidR="00100F21" w:rsidRPr="008408EE">
        <w:rPr>
          <w:rFonts w:cs="Arial"/>
          <w:sz w:val="26"/>
          <w:szCs w:val="26"/>
        </w:rPr>
        <w:t xml:space="preserve">. </w:t>
      </w:r>
      <w:r w:rsidR="00880608" w:rsidRPr="008408EE">
        <w:rPr>
          <w:rFonts w:cs="Arial"/>
          <w:sz w:val="26"/>
          <w:szCs w:val="26"/>
        </w:rPr>
        <w:t>Por ello</w:t>
      </w:r>
      <w:r w:rsidR="00B073DE" w:rsidRPr="008408EE">
        <w:rPr>
          <w:rFonts w:cs="Arial"/>
          <w:sz w:val="26"/>
          <w:szCs w:val="26"/>
        </w:rPr>
        <w:t>, justificaron la severidad de la</w:t>
      </w:r>
      <w:r w:rsidR="00CF02E3" w:rsidRPr="008408EE">
        <w:rPr>
          <w:rFonts w:cs="Arial"/>
          <w:sz w:val="26"/>
          <w:szCs w:val="26"/>
        </w:rPr>
        <w:t xml:space="preserve"> prestación reclamada, no solo en el daño moral causado en las señoras, sino</w:t>
      </w:r>
      <w:r w:rsidR="00B073DE" w:rsidRPr="008408EE">
        <w:rPr>
          <w:rFonts w:cs="Arial"/>
          <w:sz w:val="26"/>
          <w:szCs w:val="26"/>
        </w:rPr>
        <w:t xml:space="preserve"> en la </w:t>
      </w:r>
      <w:r w:rsidR="00100F21" w:rsidRPr="008408EE">
        <w:rPr>
          <w:rFonts w:cs="Arial"/>
          <w:sz w:val="26"/>
          <w:szCs w:val="26"/>
        </w:rPr>
        <w:t>necesidad de “erradicar la realización de actos discriminatorios a través del desarrollo de una cultura de respeto a los derechos de la población LGBTI</w:t>
      </w:r>
      <w:r w:rsidR="002B531E">
        <w:rPr>
          <w:rFonts w:cs="Arial"/>
          <w:sz w:val="26"/>
          <w:szCs w:val="26"/>
        </w:rPr>
        <w:t>Q</w:t>
      </w:r>
      <w:r w:rsidR="0009168F">
        <w:rPr>
          <w:rFonts w:cs="Arial"/>
          <w:sz w:val="26"/>
          <w:szCs w:val="26"/>
        </w:rPr>
        <w:t>+</w:t>
      </w:r>
      <w:r w:rsidR="00100F21" w:rsidRPr="008408EE">
        <w:rPr>
          <w:rFonts w:cs="Arial"/>
          <w:sz w:val="26"/>
          <w:szCs w:val="26"/>
        </w:rPr>
        <w:t>, así como disuadir y prevenir conductas similares en el futuro”</w:t>
      </w:r>
      <w:r w:rsidR="00100F21" w:rsidRPr="008408EE">
        <w:rPr>
          <w:rStyle w:val="Refdenotaalpie"/>
          <w:rFonts w:cs="Arial"/>
          <w:sz w:val="26"/>
          <w:szCs w:val="26"/>
        </w:rPr>
        <w:footnoteReference w:id="139"/>
      </w:r>
      <w:r w:rsidR="00100F21" w:rsidRPr="008408EE">
        <w:rPr>
          <w:rFonts w:cs="Arial"/>
          <w:sz w:val="26"/>
          <w:szCs w:val="26"/>
        </w:rPr>
        <w:t xml:space="preserve">. </w:t>
      </w:r>
    </w:p>
    <w:p w14:paraId="4E2F5320" w14:textId="77777777" w:rsidR="000C67BC" w:rsidRPr="008408EE" w:rsidRDefault="000C67BC" w:rsidP="00263912">
      <w:pPr>
        <w:pStyle w:val="corte4fondo"/>
        <w:ind w:right="51" w:hanging="567"/>
        <w:rPr>
          <w:rFonts w:cs="Arial"/>
          <w:sz w:val="26"/>
          <w:szCs w:val="26"/>
        </w:rPr>
      </w:pPr>
    </w:p>
    <w:p w14:paraId="4694DE89" w14:textId="1BAB8B92" w:rsidR="00110A3B" w:rsidRPr="003E30B5" w:rsidRDefault="008E51E4" w:rsidP="00263912">
      <w:pPr>
        <w:pStyle w:val="corte4fondo"/>
        <w:numPr>
          <w:ilvl w:val="0"/>
          <w:numId w:val="2"/>
        </w:numPr>
        <w:ind w:left="0" w:right="51" w:hanging="567"/>
        <w:rPr>
          <w:rFonts w:cs="Arial"/>
          <w:sz w:val="26"/>
          <w:szCs w:val="26"/>
        </w:rPr>
      </w:pPr>
      <w:r w:rsidRPr="003E30B5">
        <w:rPr>
          <w:rFonts w:cs="Arial"/>
          <w:sz w:val="26"/>
          <w:szCs w:val="26"/>
        </w:rPr>
        <w:t xml:space="preserve">En atención </w:t>
      </w:r>
      <w:r w:rsidR="00B168D4" w:rsidRPr="003E30B5">
        <w:rPr>
          <w:rFonts w:cs="Arial"/>
          <w:sz w:val="26"/>
          <w:szCs w:val="26"/>
        </w:rPr>
        <w:t xml:space="preserve">a </w:t>
      </w:r>
      <w:r w:rsidR="001C0417" w:rsidRPr="003E30B5">
        <w:rPr>
          <w:rFonts w:cs="Arial"/>
          <w:sz w:val="26"/>
          <w:szCs w:val="26"/>
        </w:rPr>
        <w:t xml:space="preserve">lo manifestado por las </w:t>
      </w:r>
      <w:r w:rsidR="000C67BC" w:rsidRPr="003E30B5">
        <w:rPr>
          <w:rFonts w:cs="Arial"/>
          <w:sz w:val="26"/>
          <w:szCs w:val="26"/>
        </w:rPr>
        <w:t>actoras</w:t>
      </w:r>
      <w:r w:rsidR="001E1FA6" w:rsidRPr="003E30B5">
        <w:rPr>
          <w:rFonts w:cs="Arial"/>
          <w:sz w:val="26"/>
          <w:szCs w:val="26"/>
        </w:rPr>
        <w:t xml:space="preserve"> y reiterado en su demanda de amparo,</w:t>
      </w:r>
      <w:r w:rsidR="001C0417" w:rsidRPr="003E30B5">
        <w:rPr>
          <w:rFonts w:cs="Arial"/>
          <w:sz w:val="26"/>
          <w:szCs w:val="26"/>
        </w:rPr>
        <w:t xml:space="preserve"> se advierte que</w:t>
      </w:r>
      <w:r w:rsidR="007D1781" w:rsidRPr="003E30B5">
        <w:rPr>
          <w:rFonts w:cs="Arial"/>
          <w:sz w:val="26"/>
          <w:szCs w:val="26"/>
        </w:rPr>
        <w:t xml:space="preserve"> </w:t>
      </w:r>
      <w:r w:rsidR="000C67BC" w:rsidRPr="003E30B5">
        <w:rPr>
          <w:rFonts w:cs="Arial"/>
          <w:sz w:val="26"/>
          <w:szCs w:val="26"/>
        </w:rPr>
        <w:t>la</w:t>
      </w:r>
      <w:r w:rsidR="007D1781" w:rsidRPr="003E30B5">
        <w:rPr>
          <w:rFonts w:cs="Arial"/>
          <w:sz w:val="26"/>
          <w:szCs w:val="26"/>
        </w:rPr>
        <w:t xml:space="preserve"> causa de pedir </w:t>
      </w:r>
      <w:r w:rsidR="000C67BC" w:rsidRPr="003E30B5">
        <w:rPr>
          <w:rFonts w:cs="Arial"/>
          <w:sz w:val="26"/>
          <w:szCs w:val="26"/>
        </w:rPr>
        <w:t xml:space="preserve">de las señoras </w:t>
      </w:r>
      <w:r w:rsidR="007D1781" w:rsidRPr="003E30B5">
        <w:rPr>
          <w:rFonts w:cs="Arial"/>
          <w:sz w:val="26"/>
          <w:szCs w:val="26"/>
        </w:rPr>
        <w:t xml:space="preserve">es </w:t>
      </w:r>
      <w:r w:rsidR="00D27E8E" w:rsidRPr="003E30B5">
        <w:rPr>
          <w:rFonts w:cs="Arial"/>
          <w:sz w:val="26"/>
          <w:szCs w:val="26"/>
        </w:rPr>
        <w:t xml:space="preserve">que, </w:t>
      </w:r>
      <w:r w:rsidR="001C0417" w:rsidRPr="003E30B5">
        <w:rPr>
          <w:rFonts w:cs="Arial"/>
          <w:sz w:val="26"/>
          <w:szCs w:val="26"/>
        </w:rPr>
        <w:t xml:space="preserve">en la cuantificación de la indemnización por daño moral, </w:t>
      </w:r>
      <w:r w:rsidR="00D27E8E" w:rsidRPr="003E30B5">
        <w:rPr>
          <w:rFonts w:cs="Arial"/>
          <w:sz w:val="26"/>
          <w:szCs w:val="26"/>
        </w:rPr>
        <w:t>se consider</w:t>
      </w:r>
      <w:r w:rsidR="007D1781" w:rsidRPr="003E30B5">
        <w:rPr>
          <w:rFonts w:cs="Arial"/>
          <w:sz w:val="26"/>
          <w:szCs w:val="26"/>
        </w:rPr>
        <w:t>e</w:t>
      </w:r>
      <w:r w:rsidR="00D27E8E" w:rsidRPr="003E30B5">
        <w:rPr>
          <w:rFonts w:cs="Arial"/>
          <w:sz w:val="26"/>
          <w:szCs w:val="26"/>
        </w:rPr>
        <w:t xml:space="preserve"> </w:t>
      </w:r>
      <w:r w:rsidR="001C0417" w:rsidRPr="003E30B5">
        <w:rPr>
          <w:rFonts w:cs="Arial"/>
          <w:sz w:val="26"/>
          <w:szCs w:val="26"/>
        </w:rPr>
        <w:t>la faceta punitiva de la indemnización</w:t>
      </w:r>
      <w:r w:rsidR="00567847" w:rsidRPr="003E30B5">
        <w:rPr>
          <w:rFonts w:cs="Arial"/>
          <w:sz w:val="26"/>
          <w:szCs w:val="26"/>
        </w:rPr>
        <w:t>. A</w:t>
      </w:r>
      <w:r w:rsidR="00110A3B" w:rsidRPr="003E30B5">
        <w:rPr>
          <w:rFonts w:cs="Arial"/>
          <w:sz w:val="26"/>
          <w:szCs w:val="26"/>
        </w:rPr>
        <w:t xml:space="preserve"> nuestro parecer, </w:t>
      </w:r>
      <w:r w:rsidR="00567847" w:rsidRPr="003E30B5">
        <w:rPr>
          <w:rFonts w:cs="Arial"/>
          <w:sz w:val="26"/>
          <w:szCs w:val="26"/>
        </w:rPr>
        <w:t xml:space="preserve">ello </w:t>
      </w:r>
      <w:r w:rsidR="00110A3B" w:rsidRPr="003E30B5">
        <w:rPr>
          <w:rFonts w:cs="Arial"/>
          <w:sz w:val="26"/>
          <w:szCs w:val="26"/>
        </w:rPr>
        <w:t>es procedente en el presente caso</w:t>
      </w:r>
      <w:r w:rsidR="00567847" w:rsidRPr="003E30B5">
        <w:rPr>
          <w:rFonts w:cs="Arial"/>
          <w:sz w:val="26"/>
          <w:szCs w:val="26"/>
        </w:rPr>
        <w:t xml:space="preserve">, con base en </w:t>
      </w:r>
      <w:r w:rsidR="000F01AC">
        <w:rPr>
          <w:rFonts w:cs="Arial"/>
          <w:sz w:val="26"/>
          <w:szCs w:val="26"/>
        </w:rPr>
        <w:t xml:space="preserve">los precedentes de esta Sala, así como en el reconocimiento </w:t>
      </w:r>
      <w:r w:rsidR="00811C97">
        <w:rPr>
          <w:rFonts w:cs="Arial"/>
          <w:sz w:val="26"/>
          <w:szCs w:val="26"/>
        </w:rPr>
        <w:t xml:space="preserve">detallado anteriormente </w:t>
      </w:r>
      <w:r w:rsidR="000F01AC">
        <w:rPr>
          <w:rFonts w:cs="Arial"/>
          <w:sz w:val="26"/>
          <w:szCs w:val="26"/>
        </w:rPr>
        <w:t xml:space="preserve">de que los daños generados por la discriminación trascienden </w:t>
      </w:r>
      <w:r w:rsidR="00CC4349">
        <w:rPr>
          <w:rFonts w:cs="Arial"/>
          <w:sz w:val="26"/>
          <w:szCs w:val="26"/>
        </w:rPr>
        <w:t>el ámbito</w:t>
      </w:r>
      <w:r w:rsidR="000F01AC">
        <w:rPr>
          <w:rFonts w:cs="Arial"/>
          <w:sz w:val="26"/>
          <w:szCs w:val="26"/>
        </w:rPr>
        <w:t xml:space="preserve"> privado </w:t>
      </w:r>
      <w:r w:rsidR="00CC4349">
        <w:rPr>
          <w:rFonts w:cs="Arial"/>
          <w:sz w:val="26"/>
          <w:szCs w:val="26"/>
        </w:rPr>
        <w:t>o individual</w:t>
      </w:r>
      <w:r w:rsidR="007426BC">
        <w:rPr>
          <w:rFonts w:cs="Arial"/>
          <w:sz w:val="26"/>
          <w:szCs w:val="26"/>
        </w:rPr>
        <w:t xml:space="preserve">, y diluyen la distinción entre lo privado y </w:t>
      </w:r>
      <w:r w:rsidR="000F01AC">
        <w:rPr>
          <w:rFonts w:cs="Arial"/>
          <w:sz w:val="26"/>
          <w:szCs w:val="26"/>
        </w:rPr>
        <w:t>lo público</w:t>
      </w:r>
      <w:r w:rsidR="00134CAF">
        <w:rPr>
          <w:rFonts w:cs="Arial"/>
          <w:sz w:val="26"/>
          <w:szCs w:val="26"/>
        </w:rPr>
        <w:t xml:space="preserve"> para efectos del juicio de responsabilidad extracontractual. </w:t>
      </w:r>
    </w:p>
    <w:p w14:paraId="152FD02A" w14:textId="1A3A3877" w:rsidR="00754590" w:rsidRPr="00293E53" w:rsidRDefault="00110A3B" w:rsidP="00263912">
      <w:pPr>
        <w:pStyle w:val="corte4fondo"/>
        <w:ind w:right="51" w:hanging="567"/>
        <w:rPr>
          <w:rFonts w:cs="Arial"/>
          <w:sz w:val="26"/>
          <w:szCs w:val="26"/>
        </w:rPr>
      </w:pPr>
      <w:r>
        <w:rPr>
          <w:rFonts w:cs="Arial"/>
          <w:sz w:val="26"/>
          <w:szCs w:val="26"/>
          <w:highlight w:val="yellow"/>
        </w:rPr>
        <w:t xml:space="preserve"> </w:t>
      </w:r>
    </w:p>
    <w:p w14:paraId="3EFE9853" w14:textId="05F2DD21" w:rsidR="00884297" w:rsidRPr="00293E53" w:rsidRDefault="00567847" w:rsidP="00263912">
      <w:pPr>
        <w:pStyle w:val="corte4fondo"/>
        <w:numPr>
          <w:ilvl w:val="0"/>
          <w:numId w:val="2"/>
        </w:numPr>
        <w:ind w:left="0" w:right="51" w:hanging="567"/>
        <w:rPr>
          <w:rFonts w:cs="Arial"/>
          <w:sz w:val="26"/>
          <w:szCs w:val="26"/>
        </w:rPr>
      </w:pPr>
      <w:r w:rsidRPr="00293E53">
        <w:rPr>
          <w:rFonts w:cs="Arial"/>
          <w:sz w:val="26"/>
          <w:szCs w:val="26"/>
        </w:rPr>
        <w:t xml:space="preserve">Como recapitulamos </w:t>
      </w:r>
      <w:r w:rsidR="00EB4124" w:rsidRPr="00293E53">
        <w:rPr>
          <w:rFonts w:cs="Arial"/>
          <w:sz w:val="26"/>
          <w:szCs w:val="26"/>
        </w:rPr>
        <w:t>en los amparos directos en revisión 358/2022</w:t>
      </w:r>
      <w:r w:rsidR="00EB4124" w:rsidRPr="00293E53">
        <w:rPr>
          <w:rStyle w:val="Refdenotaalpie"/>
          <w:rFonts w:cs="Arial"/>
          <w:sz w:val="26"/>
          <w:szCs w:val="26"/>
        </w:rPr>
        <w:footnoteReference w:id="140"/>
      </w:r>
      <w:r w:rsidR="00EB4124" w:rsidRPr="00293E53">
        <w:rPr>
          <w:rFonts w:cs="Arial"/>
          <w:sz w:val="26"/>
          <w:szCs w:val="26"/>
        </w:rPr>
        <w:t xml:space="preserve"> y</w:t>
      </w:r>
      <w:r w:rsidR="0021327F" w:rsidRPr="00293E53">
        <w:rPr>
          <w:rFonts w:cs="Arial"/>
          <w:sz w:val="26"/>
          <w:szCs w:val="26"/>
        </w:rPr>
        <w:t xml:space="preserve"> 4306/2020</w:t>
      </w:r>
      <w:r w:rsidR="0021327F" w:rsidRPr="00293E53">
        <w:rPr>
          <w:rStyle w:val="Refdenotaalpie"/>
          <w:rFonts w:cs="Arial"/>
          <w:sz w:val="26"/>
          <w:szCs w:val="26"/>
        </w:rPr>
        <w:footnoteReference w:id="141"/>
      </w:r>
      <w:r w:rsidRPr="00293E53">
        <w:rPr>
          <w:rFonts w:cs="Arial"/>
          <w:sz w:val="26"/>
          <w:szCs w:val="26"/>
        </w:rPr>
        <w:t xml:space="preserve">, </w:t>
      </w:r>
      <w:r w:rsidR="00B947AB" w:rsidRPr="00293E53">
        <w:rPr>
          <w:rFonts w:cs="Arial"/>
          <w:sz w:val="26"/>
          <w:szCs w:val="26"/>
        </w:rPr>
        <w:t xml:space="preserve">desde la resolución de los </w:t>
      </w:r>
      <w:r w:rsidR="00B947AB" w:rsidRPr="00293E53">
        <w:rPr>
          <w:rFonts w:cs="Arial"/>
          <w:sz w:val="26"/>
          <w:szCs w:val="26"/>
          <w:lang w:eastAsia="es-ES"/>
        </w:rPr>
        <w:t xml:space="preserve">amparos directos 30/2013 y </w:t>
      </w:r>
      <w:r w:rsidR="00B947AB" w:rsidRPr="00293E53">
        <w:rPr>
          <w:rFonts w:cs="Arial"/>
          <w:sz w:val="26"/>
          <w:szCs w:val="26"/>
          <w:lang w:eastAsia="es-ES"/>
        </w:rPr>
        <w:lastRenderedPageBreak/>
        <w:t>31/2013</w:t>
      </w:r>
      <w:r w:rsidR="00B947AB" w:rsidRPr="00293E53">
        <w:rPr>
          <w:rStyle w:val="Refdenotaalpie"/>
          <w:rFonts w:cs="Arial"/>
          <w:sz w:val="26"/>
          <w:szCs w:val="26"/>
          <w:lang w:eastAsia="es-ES"/>
        </w:rPr>
        <w:footnoteReference w:id="142"/>
      </w:r>
      <w:r w:rsidR="00B947AB" w:rsidRPr="00293E53">
        <w:rPr>
          <w:rFonts w:cs="Arial"/>
          <w:sz w:val="26"/>
          <w:szCs w:val="26"/>
          <w:lang w:eastAsia="es-ES"/>
        </w:rPr>
        <w:t xml:space="preserve">, </w:t>
      </w:r>
      <w:r w:rsidR="00884297" w:rsidRPr="00293E53">
        <w:rPr>
          <w:rFonts w:cs="Arial"/>
          <w:sz w:val="26"/>
          <w:szCs w:val="26"/>
          <w:lang w:eastAsia="es-ES"/>
        </w:rPr>
        <w:t xml:space="preserve">esta Primera Sala reconoció que los daños punitivos </w:t>
      </w:r>
      <w:r w:rsidR="00AB2D74" w:rsidRPr="00293E53">
        <w:rPr>
          <w:rFonts w:cs="Arial"/>
          <w:sz w:val="26"/>
          <w:szCs w:val="26"/>
          <w:lang w:eastAsia="es-ES"/>
        </w:rPr>
        <w:t>pueden</w:t>
      </w:r>
      <w:r w:rsidR="00884297" w:rsidRPr="00293E53">
        <w:rPr>
          <w:rFonts w:cs="Arial"/>
          <w:sz w:val="26"/>
          <w:szCs w:val="26"/>
          <w:lang w:eastAsia="es-ES"/>
        </w:rPr>
        <w:t xml:space="preserve"> constituir un elemento </w:t>
      </w:r>
      <w:r w:rsidR="00AB2D74" w:rsidRPr="00293E53">
        <w:rPr>
          <w:rFonts w:cs="Arial"/>
          <w:sz w:val="26"/>
          <w:szCs w:val="26"/>
          <w:lang w:eastAsia="es-ES"/>
        </w:rPr>
        <w:t xml:space="preserve">de la indemnización a otorgar, con el fin de </w:t>
      </w:r>
      <w:r w:rsidR="00884297" w:rsidRPr="00293E53">
        <w:rPr>
          <w:rFonts w:cs="Arial"/>
          <w:sz w:val="26"/>
          <w:szCs w:val="26"/>
          <w:lang w:eastAsia="es-ES"/>
        </w:rPr>
        <w:t>alcanza</w:t>
      </w:r>
      <w:r w:rsidR="0086360A" w:rsidRPr="00293E53">
        <w:rPr>
          <w:rFonts w:cs="Arial"/>
          <w:sz w:val="26"/>
          <w:szCs w:val="26"/>
          <w:lang w:eastAsia="es-ES"/>
        </w:rPr>
        <w:t>r</w:t>
      </w:r>
      <w:r w:rsidR="00884297" w:rsidRPr="00293E53">
        <w:rPr>
          <w:rFonts w:cs="Arial"/>
          <w:sz w:val="26"/>
          <w:szCs w:val="26"/>
          <w:lang w:eastAsia="es-ES"/>
        </w:rPr>
        <w:t xml:space="preserve"> objetivos fundamentales en materia de retribución social. </w:t>
      </w:r>
      <w:r w:rsidR="009577A7" w:rsidRPr="00293E53">
        <w:rPr>
          <w:rFonts w:cs="Arial"/>
          <w:sz w:val="26"/>
          <w:szCs w:val="26"/>
        </w:rPr>
        <w:t>En ese sentido, la</w:t>
      </w:r>
      <w:r w:rsidR="00884297" w:rsidRPr="00293E53">
        <w:rPr>
          <w:rFonts w:cs="Arial"/>
          <w:sz w:val="26"/>
          <w:szCs w:val="26"/>
        </w:rPr>
        <w:t xml:space="preserve"> Primera Sala consideró </w:t>
      </w:r>
      <w:r w:rsidR="009577A7" w:rsidRPr="00293E53">
        <w:rPr>
          <w:rFonts w:cs="Arial"/>
          <w:sz w:val="26"/>
          <w:szCs w:val="26"/>
        </w:rPr>
        <w:t xml:space="preserve">en tales </w:t>
      </w:r>
      <w:r w:rsidR="00D8164D" w:rsidRPr="00293E53">
        <w:rPr>
          <w:rFonts w:cs="Arial"/>
          <w:sz w:val="26"/>
          <w:szCs w:val="26"/>
        </w:rPr>
        <w:t>sentencias</w:t>
      </w:r>
      <w:r w:rsidR="001E1FA6" w:rsidRPr="00293E53">
        <w:rPr>
          <w:rFonts w:cs="Arial"/>
          <w:sz w:val="26"/>
          <w:szCs w:val="26"/>
        </w:rPr>
        <w:t xml:space="preserve"> </w:t>
      </w:r>
      <w:r w:rsidR="00884297" w:rsidRPr="00293E53">
        <w:rPr>
          <w:rFonts w:cs="Arial"/>
          <w:sz w:val="26"/>
          <w:szCs w:val="26"/>
        </w:rPr>
        <w:t>que</w:t>
      </w:r>
      <w:r w:rsidR="009577A7" w:rsidRPr="00293E53">
        <w:rPr>
          <w:rFonts w:cs="Arial"/>
          <w:sz w:val="26"/>
          <w:szCs w:val="26"/>
        </w:rPr>
        <w:t>,</w:t>
      </w:r>
      <w:r w:rsidR="00884297" w:rsidRPr="00293E53">
        <w:rPr>
          <w:rFonts w:cs="Arial"/>
          <w:sz w:val="26"/>
          <w:szCs w:val="26"/>
        </w:rPr>
        <w:t xml:space="preserve"> de una interpretación literal y teleológica del artículo 1916 del Código Civil para el Distrito Federal</w:t>
      </w:r>
      <w:r w:rsidR="001E1FA6" w:rsidRPr="00293E53">
        <w:rPr>
          <w:rFonts w:cs="Arial"/>
          <w:sz w:val="26"/>
          <w:szCs w:val="26"/>
        </w:rPr>
        <w:t xml:space="preserve">, </w:t>
      </w:r>
      <w:r w:rsidR="00884297" w:rsidRPr="00293E53">
        <w:rPr>
          <w:rFonts w:cs="Arial"/>
          <w:sz w:val="26"/>
          <w:szCs w:val="26"/>
        </w:rPr>
        <w:t>se deriva el carácter punitivo de la reparación del daño moral</w:t>
      </w:r>
      <w:r w:rsidR="0036241C">
        <w:rPr>
          <w:rStyle w:val="Refdenotaalpie"/>
          <w:rFonts w:cs="Arial"/>
          <w:sz w:val="26"/>
          <w:szCs w:val="26"/>
        </w:rPr>
        <w:footnoteReference w:id="143"/>
      </w:r>
      <w:r w:rsidR="001E1FA6" w:rsidRPr="00293E53">
        <w:rPr>
          <w:rFonts w:cs="Arial"/>
          <w:sz w:val="26"/>
          <w:szCs w:val="26"/>
        </w:rPr>
        <w:t xml:space="preserve">. Ello, dado que la </w:t>
      </w:r>
      <w:r w:rsidR="00884297" w:rsidRPr="00293E53">
        <w:rPr>
          <w:rFonts w:cs="Arial"/>
          <w:sz w:val="26"/>
          <w:szCs w:val="26"/>
        </w:rPr>
        <w:t>norma obliga</w:t>
      </w:r>
      <w:r w:rsidR="00CE073F" w:rsidRPr="00293E53">
        <w:rPr>
          <w:rFonts w:cs="Arial"/>
          <w:sz w:val="26"/>
          <w:szCs w:val="26"/>
        </w:rPr>
        <w:t xml:space="preserve"> </w:t>
      </w:r>
      <w:r w:rsidR="00884297" w:rsidRPr="00293E53">
        <w:rPr>
          <w:rFonts w:cs="Arial"/>
          <w:sz w:val="26"/>
          <w:szCs w:val="26"/>
        </w:rPr>
        <w:t xml:space="preserve">a pagar una indemnización en dinero, </w:t>
      </w:r>
      <w:r w:rsidR="001E1FA6" w:rsidRPr="00293E53">
        <w:rPr>
          <w:rFonts w:cs="Arial"/>
          <w:sz w:val="26"/>
          <w:szCs w:val="26"/>
        </w:rPr>
        <w:t>en ponderación</w:t>
      </w:r>
      <w:r w:rsidR="00884297" w:rsidRPr="00293E53">
        <w:rPr>
          <w:rFonts w:cs="Arial"/>
          <w:sz w:val="26"/>
          <w:szCs w:val="26"/>
        </w:rPr>
        <w:t xml:space="preserve"> </w:t>
      </w:r>
      <w:r w:rsidR="00D00317" w:rsidRPr="00293E53">
        <w:rPr>
          <w:rFonts w:cs="Arial"/>
          <w:sz w:val="26"/>
          <w:szCs w:val="26"/>
        </w:rPr>
        <w:t xml:space="preserve">de </w:t>
      </w:r>
      <w:r w:rsidR="00884297" w:rsidRPr="00293E53">
        <w:rPr>
          <w:rFonts w:cs="Arial"/>
          <w:sz w:val="26"/>
          <w:szCs w:val="26"/>
        </w:rPr>
        <w:t>factores tales como los derechos lesionados, el grado de responsabilidad, la situación económica del responsable, así como</w:t>
      </w:r>
      <w:r w:rsidR="00D8164D" w:rsidRPr="00293E53">
        <w:rPr>
          <w:rFonts w:cs="Arial"/>
          <w:sz w:val="26"/>
          <w:szCs w:val="26"/>
        </w:rPr>
        <w:t xml:space="preserve"> </w:t>
      </w:r>
      <w:r w:rsidR="00884297" w:rsidRPr="00293E53">
        <w:rPr>
          <w:rFonts w:cs="Arial"/>
          <w:sz w:val="26"/>
          <w:szCs w:val="26"/>
        </w:rPr>
        <w:t xml:space="preserve">las demás circunstancias del caso. Por lo tanto, </w:t>
      </w:r>
      <w:r w:rsidR="008C3DCA" w:rsidRPr="00293E53">
        <w:rPr>
          <w:rFonts w:cs="Arial"/>
          <w:sz w:val="26"/>
          <w:szCs w:val="26"/>
        </w:rPr>
        <w:t>se estimó que</w:t>
      </w:r>
      <w:r w:rsidR="00884297" w:rsidRPr="00293E53">
        <w:rPr>
          <w:rFonts w:cs="Arial"/>
          <w:sz w:val="26"/>
          <w:szCs w:val="26"/>
        </w:rPr>
        <w:t xml:space="preserve"> la autoridad jurisdiccional n</w:t>
      </w:r>
      <w:r w:rsidR="008C3DCA" w:rsidRPr="00293E53">
        <w:rPr>
          <w:rFonts w:cs="Arial"/>
          <w:sz w:val="26"/>
          <w:szCs w:val="26"/>
        </w:rPr>
        <w:t xml:space="preserve">o </w:t>
      </w:r>
      <w:r w:rsidR="00884297" w:rsidRPr="00293E53">
        <w:rPr>
          <w:rFonts w:cs="Arial"/>
          <w:sz w:val="26"/>
          <w:szCs w:val="26"/>
        </w:rPr>
        <w:t>sólo</w:t>
      </w:r>
      <w:r w:rsidR="008C3DCA" w:rsidRPr="00293E53">
        <w:rPr>
          <w:rFonts w:cs="Arial"/>
          <w:sz w:val="26"/>
          <w:szCs w:val="26"/>
        </w:rPr>
        <w:t xml:space="preserve"> </w:t>
      </w:r>
      <w:r w:rsidR="00CA4646" w:rsidRPr="00293E53">
        <w:rPr>
          <w:rFonts w:cs="Arial"/>
          <w:sz w:val="26"/>
          <w:szCs w:val="26"/>
        </w:rPr>
        <w:t>debe</w:t>
      </w:r>
      <w:r w:rsidR="00884297" w:rsidRPr="00293E53">
        <w:rPr>
          <w:rFonts w:cs="Arial"/>
          <w:sz w:val="26"/>
          <w:szCs w:val="26"/>
        </w:rPr>
        <w:t xml:space="preserve"> considerar aquellos aspectos necesarios para borrar, </w:t>
      </w:r>
      <w:r w:rsidR="00884297" w:rsidRPr="00293E53">
        <w:rPr>
          <w:rFonts w:cs="Arial"/>
          <w:sz w:val="26"/>
          <w:szCs w:val="26"/>
          <w:lang w:val="es-MX"/>
        </w:rPr>
        <w:t xml:space="preserve">en la medida de lo posible, el daño sufrido por la víctima, sino que </w:t>
      </w:r>
      <w:r w:rsidR="00CA4646" w:rsidRPr="00293E53">
        <w:rPr>
          <w:rFonts w:cs="Arial"/>
          <w:sz w:val="26"/>
          <w:szCs w:val="26"/>
          <w:lang w:val="es-MX"/>
        </w:rPr>
        <w:t>existen</w:t>
      </w:r>
      <w:r w:rsidR="00884297" w:rsidRPr="00293E53">
        <w:rPr>
          <w:rFonts w:cs="Arial"/>
          <w:sz w:val="26"/>
          <w:szCs w:val="26"/>
          <w:lang w:val="es-MX"/>
        </w:rPr>
        <w:t xml:space="preserve"> agravantes que </w:t>
      </w:r>
      <w:r w:rsidR="00CA4646" w:rsidRPr="00293E53">
        <w:rPr>
          <w:rFonts w:cs="Arial"/>
          <w:sz w:val="26"/>
          <w:szCs w:val="26"/>
          <w:lang w:val="es-MX"/>
        </w:rPr>
        <w:t>deben</w:t>
      </w:r>
      <w:r w:rsidR="00884297" w:rsidRPr="00293E53">
        <w:rPr>
          <w:rFonts w:cs="Arial"/>
          <w:sz w:val="26"/>
          <w:szCs w:val="26"/>
          <w:lang w:val="es-MX"/>
        </w:rPr>
        <w:t xml:space="preserve"> ponderarse en el </w:t>
      </w:r>
      <w:r w:rsidR="008C3DCA" w:rsidRPr="00293E53">
        <w:rPr>
          <w:rFonts w:cs="Arial"/>
          <w:sz w:val="26"/>
          <w:szCs w:val="26"/>
          <w:lang w:val="es-MX"/>
        </w:rPr>
        <w:t>monto</w:t>
      </w:r>
      <w:r w:rsidR="00884297" w:rsidRPr="00293E53">
        <w:rPr>
          <w:rFonts w:cs="Arial"/>
          <w:sz w:val="26"/>
          <w:szCs w:val="26"/>
          <w:lang w:val="es-MX"/>
        </w:rPr>
        <w:t xml:space="preserve"> de la indemnización.</w:t>
      </w:r>
    </w:p>
    <w:p w14:paraId="67E945A4" w14:textId="77777777" w:rsidR="009577A7" w:rsidRPr="00293E53" w:rsidRDefault="009577A7" w:rsidP="00263912">
      <w:pPr>
        <w:pStyle w:val="corte4fondo"/>
        <w:ind w:right="51" w:hanging="567"/>
        <w:rPr>
          <w:rFonts w:cs="Arial"/>
          <w:sz w:val="26"/>
          <w:szCs w:val="26"/>
        </w:rPr>
      </w:pPr>
    </w:p>
    <w:p w14:paraId="11D702BE" w14:textId="1FCEF7CB" w:rsidR="00884297" w:rsidRPr="00293E53" w:rsidRDefault="00884297" w:rsidP="00263912">
      <w:pPr>
        <w:pStyle w:val="corte4fondo"/>
        <w:numPr>
          <w:ilvl w:val="0"/>
          <w:numId w:val="2"/>
        </w:numPr>
        <w:ind w:left="0" w:right="51" w:hanging="567"/>
        <w:rPr>
          <w:rFonts w:cs="Arial"/>
          <w:sz w:val="26"/>
          <w:szCs w:val="26"/>
        </w:rPr>
      </w:pPr>
      <w:r w:rsidRPr="00293E53">
        <w:rPr>
          <w:rFonts w:cs="Arial"/>
          <w:sz w:val="26"/>
          <w:szCs w:val="26"/>
        </w:rPr>
        <w:t xml:space="preserve">Por </w:t>
      </w:r>
      <w:r w:rsidR="00BF2C30" w:rsidRPr="00293E53">
        <w:rPr>
          <w:rFonts w:cs="Arial"/>
          <w:sz w:val="26"/>
          <w:szCs w:val="26"/>
        </w:rPr>
        <w:t>su</w:t>
      </w:r>
      <w:r w:rsidRPr="00293E53">
        <w:rPr>
          <w:rFonts w:cs="Arial"/>
          <w:sz w:val="26"/>
          <w:szCs w:val="26"/>
        </w:rPr>
        <w:t xml:space="preserve"> parte, en el amparo directo 50/2015</w:t>
      </w:r>
      <w:r w:rsidRPr="00293E53">
        <w:rPr>
          <w:rStyle w:val="Refdenotaalpie"/>
          <w:rFonts w:cs="Arial"/>
          <w:sz w:val="26"/>
          <w:szCs w:val="26"/>
        </w:rPr>
        <w:footnoteReference w:id="144"/>
      </w:r>
      <w:r w:rsidRPr="00293E53">
        <w:rPr>
          <w:rFonts w:cs="Arial"/>
          <w:sz w:val="26"/>
          <w:szCs w:val="26"/>
        </w:rPr>
        <w:t xml:space="preserve">, </w:t>
      </w:r>
      <w:r w:rsidR="00BF2C30" w:rsidRPr="00293E53">
        <w:rPr>
          <w:rFonts w:cs="Arial"/>
          <w:sz w:val="26"/>
          <w:szCs w:val="26"/>
        </w:rPr>
        <w:t xml:space="preserve">la Sala profundizó </w:t>
      </w:r>
      <w:r w:rsidRPr="00293E53">
        <w:rPr>
          <w:rFonts w:cs="Arial"/>
          <w:sz w:val="26"/>
          <w:szCs w:val="26"/>
        </w:rPr>
        <w:t>sobre el concepto de daños punitivos</w:t>
      </w:r>
      <w:r w:rsidR="00BF2C30" w:rsidRPr="00293E53">
        <w:rPr>
          <w:rFonts w:cs="Arial"/>
          <w:sz w:val="26"/>
          <w:szCs w:val="26"/>
        </w:rPr>
        <w:t>. En el</w:t>
      </w:r>
      <w:r w:rsidRPr="00293E53">
        <w:rPr>
          <w:rFonts w:cs="Arial"/>
          <w:sz w:val="26"/>
          <w:szCs w:val="26"/>
        </w:rPr>
        <w:t xml:space="preserve"> precedente se determinó qu</w:t>
      </w:r>
      <w:r w:rsidR="00BF2C30" w:rsidRPr="00293E53">
        <w:rPr>
          <w:rFonts w:cs="Arial"/>
          <w:sz w:val="26"/>
          <w:szCs w:val="26"/>
        </w:rPr>
        <w:t>e</w:t>
      </w:r>
      <w:r w:rsidRPr="00293E53">
        <w:rPr>
          <w:rFonts w:cs="Arial"/>
          <w:sz w:val="26"/>
          <w:szCs w:val="26"/>
        </w:rPr>
        <w:t>, cuando procedan</w:t>
      </w:r>
      <w:r w:rsidR="00BF2C30" w:rsidRPr="00293E53">
        <w:rPr>
          <w:rFonts w:cs="Arial"/>
          <w:sz w:val="26"/>
          <w:szCs w:val="26"/>
        </w:rPr>
        <w:t xml:space="preserve"> tales daños</w:t>
      </w:r>
      <w:r w:rsidRPr="00293E53">
        <w:rPr>
          <w:rFonts w:cs="Arial"/>
          <w:sz w:val="26"/>
          <w:szCs w:val="26"/>
        </w:rPr>
        <w:t xml:space="preserve">, el monto de la indemnización debe comprender una dimensión que </w:t>
      </w:r>
      <w:r w:rsidRPr="00293E53">
        <w:rPr>
          <w:rFonts w:cs="Arial"/>
          <w:sz w:val="26"/>
          <w:szCs w:val="26"/>
          <w:lang w:val="es-MX"/>
        </w:rPr>
        <w:t>compense</w:t>
      </w:r>
      <w:r w:rsidRPr="00293E53">
        <w:rPr>
          <w:rFonts w:cs="Arial"/>
          <w:sz w:val="26"/>
          <w:szCs w:val="26"/>
        </w:rPr>
        <w:t xml:space="preserve"> la necesidad de justicia de las víctimas, castigando a la parte responsable en función de su grado de culpabilidad, y sentando un precedente que desincentive conductas análogas en casos futuros</w:t>
      </w:r>
      <w:r w:rsidR="00CA4646" w:rsidRPr="00293E53">
        <w:rPr>
          <w:rFonts w:cs="Arial"/>
          <w:sz w:val="26"/>
          <w:szCs w:val="26"/>
        </w:rPr>
        <w:t xml:space="preserve">. Así, se consideró que </w:t>
      </w:r>
      <w:r w:rsidRPr="00293E53">
        <w:rPr>
          <w:rFonts w:cs="Arial"/>
          <w:sz w:val="26"/>
          <w:szCs w:val="26"/>
        </w:rPr>
        <w:t xml:space="preserve">el </w:t>
      </w:r>
      <w:r w:rsidR="005A300B" w:rsidRPr="00293E53">
        <w:rPr>
          <w:rFonts w:cs="Arial"/>
          <w:sz w:val="26"/>
          <w:szCs w:val="26"/>
        </w:rPr>
        <w:t>monto</w:t>
      </w:r>
      <w:r w:rsidRPr="00293E53">
        <w:rPr>
          <w:rFonts w:cs="Arial"/>
          <w:sz w:val="26"/>
          <w:szCs w:val="26"/>
        </w:rPr>
        <w:t xml:space="preserve"> indemnizatorio </w:t>
      </w:r>
      <w:r w:rsidR="00CA4646" w:rsidRPr="00293E53">
        <w:rPr>
          <w:rFonts w:cs="Arial"/>
          <w:sz w:val="26"/>
          <w:szCs w:val="26"/>
        </w:rPr>
        <w:t>debe</w:t>
      </w:r>
      <w:r w:rsidRPr="00293E53">
        <w:rPr>
          <w:rFonts w:cs="Arial"/>
          <w:sz w:val="26"/>
          <w:szCs w:val="26"/>
        </w:rPr>
        <w:t xml:space="preserve"> dar cuenta de la responsabilidad de la parte demandada y del aspecto social del daño causado</w:t>
      </w:r>
      <w:r w:rsidR="005A300B" w:rsidRPr="00293E53">
        <w:rPr>
          <w:rFonts w:cs="Arial"/>
          <w:sz w:val="26"/>
          <w:szCs w:val="26"/>
        </w:rPr>
        <w:t>;</w:t>
      </w:r>
      <w:r w:rsidRPr="00293E53">
        <w:rPr>
          <w:rFonts w:cs="Arial"/>
          <w:sz w:val="26"/>
          <w:szCs w:val="26"/>
        </w:rPr>
        <w:t xml:space="preserve"> es decir, de la relevancia o implicaciones sociales del mismo.</w:t>
      </w:r>
    </w:p>
    <w:p w14:paraId="72A706AC" w14:textId="77777777" w:rsidR="005A300B" w:rsidRPr="00293E53" w:rsidRDefault="005A300B" w:rsidP="00263912">
      <w:pPr>
        <w:pStyle w:val="corte4fondo"/>
        <w:ind w:right="51" w:hanging="567"/>
        <w:rPr>
          <w:rFonts w:cs="Arial"/>
          <w:sz w:val="26"/>
          <w:szCs w:val="26"/>
        </w:rPr>
      </w:pPr>
    </w:p>
    <w:p w14:paraId="66E41FB4" w14:textId="77777777" w:rsidR="0022472C" w:rsidRPr="00293E53" w:rsidRDefault="008C0BD9" w:rsidP="00263912">
      <w:pPr>
        <w:pStyle w:val="corte4fondo"/>
        <w:numPr>
          <w:ilvl w:val="0"/>
          <w:numId w:val="2"/>
        </w:numPr>
        <w:ind w:left="0" w:right="51" w:hanging="567"/>
        <w:rPr>
          <w:rFonts w:cs="Arial"/>
          <w:sz w:val="26"/>
          <w:szCs w:val="26"/>
        </w:rPr>
      </w:pPr>
      <w:r w:rsidRPr="00293E53">
        <w:rPr>
          <w:rFonts w:cs="Arial"/>
          <w:bCs/>
          <w:sz w:val="26"/>
          <w:szCs w:val="26"/>
        </w:rPr>
        <w:lastRenderedPageBreak/>
        <w:t xml:space="preserve">Posteriormente, </w:t>
      </w:r>
      <w:r w:rsidR="00884297" w:rsidRPr="00293E53">
        <w:rPr>
          <w:rFonts w:cs="Arial"/>
          <w:bCs/>
          <w:sz w:val="26"/>
          <w:szCs w:val="26"/>
        </w:rPr>
        <w:t>en el amparo en revisión 1133/2019</w:t>
      </w:r>
      <w:r w:rsidR="00884297" w:rsidRPr="00293E53">
        <w:rPr>
          <w:rStyle w:val="Refdenotaalpie"/>
          <w:rFonts w:cs="Arial"/>
          <w:bCs/>
          <w:sz w:val="26"/>
          <w:szCs w:val="26"/>
        </w:rPr>
        <w:footnoteReference w:id="145"/>
      </w:r>
      <w:r w:rsidR="00884297" w:rsidRPr="00293E53">
        <w:rPr>
          <w:rFonts w:cs="Arial"/>
          <w:bCs/>
          <w:sz w:val="26"/>
          <w:szCs w:val="26"/>
        </w:rPr>
        <w:t xml:space="preserve">, esta </w:t>
      </w:r>
      <w:r w:rsidRPr="00293E53">
        <w:rPr>
          <w:rFonts w:cs="Arial"/>
          <w:bCs/>
          <w:sz w:val="26"/>
          <w:szCs w:val="26"/>
        </w:rPr>
        <w:t xml:space="preserve">Primera </w:t>
      </w:r>
      <w:r w:rsidR="00884297" w:rsidRPr="00293E53">
        <w:rPr>
          <w:rFonts w:cs="Arial"/>
          <w:bCs/>
          <w:sz w:val="26"/>
          <w:szCs w:val="26"/>
        </w:rPr>
        <w:t xml:space="preserve">Sala reiteró que los daños </w:t>
      </w:r>
      <w:r w:rsidR="00884297" w:rsidRPr="00293E53">
        <w:rPr>
          <w:rFonts w:cs="Arial"/>
          <w:sz w:val="26"/>
          <w:szCs w:val="26"/>
        </w:rPr>
        <w:t>punitivos</w:t>
      </w:r>
      <w:r w:rsidR="00884297" w:rsidRPr="00293E53">
        <w:rPr>
          <w:rFonts w:cs="Arial"/>
          <w:bCs/>
          <w:sz w:val="26"/>
          <w:szCs w:val="26"/>
        </w:rPr>
        <w:t xml:space="preserve"> son una figura de carácter civil, que persigue “la punición de determinadas conductas caracterizadas por un elemento axiológico o valorativo </w:t>
      </w:r>
      <w:r w:rsidR="00884297" w:rsidRPr="00293E53">
        <w:rPr>
          <w:rFonts w:cs="Arial"/>
          <w:bCs/>
          <w:i/>
          <w:iCs/>
          <w:sz w:val="26"/>
          <w:szCs w:val="26"/>
        </w:rPr>
        <w:t>agravado</w:t>
      </w:r>
      <w:r w:rsidR="00884297" w:rsidRPr="00293E53">
        <w:rPr>
          <w:rFonts w:cs="Arial"/>
          <w:bCs/>
          <w:sz w:val="26"/>
          <w:szCs w:val="26"/>
        </w:rPr>
        <w:t>”.</w:t>
      </w:r>
      <w:r w:rsidRPr="00293E53">
        <w:rPr>
          <w:rFonts w:cs="Arial"/>
          <w:sz w:val="26"/>
          <w:szCs w:val="26"/>
        </w:rPr>
        <w:t xml:space="preserve"> Asimismo, </w:t>
      </w:r>
      <w:r w:rsidR="00884297" w:rsidRPr="00293E53">
        <w:rPr>
          <w:rFonts w:cs="Arial"/>
          <w:sz w:val="26"/>
          <w:szCs w:val="26"/>
        </w:rPr>
        <w:t>se explicó que dichos daños se traducen en sanciones de carácter civil que pueden implicar obligaciones de dar o de hacer, disuasivas, accesorias y de aplicación excepcional,</w:t>
      </w:r>
      <w:r w:rsidR="002639B0" w:rsidRPr="00293E53">
        <w:rPr>
          <w:rFonts w:cs="Arial"/>
          <w:sz w:val="26"/>
          <w:szCs w:val="26"/>
        </w:rPr>
        <w:t xml:space="preserve"> cuya</w:t>
      </w:r>
      <w:r w:rsidR="00884297" w:rsidRPr="00293E53">
        <w:rPr>
          <w:rFonts w:cs="Arial"/>
          <w:sz w:val="26"/>
          <w:szCs w:val="26"/>
        </w:rPr>
        <w:t xml:space="preserve"> aplicación se justifica para castigar y prevenir conductas que merezcan un grado muy alto de reprochabilidad por parte de la sociedad</w:t>
      </w:r>
      <w:r w:rsidR="0022472C" w:rsidRPr="00293E53">
        <w:rPr>
          <w:rFonts w:cs="Arial"/>
          <w:sz w:val="26"/>
          <w:szCs w:val="26"/>
        </w:rPr>
        <w:t xml:space="preserve">, como </w:t>
      </w:r>
      <w:r w:rsidR="00884297" w:rsidRPr="00293E53">
        <w:rPr>
          <w:rFonts w:cs="Arial"/>
          <w:sz w:val="26"/>
          <w:szCs w:val="26"/>
        </w:rPr>
        <w:t>los casos de las más graves violaciones de derechos humanos.</w:t>
      </w:r>
    </w:p>
    <w:p w14:paraId="7CE18AA4" w14:textId="77777777" w:rsidR="0022472C" w:rsidRPr="00293E53" w:rsidRDefault="0022472C" w:rsidP="00263912">
      <w:pPr>
        <w:pStyle w:val="corte4fondo"/>
        <w:ind w:right="51" w:hanging="567"/>
        <w:rPr>
          <w:rFonts w:cs="Arial"/>
          <w:sz w:val="26"/>
          <w:szCs w:val="26"/>
        </w:rPr>
      </w:pPr>
    </w:p>
    <w:p w14:paraId="1170FA2D" w14:textId="03392589" w:rsidR="00884297" w:rsidRPr="00D95A1D" w:rsidRDefault="00181D98" w:rsidP="00263912">
      <w:pPr>
        <w:pStyle w:val="corte4fondo"/>
        <w:numPr>
          <w:ilvl w:val="0"/>
          <w:numId w:val="2"/>
        </w:numPr>
        <w:ind w:left="0" w:right="51" w:hanging="567"/>
        <w:rPr>
          <w:rFonts w:cs="Arial"/>
          <w:sz w:val="26"/>
          <w:szCs w:val="26"/>
        </w:rPr>
      </w:pPr>
      <w:r w:rsidRPr="00293E53">
        <w:rPr>
          <w:rFonts w:cs="Arial"/>
          <w:sz w:val="26"/>
          <w:szCs w:val="26"/>
        </w:rPr>
        <w:t>Finalmente</w:t>
      </w:r>
      <w:r w:rsidR="00884297" w:rsidRPr="00293E53">
        <w:rPr>
          <w:rFonts w:cs="Arial"/>
          <w:sz w:val="26"/>
          <w:szCs w:val="26"/>
        </w:rPr>
        <w:t>,</w:t>
      </w:r>
      <w:r w:rsidRPr="00293E53">
        <w:rPr>
          <w:rFonts w:cs="Arial"/>
          <w:sz w:val="26"/>
          <w:szCs w:val="26"/>
        </w:rPr>
        <w:t xml:space="preserve"> esta Sala </w:t>
      </w:r>
      <w:r w:rsidR="004720BA" w:rsidRPr="00293E53">
        <w:rPr>
          <w:rFonts w:cs="Arial"/>
          <w:sz w:val="26"/>
          <w:szCs w:val="26"/>
        </w:rPr>
        <w:t>consideró</w:t>
      </w:r>
      <w:r w:rsidR="00884297" w:rsidRPr="00293E53">
        <w:rPr>
          <w:rFonts w:cs="Arial"/>
          <w:sz w:val="26"/>
          <w:szCs w:val="26"/>
        </w:rPr>
        <w:t xml:space="preserve"> que </w:t>
      </w:r>
      <w:r w:rsidR="00884297" w:rsidRPr="00293E53">
        <w:rPr>
          <w:rFonts w:cs="Arial"/>
          <w:sz w:val="26"/>
          <w:szCs w:val="26"/>
          <w:lang w:eastAsia="es-ES"/>
        </w:rPr>
        <w:t>los daños punitivos tienen una triple finalidad: i)</w:t>
      </w:r>
      <w:r w:rsidR="00884297" w:rsidRPr="00293E53">
        <w:rPr>
          <w:rFonts w:cs="Arial"/>
          <w:sz w:val="26"/>
          <w:szCs w:val="26"/>
        </w:rPr>
        <w:t xml:space="preserve"> castigar al responsable (función punitiva-represiva); ii) impedir que </w:t>
      </w:r>
      <w:r w:rsidR="0022472C" w:rsidRPr="00293E53">
        <w:rPr>
          <w:rFonts w:cs="Arial"/>
          <w:sz w:val="26"/>
          <w:szCs w:val="26"/>
        </w:rPr>
        <w:t>la responsable</w:t>
      </w:r>
      <w:r w:rsidR="00884297" w:rsidRPr="00293E53">
        <w:rPr>
          <w:rFonts w:cs="Arial"/>
          <w:sz w:val="26"/>
          <w:szCs w:val="26"/>
        </w:rPr>
        <w:t xml:space="preserve"> lucre con </w:t>
      </w:r>
      <w:r w:rsidR="0022472C" w:rsidRPr="00293E53">
        <w:rPr>
          <w:rFonts w:cs="Arial"/>
          <w:sz w:val="26"/>
          <w:szCs w:val="26"/>
        </w:rPr>
        <w:t>los</w:t>
      </w:r>
      <w:r w:rsidR="00884297" w:rsidRPr="00293E53">
        <w:rPr>
          <w:rFonts w:cs="Arial"/>
          <w:sz w:val="26"/>
          <w:szCs w:val="26"/>
        </w:rPr>
        <w:t xml:space="preserve"> actos antijurídicos (función que busca evitar el enriquecimiento injusto del infractor)</w:t>
      </w:r>
      <w:r w:rsidR="0022472C" w:rsidRPr="00293E53">
        <w:rPr>
          <w:rFonts w:cs="Arial"/>
          <w:sz w:val="26"/>
          <w:szCs w:val="26"/>
        </w:rPr>
        <w:t>, y</w:t>
      </w:r>
      <w:r w:rsidR="00884297" w:rsidRPr="00293E53">
        <w:rPr>
          <w:rFonts w:cs="Arial"/>
          <w:sz w:val="26"/>
          <w:szCs w:val="26"/>
        </w:rPr>
        <w:t xml:space="preserve"> iii) disuadir al responsable y a otras personas de que realicen las actividades como las que causaron daños al demandante —víctima— (funció</w:t>
      </w:r>
      <w:r w:rsidR="00884297" w:rsidRPr="00D95A1D">
        <w:rPr>
          <w:rFonts w:cs="Arial"/>
          <w:sz w:val="26"/>
          <w:szCs w:val="26"/>
        </w:rPr>
        <w:t>n disuasoria-preventiva).</w:t>
      </w:r>
    </w:p>
    <w:p w14:paraId="1B8652B5" w14:textId="77777777" w:rsidR="004C2705" w:rsidRPr="00D95A1D" w:rsidRDefault="004C2705" w:rsidP="00263912">
      <w:pPr>
        <w:pStyle w:val="corte4fondo"/>
        <w:ind w:right="51" w:hanging="567"/>
        <w:rPr>
          <w:rFonts w:cs="Arial"/>
          <w:sz w:val="26"/>
          <w:szCs w:val="26"/>
        </w:rPr>
      </w:pPr>
    </w:p>
    <w:p w14:paraId="45F67441" w14:textId="25167F06" w:rsidR="00E3175C" w:rsidRPr="002F07DD" w:rsidRDefault="004C2705" w:rsidP="00263912">
      <w:pPr>
        <w:pStyle w:val="corte4fondo"/>
        <w:numPr>
          <w:ilvl w:val="0"/>
          <w:numId w:val="2"/>
        </w:numPr>
        <w:ind w:left="0" w:right="51" w:hanging="567"/>
        <w:rPr>
          <w:rFonts w:cs="Arial"/>
          <w:color w:val="000000" w:themeColor="text1"/>
          <w:sz w:val="26"/>
          <w:szCs w:val="26"/>
          <w:lang w:val="es-ES"/>
        </w:rPr>
      </w:pPr>
      <w:r w:rsidRPr="00D95A1D">
        <w:rPr>
          <w:rFonts w:cs="Arial"/>
          <w:sz w:val="26"/>
          <w:szCs w:val="26"/>
        </w:rPr>
        <w:t xml:space="preserve">A partir de lo anterior, en el amparo directo en revisión 358/2022 concluimos que </w:t>
      </w:r>
      <w:r w:rsidR="00AB1F36" w:rsidRPr="00D95A1D">
        <w:rPr>
          <w:rFonts w:cs="Arial"/>
          <w:sz w:val="26"/>
          <w:szCs w:val="26"/>
        </w:rPr>
        <w:t xml:space="preserve">la </w:t>
      </w:r>
      <w:r w:rsidR="00B11CFE" w:rsidRPr="00D95A1D">
        <w:rPr>
          <w:rFonts w:cs="Arial"/>
          <w:sz w:val="26"/>
          <w:szCs w:val="26"/>
        </w:rPr>
        <w:t xml:space="preserve">justificación de los </w:t>
      </w:r>
      <w:r w:rsidR="00754590" w:rsidRPr="00D95A1D">
        <w:rPr>
          <w:rFonts w:cs="Arial"/>
          <w:color w:val="000000" w:themeColor="text1"/>
          <w:sz w:val="26"/>
          <w:szCs w:val="26"/>
          <w:lang w:val="es-ES"/>
        </w:rPr>
        <w:t>daños punitivos en casos de responsabilidad civil extracontractual causante de daño moral</w:t>
      </w:r>
      <w:r w:rsidR="00AB1F36" w:rsidRPr="00D95A1D">
        <w:rPr>
          <w:rFonts w:cs="Arial"/>
          <w:color w:val="000000" w:themeColor="text1"/>
          <w:sz w:val="26"/>
          <w:szCs w:val="26"/>
          <w:lang w:val="es-ES"/>
        </w:rPr>
        <w:t xml:space="preserve"> </w:t>
      </w:r>
      <w:r w:rsidR="00754590" w:rsidRPr="00D95A1D">
        <w:rPr>
          <w:rFonts w:cs="Arial"/>
          <w:color w:val="000000" w:themeColor="text1"/>
          <w:sz w:val="26"/>
          <w:szCs w:val="26"/>
          <w:lang w:val="es-ES"/>
        </w:rPr>
        <w:t>se basa en un enfoque social</w:t>
      </w:r>
      <w:r w:rsidR="00B11CFE" w:rsidRPr="00D95A1D">
        <w:rPr>
          <w:rFonts w:cs="Arial"/>
          <w:color w:val="000000" w:themeColor="text1"/>
          <w:sz w:val="26"/>
          <w:szCs w:val="26"/>
          <w:lang w:val="es-ES"/>
        </w:rPr>
        <w:t>;</w:t>
      </w:r>
      <w:r w:rsidR="00754590" w:rsidRPr="00D95A1D">
        <w:rPr>
          <w:rFonts w:cs="Arial"/>
          <w:color w:val="000000" w:themeColor="text1"/>
          <w:sz w:val="26"/>
          <w:szCs w:val="26"/>
          <w:lang w:val="es-ES"/>
        </w:rPr>
        <w:t xml:space="preserve"> en una finalidad estatal de desincentivar conductas dañosas en la vida colectiva</w:t>
      </w:r>
      <w:r w:rsidR="00B11CFE" w:rsidRPr="00D95A1D">
        <w:rPr>
          <w:rFonts w:cs="Arial"/>
          <w:color w:val="000000" w:themeColor="text1"/>
          <w:sz w:val="26"/>
          <w:szCs w:val="26"/>
          <w:lang w:val="es-ES"/>
        </w:rPr>
        <w:t>. Para la Sala, e</w:t>
      </w:r>
      <w:r w:rsidR="00754590" w:rsidRPr="00D95A1D">
        <w:rPr>
          <w:rFonts w:cs="Arial"/>
          <w:color w:val="000000" w:themeColor="text1"/>
          <w:sz w:val="26"/>
          <w:szCs w:val="26"/>
          <w:lang w:val="es-ES"/>
        </w:rPr>
        <w:t xml:space="preserve">s una condena con fines ejemplarizantes para todos </w:t>
      </w:r>
      <w:r w:rsidR="00401B9D" w:rsidRPr="00D95A1D">
        <w:rPr>
          <w:rFonts w:cs="Arial"/>
          <w:color w:val="000000" w:themeColor="text1"/>
          <w:sz w:val="26"/>
          <w:szCs w:val="26"/>
          <w:lang w:val="es-ES"/>
        </w:rPr>
        <w:t>los</w:t>
      </w:r>
      <w:r w:rsidR="00754590" w:rsidRPr="00D95A1D">
        <w:rPr>
          <w:rFonts w:cs="Arial"/>
          <w:color w:val="000000" w:themeColor="text1"/>
          <w:sz w:val="26"/>
          <w:szCs w:val="26"/>
          <w:lang w:val="es-ES"/>
        </w:rPr>
        <w:t xml:space="preserve"> miembros de la sociedad que pudieren encontrarse en un momento dado, en los ámbitos y actividades de su vida cotidiana, en una posición semejante a la del causante del daño en el caso concreto.</w:t>
      </w:r>
      <w:r w:rsidR="0038298E" w:rsidRPr="00D95A1D">
        <w:rPr>
          <w:rFonts w:cs="Arial"/>
          <w:color w:val="000000" w:themeColor="text1"/>
          <w:sz w:val="26"/>
          <w:szCs w:val="26"/>
          <w:lang w:val="es-ES"/>
        </w:rPr>
        <w:t xml:space="preserve"> </w:t>
      </w:r>
      <w:r w:rsidR="00401B9D" w:rsidRPr="00D95A1D">
        <w:rPr>
          <w:rFonts w:cs="Arial"/>
          <w:sz w:val="26"/>
          <w:szCs w:val="26"/>
          <w:lang w:val="es-ES"/>
        </w:rPr>
        <w:t xml:space="preserve">Por ello, en el precedente </w:t>
      </w:r>
      <w:r w:rsidR="00434543" w:rsidRPr="00D95A1D">
        <w:rPr>
          <w:rFonts w:cs="Arial"/>
          <w:sz w:val="26"/>
          <w:szCs w:val="26"/>
          <w:lang w:val="es-ES"/>
        </w:rPr>
        <w:t>sostuvimos</w:t>
      </w:r>
      <w:r w:rsidR="00401B9D" w:rsidRPr="00D95A1D">
        <w:rPr>
          <w:rFonts w:cs="Arial"/>
          <w:sz w:val="26"/>
          <w:szCs w:val="26"/>
          <w:lang w:val="es-ES"/>
        </w:rPr>
        <w:t xml:space="preserve"> que es </w:t>
      </w:r>
      <w:r w:rsidR="00E3175C" w:rsidRPr="00D95A1D">
        <w:rPr>
          <w:rFonts w:cs="Arial"/>
          <w:sz w:val="26"/>
          <w:szCs w:val="26"/>
        </w:rPr>
        <w:t>exigible una ponderación casuística de los daños punitivos, porque su propia finalidad sancionadora y disuasoria de hechos ilícitos futuros entraña una lógica de gravedad de la conducta y del consecuente grado de respons</w:t>
      </w:r>
      <w:r w:rsidR="00E3175C" w:rsidRPr="00D95A1D">
        <w:rPr>
          <w:rFonts w:cs="Arial"/>
          <w:bCs/>
          <w:sz w:val="26"/>
          <w:szCs w:val="26"/>
        </w:rPr>
        <w:t>abilidad del agente dañador</w:t>
      </w:r>
      <w:r w:rsidR="0038298E" w:rsidRPr="00D95A1D">
        <w:rPr>
          <w:rStyle w:val="Refdenotaalpie"/>
          <w:rFonts w:cs="Arial"/>
          <w:bCs/>
          <w:sz w:val="26"/>
          <w:szCs w:val="26"/>
        </w:rPr>
        <w:footnoteReference w:id="146"/>
      </w:r>
      <w:r w:rsidR="00E3175C" w:rsidRPr="00D95A1D">
        <w:rPr>
          <w:rFonts w:cs="Arial"/>
          <w:bCs/>
          <w:sz w:val="26"/>
          <w:szCs w:val="26"/>
        </w:rPr>
        <w:t>.</w:t>
      </w:r>
      <w:r w:rsidR="00401B9D" w:rsidRPr="00D95A1D">
        <w:rPr>
          <w:rFonts w:cs="Arial"/>
          <w:bCs/>
          <w:sz w:val="26"/>
          <w:szCs w:val="26"/>
        </w:rPr>
        <w:t xml:space="preserve"> </w:t>
      </w:r>
    </w:p>
    <w:p w14:paraId="3DE79125" w14:textId="77777777" w:rsidR="002F07DD" w:rsidRPr="002F07DD" w:rsidRDefault="002F07DD" w:rsidP="00263912">
      <w:pPr>
        <w:pStyle w:val="corte4fondo"/>
        <w:ind w:right="51" w:hanging="567"/>
        <w:rPr>
          <w:rFonts w:cs="Arial"/>
          <w:color w:val="000000" w:themeColor="text1"/>
          <w:sz w:val="26"/>
          <w:szCs w:val="26"/>
          <w:lang w:val="es-ES"/>
        </w:rPr>
      </w:pPr>
    </w:p>
    <w:p w14:paraId="638A0E62" w14:textId="34B07920" w:rsidR="00AB3EBE" w:rsidRDefault="002F07DD" w:rsidP="00263912">
      <w:pPr>
        <w:pStyle w:val="corte4fondo"/>
        <w:numPr>
          <w:ilvl w:val="0"/>
          <w:numId w:val="2"/>
        </w:numPr>
        <w:ind w:left="0" w:right="51" w:hanging="567"/>
        <w:rPr>
          <w:rFonts w:cs="Arial"/>
          <w:sz w:val="26"/>
          <w:szCs w:val="26"/>
        </w:rPr>
      </w:pPr>
      <w:r w:rsidRPr="002830AE">
        <w:rPr>
          <w:rFonts w:cs="Arial"/>
          <w:sz w:val="26"/>
          <w:szCs w:val="26"/>
        </w:rPr>
        <w:t xml:space="preserve">Con base en los elementos precedentes, esta Suprema Corte </w:t>
      </w:r>
      <w:r w:rsidR="00554381" w:rsidRPr="002830AE">
        <w:rPr>
          <w:rFonts w:cs="Arial"/>
          <w:sz w:val="26"/>
          <w:szCs w:val="26"/>
        </w:rPr>
        <w:t>estima</w:t>
      </w:r>
      <w:r w:rsidRPr="002830AE">
        <w:rPr>
          <w:rFonts w:cs="Arial"/>
          <w:sz w:val="26"/>
          <w:szCs w:val="26"/>
        </w:rPr>
        <w:t xml:space="preserve"> que, en </w:t>
      </w:r>
      <w:r w:rsidR="0085363F" w:rsidRPr="002830AE">
        <w:rPr>
          <w:rFonts w:cs="Arial"/>
          <w:sz w:val="26"/>
          <w:szCs w:val="26"/>
        </w:rPr>
        <w:t>los casos de responsabilidad civil por</w:t>
      </w:r>
      <w:r w:rsidR="005636D1" w:rsidRPr="002830AE">
        <w:rPr>
          <w:rFonts w:cs="Arial"/>
          <w:sz w:val="26"/>
          <w:szCs w:val="26"/>
        </w:rPr>
        <w:t xml:space="preserve"> </w:t>
      </w:r>
      <w:r w:rsidR="0085363F" w:rsidRPr="002830AE">
        <w:rPr>
          <w:rFonts w:cs="Arial"/>
          <w:sz w:val="26"/>
          <w:szCs w:val="26"/>
        </w:rPr>
        <w:t>actos discriminatorios</w:t>
      </w:r>
      <w:r w:rsidRPr="002830AE">
        <w:rPr>
          <w:rFonts w:cs="Arial"/>
          <w:sz w:val="26"/>
          <w:szCs w:val="26"/>
        </w:rPr>
        <w:t xml:space="preserve">, </w:t>
      </w:r>
      <w:r w:rsidR="005636D1" w:rsidRPr="002830AE">
        <w:rPr>
          <w:rFonts w:cs="Arial"/>
          <w:sz w:val="26"/>
          <w:szCs w:val="26"/>
        </w:rPr>
        <w:t xml:space="preserve">también </w:t>
      </w:r>
      <w:r w:rsidR="0085363F" w:rsidRPr="002830AE">
        <w:rPr>
          <w:rFonts w:cs="Arial"/>
          <w:sz w:val="26"/>
          <w:szCs w:val="26"/>
        </w:rPr>
        <w:t xml:space="preserve">es factible </w:t>
      </w:r>
      <w:r w:rsidR="00D423A8" w:rsidRPr="002830AE">
        <w:rPr>
          <w:rFonts w:cs="Arial"/>
          <w:sz w:val="26"/>
          <w:szCs w:val="26"/>
        </w:rPr>
        <w:t xml:space="preserve">(aunque no necesario) </w:t>
      </w:r>
      <w:r w:rsidRPr="002830AE">
        <w:rPr>
          <w:rFonts w:cs="Arial"/>
          <w:sz w:val="26"/>
          <w:szCs w:val="26"/>
        </w:rPr>
        <w:t>considerar un aspecto punitivo en la indemnización que</w:t>
      </w:r>
      <w:r w:rsidR="005636D1" w:rsidRPr="002830AE">
        <w:rPr>
          <w:rFonts w:cs="Arial"/>
          <w:sz w:val="26"/>
          <w:szCs w:val="26"/>
        </w:rPr>
        <w:t xml:space="preserve"> se decrete</w:t>
      </w:r>
      <w:r w:rsidRPr="002830AE">
        <w:rPr>
          <w:rFonts w:cs="Arial"/>
          <w:sz w:val="26"/>
          <w:szCs w:val="26"/>
        </w:rPr>
        <w:t xml:space="preserve">. </w:t>
      </w:r>
      <w:r w:rsidR="008D3469" w:rsidRPr="002830AE">
        <w:rPr>
          <w:rFonts w:cs="Arial"/>
          <w:sz w:val="26"/>
          <w:szCs w:val="26"/>
        </w:rPr>
        <w:t>C</w:t>
      </w:r>
      <w:r w:rsidR="003A462A" w:rsidRPr="002830AE">
        <w:rPr>
          <w:rFonts w:cs="Arial"/>
          <w:sz w:val="26"/>
          <w:szCs w:val="26"/>
        </w:rPr>
        <w:t>omo sostuvimos en</w:t>
      </w:r>
      <w:r w:rsidR="00D75FD5" w:rsidRPr="002830AE">
        <w:rPr>
          <w:rFonts w:cs="Arial"/>
          <w:sz w:val="26"/>
          <w:szCs w:val="26"/>
        </w:rPr>
        <w:t xml:space="preserve"> el estudio del daño</w:t>
      </w:r>
      <w:r w:rsidR="00C64AB1" w:rsidRPr="002830AE">
        <w:rPr>
          <w:rFonts w:cs="Arial"/>
          <w:sz w:val="26"/>
          <w:szCs w:val="26"/>
        </w:rPr>
        <w:t xml:space="preserve"> moral</w:t>
      </w:r>
      <w:r w:rsidR="008D3469" w:rsidRPr="002830AE">
        <w:rPr>
          <w:rFonts w:cs="Arial"/>
          <w:sz w:val="26"/>
          <w:szCs w:val="26"/>
        </w:rPr>
        <w:t xml:space="preserve">, </w:t>
      </w:r>
      <w:r w:rsidR="00C64AB1" w:rsidRPr="002830AE">
        <w:rPr>
          <w:rFonts w:cs="Arial"/>
          <w:sz w:val="26"/>
          <w:szCs w:val="26"/>
        </w:rPr>
        <w:t xml:space="preserve">al estudiar </w:t>
      </w:r>
      <w:r w:rsidR="00515C53" w:rsidRPr="002830AE">
        <w:rPr>
          <w:rFonts w:cs="Arial"/>
          <w:sz w:val="26"/>
          <w:szCs w:val="26"/>
        </w:rPr>
        <w:t xml:space="preserve">qué es lo que está mal de la discriminación, </w:t>
      </w:r>
      <w:r w:rsidR="00C64AB1" w:rsidRPr="002830AE">
        <w:rPr>
          <w:rFonts w:cs="Arial"/>
          <w:sz w:val="26"/>
          <w:szCs w:val="26"/>
        </w:rPr>
        <w:t xml:space="preserve">se ha argumentado </w:t>
      </w:r>
      <w:r w:rsidR="00515C53" w:rsidRPr="002830AE">
        <w:rPr>
          <w:rFonts w:cs="Arial"/>
          <w:sz w:val="26"/>
          <w:szCs w:val="26"/>
        </w:rPr>
        <w:t xml:space="preserve">que la discriminación no solo tiene efectos negativos a nivel </w:t>
      </w:r>
      <w:r w:rsidR="00515C53" w:rsidRPr="00BE4063">
        <w:rPr>
          <w:rFonts w:cs="Arial"/>
          <w:sz w:val="26"/>
          <w:szCs w:val="26"/>
        </w:rPr>
        <w:t>individual</w:t>
      </w:r>
      <w:r w:rsidR="00515C53" w:rsidRPr="002830AE">
        <w:rPr>
          <w:rFonts w:cs="Arial"/>
          <w:sz w:val="26"/>
          <w:szCs w:val="26"/>
        </w:rPr>
        <w:t>, sino también sistémico.</w:t>
      </w:r>
      <w:r w:rsidR="00927986" w:rsidRPr="002830AE">
        <w:rPr>
          <w:rFonts w:cs="Arial"/>
          <w:sz w:val="26"/>
          <w:szCs w:val="26"/>
        </w:rPr>
        <w:t xml:space="preserve"> </w:t>
      </w:r>
      <w:r w:rsidR="00BE4063" w:rsidRPr="002830AE">
        <w:rPr>
          <w:rFonts w:cs="Arial"/>
          <w:sz w:val="26"/>
          <w:szCs w:val="26"/>
        </w:rPr>
        <w:t>Mientras que, a</w:t>
      </w:r>
      <w:r w:rsidR="00515C53" w:rsidRPr="002830AE">
        <w:rPr>
          <w:rFonts w:cs="Arial"/>
          <w:sz w:val="26"/>
          <w:szCs w:val="26"/>
        </w:rPr>
        <w:t xml:space="preserve"> nivel particular, se considera que la discriminación impone sufrimiento a las víctimas </w:t>
      </w:r>
      <w:r w:rsidR="000312A0" w:rsidRPr="002830AE">
        <w:rPr>
          <w:rFonts w:cs="Arial"/>
          <w:sz w:val="26"/>
          <w:szCs w:val="26"/>
        </w:rPr>
        <w:t>concretas</w:t>
      </w:r>
      <w:r w:rsidR="00BE4063" w:rsidRPr="002830AE">
        <w:rPr>
          <w:rFonts w:cs="Arial"/>
          <w:sz w:val="26"/>
          <w:szCs w:val="26"/>
        </w:rPr>
        <w:t>, a nivel sistémico, los actos discriminatorios generalizados agravan la desventaja de los grupos afectados, incrementando su marginación</w:t>
      </w:r>
      <w:r w:rsidR="00AB3EBE" w:rsidRPr="002830AE">
        <w:rPr>
          <w:sz w:val="26"/>
          <w:szCs w:val="26"/>
          <w:vertAlign w:val="superscript"/>
        </w:rPr>
        <w:footnoteReference w:id="147"/>
      </w:r>
      <w:r w:rsidR="00D2776C">
        <w:rPr>
          <w:rFonts w:cs="Arial"/>
          <w:sz w:val="26"/>
          <w:szCs w:val="26"/>
        </w:rPr>
        <w:t>.</w:t>
      </w:r>
    </w:p>
    <w:p w14:paraId="74609C80" w14:textId="77777777" w:rsidR="004E7F6D" w:rsidRPr="002830AE" w:rsidRDefault="004E7F6D" w:rsidP="00263912">
      <w:pPr>
        <w:pStyle w:val="corte4fondo"/>
        <w:ind w:right="51" w:hanging="567"/>
        <w:rPr>
          <w:rFonts w:cs="Arial"/>
          <w:sz w:val="26"/>
          <w:szCs w:val="26"/>
        </w:rPr>
      </w:pPr>
    </w:p>
    <w:p w14:paraId="788172EC" w14:textId="7B6EB1E9" w:rsidR="003A662F" w:rsidRPr="002830AE" w:rsidRDefault="004E7F6D" w:rsidP="00263912">
      <w:pPr>
        <w:pStyle w:val="corte4fondo"/>
        <w:numPr>
          <w:ilvl w:val="0"/>
          <w:numId w:val="2"/>
        </w:numPr>
        <w:ind w:left="0" w:right="51" w:hanging="567"/>
        <w:rPr>
          <w:rFonts w:cs="Arial"/>
          <w:sz w:val="26"/>
          <w:szCs w:val="26"/>
        </w:rPr>
      </w:pPr>
      <w:r w:rsidRPr="00802C1F">
        <w:rPr>
          <w:rFonts w:cs="Arial"/>
          <w:sz w:val="26"/>
          <w:szCs w:val="26"/>
        </w:rPr>
        <w:t xml:space="preserve">En este </w:t>
      </w:r>
      <w:r w:rsidR="002F6EF0" w:rsidRPr="005D3EFD">
        <w:rPr>
          <w:rFonts w:cs="Arial"/>
          <w:sz w:val="26"/>
          <w:szCs w:val="26"/>
        </w:rPr>
        <w:t xml:space="preserve">tipo de </w:t>
      </w:r>
      <w:r w:rsidRPr="00802C1F">
        <w:rPr>
          <w:rFonts w:cs="Arial"/>
          <w:sz w:val="26"/>
          <w:szCs w:val="26"/>
        </w:rPr>
        <w:t>casos</w:t>
      </w:r>
      <w:r w:rsidR="002F6EF0" w:rsidRPr="005D3EFD">
        <w:rPr>
          <w:rFonts w:cs="Arial"/>
          <w:sz w:val="26"/>
          <w:szCs w:val="26"/>
        </w:rPr>
        <w:t>,</w:t>
      </w:r>
      <w:r w:rsidRPr="005D3EFD">
        <w:rPr>
          <w:rFonts w:cs="Arial"/>
          <w:sz w:val="26"/>
          <w:szCs w:val="26"/>
        </w:rPr>
        <w:t xml:space="preserve"> </w:t>
      </w:r>
      <w:r w:rsidR="002F6EF0" w:rsidRPr="005D3EFD">
        <w:rPr>
          <w:rFonts w:cs="Arial"/>
          <w:sz w:val="26"/>
          <w:szCs w:val="26"/>
        </w:rPr>
        <w:t>debido al</w:t>
      </w:r>
      <w:r w:rsidRPr="00802C1F">
        <w:rPr>
          <w:rFonts w:cs="Arial"/>
          <w:sz w:val="26"/>
          <w:szCs w:val="26"/>
        </w:rPr>
        <w:t xml:space="preserve"> contexto y </w:t>
      </w:r>
      <w:r w:rsidR="00423BCC" w:rsidRPr="00802C1F">
        <w:rPr>
          <w:rFonts w:cs="Arial"/>
          <w:sz w:val="26"/>
          <w:szCs w:val="26"/>
        </w:rPr>
        <w:t>tipo de daño,</w:t>
      </w:r>
      <w:r w:rsidR="00167E8D" w:rsidRPr="00802C1F">
        <w:rPr>
          <w:rFonts w:cs="Arial"/>
          <w:sz w:val="26"/>
          <w:szCs w:val="26"/>
        </w:rPr>
        <w:t xml:space="preserve"> debe tomarse en cuenta el signi</w:t>
      </w:r>
      <w:r w:rsidR="0071537A" w:rsidRPr="00802C1F">
        <w:rPr>
          <w:rFonts w:cs="Arial"/>
          <w:sz w:val="26"/>
          <w:szCs w:val="26"/>
        </w:rPr>
        <w:t xml:space="preserve">ficado que </w:t>
      </w:r>
      <w:r w:rsidR="003329F3" w:rsidRPr="00802C1F">
        <w:rPr>
          <w:rFonts w:cs="Arial"/>
          <w:sz w:val="26"/>
          <w:szCs w:val="26"/>
        </w:rPr>
        <w:t>el comportamiento dañoso tiene para las partes involucradas</w:t>
      </w:r>
      <w:r w:rsidR="00672143" w:rsidRPr="00802C1F">
        <w:rPr>
          <w:rFonts w:cs="Arial"/>
          <w:sz w:val="26"/>
          <w:szCs w:val="26"/>
        </w:rPr>
        <w:t xml:space="preserve">. Como mencionamos, el </w:t>
      </w:r>
      <w:r w:rsidR="00672143" w:rsidRPr="005D3EFD">
        <w:rPr>
          <w:rFonts w:cs="Arial"/>
          <w:sz w:val="26"/>
          <w:szCs w:val="26"/>
        </w:rPr>
        <w:t>pr</w:t>
      </w:r>
      <w:r w:rsidR="005A4B3C" w:rsidRPr="005D3EFD">
        <w:rPr>
          <w:rFonts w:cs="Arial"/>
          <w:sz w:val="26"/>
          <w:szCs w:val="26"/>
        </w:rPr>
        <w:t>incipal error</w:t>
      </w:r>
      <w:r w:rsidR="008C3E7E" w:rsidRPr="00802C1F">
        <w:rPr>
          <w:rFonts w:cs="Arial"/>
          <w:sz w:val="26"/>
          <w:szCs w:val="26"/>
        </w:rPr>
        <w:t xml:space="preserve"> de la sala responsable </w:t>
      </w:r>
      <w:r w:rsidR="00EE77C4" w:rsidRPr="00802C1F">
        <w:rPr>
          <w:rFonts w:cs="Arial"/>
          <w:sz w:val="26"/>
          <w:szCs w:val="26"/>
        </w:rPr>
        <w:t xml:space="preserve">fue su incapacidad para </w:t>
      </w:r>
      <w:r w:rsidR="00473B21" w:rsidRPr="005D3EFD">
        <w:rPr>
          <w:rFonts w:cs="Arial"/>
          <w:sz w:val="26"/>
          <w:szCs w:val="26"/>
        </w:rPr>
        <w:t>comprender y valorar</w:t>
      </w:r>
      <w:r w:rsidR="004D0CF9" w:rsidRPr="00802C1F">
        <w:rPr>
          <w:rFonts w:cs="Arial"/>
          <w:sz w:val="26"/>
          <w:szCs w:val="26"/>
        </w:rPr>
        <w:t xml:space="preserve"> la perspectiva de las víctimas </w:t>
      </w:r>
      <w:r w:rsidR="00051AE5" w:rsidRPr="005D3EFD">
        <w:rPr>
          <w:rFonts w:cs="Arial"/>
          <w:sz w:val="26"/>
          <w:szCs w:val="26"/>
        </w:rPr>
        <w:t xml:space="preserve">dentro </w:t>
      </w:r>
      <w:r w:rsidR="006D7D1A" w:rsidRPr="005D3EFD">
        <w:rPr>
          <w:rFonts w:cs="Arial"/>
          <w:sz w:val="26"/>
          <w:szCs w:val="26"/>
        </w:rPr>
        <w:t>d</w:t>
      </w:r>
      <w:r w:rsidR="004D0CF9" w:rsidRPr="005D3EFD">
        <w:rPr>
          <w:rFonts w:cs="Arial"/>
          <w:sz w:val="26"/>
          <w:szCs w:val="26"/>
        </w:rPr>
        <w:t xml:space="preserve">el </w:t>
      </w:r>
      <w:r w:rsidR="004D0CF9" w:rsidRPr="00802C1F">
        <w:rPr>
          <w:rFonts w:cs="Arial"/>
          <w:sz w:val="26"/>
          <w:szCs w:val="26"/>
        </w:rPr>
        <w:t xml:space="preserve">contexto social, </w:t>
      </w:r>
      <w:r w:rsidR="007939D1" w:rsidRPr="005D3EFD">
        <w:rPr>
          <w:rFonts w:cs="Arial"/>
          <w:sz w:val="26"/>
          <w:szCs w:val="26"/>
        </w:rPr>
        <w:t>ya que</w:t>
      </w:r>
      <w:r w:rsidR="004D0CF9" w:rsidRPr="00802C1F">
        <w:rPr>
          <w:rFonts w:cs="Arial"/>
          <w:sz w:val="26"/>
          <w:szCs w:val="26"/>
        </w:rPr>
        <w:t xml:space="preserve"> las acciones no </w:t>
      </w:r>
      <w:r w:rsidR="00C12106" w:rsidRPr="005D3EFD">
        <w:rPr>
          <w:rFonts w:cs="Arial"/>
          <w:sz w:val="26"/>
          <w:szCs w:val="26"/>
        </w:rPr>
        <w:t>ocurrieron</w:t>
      </w:r>
      <w:r w:rsidR="004D0CF9" w:rsidRPr="00802C1F">
        <w:rPr>
          <w:rFonts w:cs="Arial"/>
          <w:sz w:val="26"/>
          <w:szCs w:val="26"/>
        </w:rPr>
        <w:t xml:space="preserve"> en un vacío. </w:t>
      </w:r>
      <w:r w:rsidR="003A662F">
        <w:rPr>
          <w:rFonts w:cs="Arial"/>
          <w:sz w:val="26"/>
          <w:szCs w:val="26"/>
        </w:rPr>
        <w:t>En ese sentido, l</w:t>
      </w:r>
      <w:r w:rsidR="004D0CF9" w:rsidRPr="005D3EFD">
        <w:rPr>
          <w:rFonts w:cs="Arial"/>
          <w:sz w:val="26"/>
          <w:szCs w:val="26"/>
        </w:rPr>
        <w:t>os daños punitivos</w:t>
      </w:r>
      <w:r w:rsidR="00681DC1" w:rsidRPr="005D3EFD">
        <w:rPr>
          <w:rFonts w:cs="Arial"/>
          <w:sz w:val="26"/>
          <w:szCs w:val="26"/>
        </w:rPr>
        <w:t xml:space="preserve"> permiten capturar el significado del evento daños</w:t>
      </w:r>
      <w:r w:rsidR="003A662F">
        <w:rPr>
          <w:rFonts w:cs="Arial"/>
          <w:sz w:val="26"/>
          <w:szCs w:val="26"/>
        </w:rPr>
        <w:t>o</w:t>
      </w:r>
      <w:r w:rsidR="00681DC1" w:rsidRPr="005D3EFD">
        <w:rPr>
          <w:rFonts w:cs="Arial"/>
          <w:sz w:val="26"/>
          <w:szCs w:val="26"/>
        </w:rPr>
        <w:t xml:space="preserve"> para las vidas de las quejosas</w:t>
      </w:r>
      <w:r w:rsidR="00D04976" w:rsidRPr="005D3EFD">
        <w:rPr>
          <w:rFonts w:cs="Arial"/>
          <w:sz w:val="26"/>
          <w:szCs w:val="26"/>
        </w:rPr>
        <w:t>, funcionando</w:t>
      </w:r>
      <w:r w:rsidR="00F2447B" w:rsidRPr="005D3EFD">
        <w:rPr>
          <w:rFonts w:cs="Arial"/>
          <w:sz w:val="26"/>
          <w:szCs w:val="26"/>
        </w:rPr>
        <w:t xml:space="preserve"> como un mecanismo de </w:t>
      </w:r>
      <w:r w:rsidR="00541BF2">
        <w:rPr>
          <w:rFonts w:cs="Arial"/>
          <w:sz w:val="26"/>
          <w:szCs w:val="26"/>
        </w:rPr>
        <w:t>comunicación</w:t>
      </w:r>
      <w:r w:rsidR="00541BF2" w:rsidRPr="005D3EFD">
        <w:rPr>
          <w:rFonts w:cs="Arial"/>
          <w:sz w:val="26"/>
          <w:szCs w:val="26"/>
        </w:rPr>
        <w:t xml:space="preserve"> </w:t>
      </w:r>
      <w:r w:rsidR="00F2447B" w:rsidRPr="005D3EFD">
        <w:rPr>
          <w:rFonts w:cs="Arial"/>
          <w:sz w:val="26"/>
          <w:szCs w:val="26"/>
        </w:rPr>
        <w:t>entr</w:t>
      </w:r>
      <w:r w:rsidR="007C0B52">
        <w:rPr>
          <w:rFonts w:cs="Arial"/>
          <w:sz w:val="26"/>
          <w:szCs w:val="26"/>
        </w:rPr>
        <w:t>e</w:t>
      </w:r>
      <w:r w:rsidR="00F2447B" w:rsidRPr="005D3EFD">
        <w:rPr>
          <w:rFonts w:cs="Arial"/>
          <w:sz w:val="26"/>
          <w:szCs w:val="26"/>
        </w:rPr>
        <w:t xml:space="preserve"> la víctima, el actor de la discriminación y la soc</w:t>
      </w:r>
      <w:r w:rsidR="00F2447B" w:rsidRPr="00A42E8F">
        <w:rPr>
          <w:rFonts w:cs="Arial"/>
          <w:sz w:val="26"/>
          <w:szCs w:val="26"/>
        </w:rPr>
        <w:t xml:space="preserve">iedad </w:t>
      </w:r>
      <w:r w:rsidR="00AD4CAA" w:rsidRPr="00A42E8F">
        <w:rPr>
          <w:rFonts w:cs="Arial"/>
          <w:sz w:val="26"/>
          <w:szCs w:val="26"/>
        </w:rPr>
        <w:t>en su conjunto</w:t>
      </w:r>
      <w:r w:rsidR="0059656F" w:rsidRPr="002830AE">
        <w:rPr>
          <w:sz w:val="26"/>
          <w:szCs w:val="26"/>
          <w:vertAlign w:val="superscript"/>
        </w:rPr>
        <w:footnoteReference w:id="148"/>
      </w:r>
      <w:r w:rsidR="00A42E8F" w:rsidRPr="00A42E8F">
        <w:rPr>
          <w:rFonts w:cs="Arial"/>
          <w:sz w:val="26"/>
          <w:szCs w:val="26"/>
        </w:rPr>
        <w:t>.</w:t>
      </w:r>
      <w:r w:rsidR="00F2447B" w:rsidRPr="002830AE">
        <w:rPr>
          <w:rFonts w:cs="Arial"/>
          <w:sz w:val="26"/>
          <w:szCs w:val="26"/>
          <w:vertAlign w:val="superscript"/>
        </w:rPr>
        <w:t xml:space="preserve"> </w:t>
      </w:r>
      <w:r w:rsidR="00AD4CAA" w:rsidRPr="00A42E8F">
        <w:rPr>
          <w:rFonts w:cs="Arial"/>
          <w:sz w:val="26"/>
          <w:szCs w:val="26"/>
        </w:rPr>
        <w:t>De este modo</w:t>
      </w:r>
      <w:r w:rsidR="00F2447B" w:rsidRPr="00A42E8F">
        <w:rPr>
          <w:rFonts w:cs="Arial"/>
          <w:sz w:val="26"/>
          <w:szCs w:val="26"/>
        </w:rPr>
        <w:t xml:space="preserve">, </w:t>
      </w:r>
      <w:r w:rsidR="00ED2E0D" w:rsidRPr="00A42E8F">
        <w:rPr>
          <w:rFonts w:cs="Arial"/>
          <w:sz w:val="26"/>
          <w:szCs w:val="26"/>
        </w:rPr>
        <w:t xml:space="preserve">la sanción punitiva otorga voz a la víctima y le permite expresar el significado moral del comportamiento </w:t>
      </w:r>
      <w:r w:rsidR="004F5759" w:rsidRPr="00A42E8F">
        <w:rPr>
          <w:rFonts w:cs="Arial"/>
          <w:sz w:val="26"/>
          <w:szCs w:val="26"/>
        </w:rPr>
        <w:t>que le caus</w:t>
      </w:r>
      <w:r w:rsidR="004F5759" w:rsidRPr="005D3EFD">
        <w:rPr>
          <w:rFonts w:cs="Arial"/>
          <w:sz w:val="26"/>
          <w:szCs w:val="26"/>
        </w:rPr>
        <w:t>ó daño</w:t>
      </w:r>
      <w:r w:rsidR="00ED2E0D" w:rsidRPr="00802C1F">
        <w:rPr>
          <w:rFonts w:cs="Arial"/>
          <w:sz w:val="26"/>
          <w:szCs w:val="26"/>
        </w:rPr>
        <w:t>.</w:t>
      </w:r>
    </w:p>
    <w:p w14:paraId="45CF1383" w14:textId="77777777" w:rsidR="003A662F" w:rsidRPr="002830AE" w:rsidRDefault="003A662F" w:rsidP="00263912">
      <w:pPr>
        <w:pStyle w:val="corte4fondo"/>
        <w:ind w:right="51" w:hanging="567"/>
        <w:rPr>
          <w:rFonts w:cs="Arial"/>
          <w:sz w:val="26"/>
          <w:szCs w:val="26"/>
        </w:rPr>
      </w:pPr>
    </w:p>
    <w:p w14:paraId="297C4B16" w14:textId="644B4D7A" w:rsidR="009A33DF" w:rsidRPr="002830AE" w:rsidRDefault="007772D0" w:rsidP="00263912">
      <w:pPr>
        <w:pStyle w:val="corte4fondo"/>
        <w:numPr>
          <w:ilvl w:val="0"/>
          <w:numId w:val="2"/>
        </w:numPr>
        <w:ind w:left="0" w:right="51" w:hanging="567"/>
        <w:rPr>
          <w:rFonts w:cs="Arial"/>
          <w:sz w:val="26"/>
          <w:szCs w:val="26"/>
        </w:rPr>
      </w:pPr>
      <w:r w:rsidRPr="00802C1F">
        <w:rPr>
          <w:rFonts w:cs="Arial"/>
          <w:sz w:val="26"/>
          <w:szCs w:val="26"/>
        </w:rPr>
        <w:t xml:space="preserve">En ese sentido, </w:t>
      </w:r>
      <w:r w:rsidR="004D1051" w:rsidRPr="00802C1F">
        <w:rPr>
          <w:rFonts w:cs="Arial"/>
          <w:sz w:val="26"/>
          <w:szCs w:val="26"/>
        </w:rPr>
        <w:t>la procedencia d</w:t>
      </w:r>
      <w:r w:rsidRPr="00802C1F">
        <w:rPr>
          <w:rFonts w:cs="Arial"/>
          <w:sz w:val="26"/>
          <w:szCs w:val="26"/>
        </w:rPr>
        <w:t>e</w:t>
      </w:r>
      <w:r w:rsidR="00AD38F4" w:rsidRPr="00802C1F">
        <w:rPr>
          <w:rFonts w:cs="Arial"/>
          <w:sz w:val="26"/>
          <w:szCs w:val="26"/>
        </w:rPr>
        <w:t xml:space="preserve"> un </w:t>
      </w:r>
      <w:r w:rsidRPr="00802C1F">
        <w:rPr>
          <w:rFonts w:cs="Arial"/>
          <w:sz w:val="26"/>
          <w:szCs w:val="26"/>
        </w:rPr>
        <w:t xml:space="preserve">aspecto punitivo de la indemnización </w:t>
      </w:r>
      <w:r w:rsidR="00D87B7A" w:rsidRPr="00802C1F">
        <w:rPr>
          <w:rFonts w:cs="Arial"/>
          <w:sz w:val="26"/>
          <w:szCs w:val="26"/>
        </w:rPr>
        <w:t>por actos discriminatorios</w:t>
      </w:r>
      <w:r w:rsidR="004D1051" w:rsidRPr="00802C1F">
        <w:rPr>
          <w:rFonts w:cs="Arial"/>
          <w:sz w:val="26"/>
          <w:szCs w:val="26"/>
        </w:rPr>
        <w:t xml:space="preserve"> </w:t>
      </w:r>
      <w:r w:rsidR="00746939" w:rsidRPr="00802C1F">
        <w:rPr>
          <w:rFonts w:cs="Arial"/>
          <w:sz w:val="26"/>
          <w:szCs w:val="26"/>
        </w:rPr>
        <w:t>parte</w:t>
      </w:r>
      <w:r w:rsidR="008D1299" w:rsidRPr="00802C1F">
        <w:rPr>
          <w:rFonts w:cs="Arial"/>
          <w:sz w:val="26"/>
          <w:szCs w:val="26"/>
        </w:rPr>
        <w:t xml:space="preserve">, en términos genéricos, </w:t>
      </w:r>
      <w:r w:rsidR="00746939" w:rsidRPr="00802C1F">
        <w:rPr>
          <w:rFonts w:cs="Arial"/>
          <w:sz w:val="26"/>
          <w:szCs w:val="26"/>
        </w:rPr>
        <w:t>de</w:t>
      </w:r>
      <w:r w:rsidR="004D1051" w:rsidRPr="00802C1F">
        <w:rPr>
          <w:rFonts w:cs="Arial"/>
          <w:sz w:val="26"/>
          <w:szCs w:val="26"/>
        </w:rPr>
        <w:t xml:space="preserve"> que los daños punitivos </w:t>
      </w:r>
      <w:r w:rsidR="004D1051" w:rsidRPr="002830AE">
        <w:rPr>
          <w:rFonts w:cs="Arial"/>
          <w:sz w:val="26"/>
          <w:szCs w:val="26"/>
        </w:rPr>
        <w:t xml:space="preserve">reconocen </w:t>
      </w:r>
      <w:r w:rsidR="00BA28CF" w:rsidRPr="002830AE">
        <w:rPr>
          <w:rFonts w:cs="Arial"/>
          <w:sz w:val="26"/>
          <w:szCs w:val="26"/>
        </w:rPr>
        <w:t xml:space="preserve">el significado del comportamiento para las víctimas </w:t>
      </w:r>
      <w:r w:rsidR="004D1051" w:rsidRPr="002830AE">
        <w:rPr>
          <w:rFonts w:cs="Arial"/>
          <w:sz w:val="26"/>
          <w:szCs w:val="26"/>
        </w:rPr>
        <w:t xml:space="preserve">y abordan el impacto colectivo que estas conductas generan, </w:t>
      </w:r>
      <w:r w:rsidR="00AD38F4" w:rsidRPr="002830AE">
        <w:rPr>
          <w:rFonts w:cs="Arial"/>
          <w:sz w:val="26"/>
          <w:szCs w:val="26"/>
        </w:rPr>
        <w:t>por lo que refuerzan</w:t>
      </w:r>
      <w:r w:rsidR="008D1299" w:rsidRPr="002830AE">
        <w:rPr>
          <w:rFonts w:cs="Arial"/>
          <w:sz w:val="26"/>
          <w:szCs w:val="26"/>
        </w:rPr>
        <w:t xml:space="preserve"> </w:t>
      </w:r>
      <w:r w:rsidR="008D1299" w:rsidRPr="00293E53">
        <w:rPr>
          <w:rFonts w:cs="Arial"/>
          <w:sz w:val="26"/>
          <w:szCs w:val="26"/>
        </w:rPr>
        <w:t>—</w:t>
      </w:r>
      <w:r w:rsidR="00AD38F4" w:rsidRPr="002830AE">
        <w:rPr>
          <w:rFonts w:cs="Arial"/>
          <w:sz w:val="26"/>
          <w:szCs w:val="26"/>
        </w:rPr>
        <w:t xml:space="preserve">mediante su aspecto sancionatorio y </w:t>
      </w:r>
      <w:r w:rsidR="002938E9" w:rsidRPr="002830AE">
        <w:rPr>
          <w:rFonts w:cs="Arial"/>
          <w:sz w:val="26"/>
          <w:szCs w:val="26"/>
        </w:rPr>
        <w:t>disuasivo</w:t>
      </w:r>
      <w:r w:rsidR="008D1299" w:rsidRPr="00293E53">
        <w:rPr>
          <w:rFonts w:cs="Arial"/>
          <w:sz w:val="26"/>
          <w:szCs w:val="26"/>
        </w:rPr>
        <w:t>—</w:t>
      </w:r>
      <w:r w:rsidR="008D1299">
        <w:rPr>
          <w:rFonts w:cs="Arial"/>
          <w:sz w:val="26"/>
          <w:szCs w:val="26"/>
        </w:rPr>
        <w:t xml:space="preserve"> </w:t>
      </w:r>
      <w:r w:rsidR="004D1051" w:rsidRPr="002830AE">
        <w:rPr>
          <w:rFonts w:cs="Arial"/>
          <w:sz w:val="26"/>
          <w:szCs w:val="26"/>
        </w:rPr>
        <w:t xml:space="preserve">el reproche social </w:t>
      </w:r>
      <w:r w:rsidR="00AD38F4" w:rsidRPr="002830AE">
        <w:rPr>
          <w:rFonts w:cs="Arial"/>
          <w:sz w:val="26"/>
          <w:szCs w:val="26"/>
        </w:rPr>
        <w:t>a la discriminación.</w:t>
      </w:r>
      <w:r w:rsidR="008D1299" w:rsidRPr="002830AE">
        <w:rPr>
          <w:rFonts w:cs="Arial"/>
          <w:sz w:val="26"/>
          <w:szCs w:val="26"/>
        </w:rPr>
        <w:t xml:space="preserve"> </w:t>
      </w:r>
      <w:r w:rsidR="00A0769A" w:rsidRPr="002830AE">
        <w:rPr>
          <w:rFonts w:cs="Arial"/>
          <w:sz w:val="26"/>
          <w:szCs w:val="26"/>
        </w:rPr>
        <w:t>A</w:t>
      </w:r>
      <w:r w:rsidR="003969F8" w:rsidRPr="002830AE">
        <w:rPr>
          <w:rFonts w:cs="Arial"/>
          <w:sz w:val="26"/>
          <w:szCs w:val="26"/>
        </w:rPr>
        <w:t xml:space="preserve">claramos que, si bien la vía civil permite a las víctimas de </w:t>
      </w:r>
      <w:r w:rsidR="003969F8" w:rsidRPr="003A662F">
        <w:rPr>
          <w:rFonts w:cs="Arial"/>
          <w:color w:val="000000" w:themeColor="text1"/>
          <w:sz w:val="26"/>
          <w:szCs w:val="26"/>
        </w:rPr>
        <w:t>discriminación</w:t>
      </w:r>
      <w:r w:rsidR="003969F8" w:rsidRPr="002830AE">
        <w:rPr>
          <w:rFonts w:cs="Arial"/>
          <w:sz w:val="26"/>
          <w:szCs w:val="26"/>
        </w:rPr>
        <w:t xml:space="preserve"> obtener indemnizaciones económicas para reparar el daño causado, incluyendo en ocasiones un componente punitivo, </w:t>
      </w:r>
      <w:r w:rsidR="003969F8" w:rsidRPr="002830AE">
        <w:rPr>
          <w:rFonts w:cs="Arial"/>
          <w:sz w:val="26"/>
          <w:szCs w:val="26"/>
        </w:rPr>
        <w:lastRenderedPageBreak/>
        <w:t>es importante reconocer que la discriminación es, en esencia, un problema social de carácter colectivo y estructural</w:t>
      </w:r>
      <w:r w:rsidR="00BC70A9" w:rsidRPr="002830AE">
        <w:rPr>
          <w:rFonts w:cs="Arial"/>
          <w:sz w:val="26"/>
          <w:szCs w:val="26"/>
        </w:rPr>
        <w:t>,</w:t>
      </w:r>
      <w:r w:rsidR="000D57F3" w:rsidRPr="002830AE">
        <w:rPr>
          <w:rFonts w:cs="Arial"/>
          <w:sz w:val="26"/>
          <w:szCs w:val="26"/>
        </w:rPr>
        <w:t xml:space="preserve"> </w:t>
      </w:r>
      <w:r w:rsidR="00BC70A9" w:rsidRPr="002830AE">
        <w:rPr>
          <w:rFonts w:cs="Arial"/>
          <w:sz w:val="26"/>
          <w:szCs w:val="26"/>
        </w:rPr>
        <w:t>que no puede ser</w:t>
      </w:r>
      <w:r w:rsidR="005B2522" w:rsidRPr="002830AE">
        <w:rPr>
          <w:rFonts w:cs="Arial"/>
          <w:sz w:val="26"/>
          <w:szCs w:val="26"/>
        </w:rPr>
        <w:t xml:space="preserve"> reducido </w:t>
      </w:r>
      <w:r w:rsidR="00816266" w:rsidRPr="002830AE">
        <w:rPr>
          <w:rFonts w:cs="Arial"/>
          <w:sz w:val="26"/>
          <w:szCs w:val="26"/>
        </w:rPr>
        <w:t xml:space="preserve">o plenamente abordado </w:t>
      </w:r>
      <w:r w:rsidR="008B5B68" w:rsidRPr="002830AE">
        <w:rPr>
          <w:rFonts w:cs="Arial"/>
          <w:sz w:val="26"/>
          <w:szCs w:val="26"/>
        </w:rPr>
        <w:t>por este mecanismo</w:t>
      </w:r>
      <w:r w:rsidR="003969F8" w:rsidRPr="002830AE">
        <w:rPr>
          <w:rFonts w:cs="Arial"/>
          <w:sz w:val="26"/>
          <w:szCs w:val="26"/>
        </w:rPr>
        <w:t>.</w:t>
      </w:r>
      <w:r w:rsidR="00AC6568" w:rsidRPr="002830AE">
        <w:rPr>
          <w:rFonts w:cs="Arial"/>
          <w:sz w:val="26"/>
          <w:szCs w:val="26"/>
        </w:rPr>
        <w:t xml:space="preserve"> </w:t>
      </w:r>
      <w:r w:rsidR="00B2493F" w:rsidRPr="002830AE">
        <w:rPr>
          <w:rFonts w:cs="Arial"/>
          <w:sz w:val="26"/>
          <w:szCs w:val="26"/>
        </w:rPr>
        <w:t>Así también</w:t>
      </w:r>
      <w:r w:rsidR="00A0769A" w:rsidRPr="002830AE">
        <w:rPr>
          <w:rFonts w:cs="Arial"/>
          <w:sz w:val="26"/>
          <w:szCs w:val="26"/>
        </w:rPr>
        <w:t>, la procedencia de la faceta punitiva en casos de discriminación dependerá de las particularidades del asunto concreto, a partir de los elementos establecidos por esta Primera Sala</w:t>
      </w:r>
      <w:r w:rsidR="00A0769A" w:rsidRPr="002830AE">
        <w:rPr>
          <w:sz w:val="26"/>
          <w:szCs w:val="26"/>
          <w:vertAlign w:val="superscript"/>
        </w:rPr>
        <w:footnoteReference w:id="149"/>
      </w:r>
      <w:r w:rsidR="00345558">
        <w:rPr>
          <w:rFonts w:cs="Arial"/>
          <w:sz w:val="26"/>
          <w:szCs w:val="26"/>
        </w:rPr>
        <w:t>.</w:t>
      </w:r>
    </w:p>
    <w:p w14:paraId="05FFD555" w14:textId="77777777" w:rsidR="00A0769A" w:rsidRPr="002830AE" w:rsidRDefault="00A0769A" w:rsidP="00263912">
      <w:pPr>
        <w:pStyle w:val="corte4fondo"/>
        <w:ind w:right="51" w:hanging="567"/>
        <w:rPr>
          <w:rFonts w:cs="Arial"/>
          <w:sz w:val="26"/>
          <w:szCs w:val="26"/>
        </w:rPr>
      </w:pPr>
    </w:p>
    <w:p w14:paraId="26527717" w14:textId="76726FD2" w:rsidR="00BD2C40" w:rsidRPr="004667E2" w:rsidRDefault="004667E2" w:rsidP="00263912">
      <w:pPr>
        <w:pStyle w:val="corte4fondo"/>
        <w:numPr>
          <w:ilvl w:val="0"/>
          <w:numId w:val="2"/>
        </w:numPr>
        <w:ind w:left="0" w:right="51" w:hanging="567"/>
        <w:rPr>
          <w:rFonts w:cs="Arial"/>
          <w:color w:val="000000" w:themeColor="text1"/>
          <w:sz w:val="26"/>
          <w:szCs w:val="26"/>
          <w:lang w:val="es-ES"/>
        </w:rPr>
      </w:pPr>
      <w:r w:rsidRPr="004667E2">
        <w:rPr>
          <w:rFonts w:cs="Arial"/>
          <w:color w:val="000000" w:themeColor="text1"/>
          <w:sz w:val="26"/>
          <w:szCs w:val="26"/>
        </w:rPr>
        <w:t>Clarificado lo anterior,</w:t>
      </w:r>
      <w:r w:rsidR="00304E7D" w:rsidRPr="004667E2">
        <w:rPr>
          <w:rFonts w:cs="Arial"/>
          <w:color w:val="000000" w:themeColor="text1"/>
          <w:sz w:val="26"/>
          <w:szCs w:val="26"/>
          <w:lang w:val="es-ES"/>
        </w:rPr>
        <w:t xml:space="preserve"> est</w:t>
      </w:r>
      <w:r w:rsidR="00F51DA9">
        <w:rPr>
          <w:rFonts w:cs="Arial"/>
          <w:color w:val="000000" w:themeColor="text1"/>
          <w:sz w:val="26"/>
          <w:szCs w:val="26"/>
          <w:lang w:val="es-ES"/>
        </w:rPr>
        <w:t xml:space="preserve">imamos </w:t>
      </w:r>
      <w:r w:rsidR="00304E7D" w:rsidRPr="004667E2">
        <w:rPr>
          <w:rFonts w:cs="Arial"/>
          <w:color w:val="000000" w:themeColor="text1"/>
          <w:sz w:val="26"/>
          <w:szCs w:val="26"/>
          <w:lang w:val="es-ES"/>
        </w:rPr>
        <w:t>que</w:t>
      </w:r>
      <w:r w:rsidR="00105B7B">
        <w:rPr>
          <w:rFonts w:cs="Arial"/>
          <w:color w:val="000000" w:themeColor="text1"/>
          <w:sz w:val="26"/>
          <w:szCs w:val="26"/>
          <w:lang w:val="es-ES"/>
        </w:rPr>
        <w:t>, en el</w:t>
      </w:r>
      <w:r w:rsidR="00CD501F">
        <w:rPr>
          <w:rFonts w:cs="Arial"/>
          <w:color w:val="000000" w:themeColor="text1"/>
          <w:sz w:val="26"/>
          <w:szCs w:val="26"/>
          <w:lang w:val="es-ES"/>
        </w:rPr>
        <w:t xml:space="preserve"> caso</w:t>
      </w:r>
      <w:r w:rsidR="00304E7D" w:rsidRPr="004667E2">
        <w:rPr>
          <w:rFonts w:cs="Arial"/>
          <w:color w:val="000000" w:themeColor="text1"/>
          <w:sz w:val="26"/>
          <w:szCs w:val="26"/>
          <w:lang w:val="es-ES"/>
        </w:rPr>
        <w:t xml:space="preserve">, </w:t>
      </w:r>
      <w:r w:rsidRPr="004667E2">
        <w:rPr>
          <w:rFonts w:cs="Arial"/>
          <w:color w:val="000000" w:themeColor="text1"/>
          <w:sz w:val="26"/>
          <w:szCs w:val="26"/>
          <w:lang w:val="es-ES"/>
        </w:rPr>
        <w:t>existen elementos suficientes para</w:t>
      </w:r>
      <w:r w:rsidR="00CD501F">
        <w:rPr>
          <w:rFonts w:cs="Arial"/>
          <w:color w:val="000000" w:themeColor="text1"/>
          <w:sz w:val="26"/>
          <w:szCs w:val="26"/>
          <w:lang w:val="es-ES"/>
        </w:rPr>
        <w:t xml:space="preserve"> concluir que</w:t>
      </w:r>
      <w:r w:rsidR="00304E7D" w:rsidRPr="004667E2">
        <w:rPr>
          <w:rFonts w:cs="Arial"/>
          <w:color w:val="000000" w:themeColor="text1"/>
          <w:sz w:val="26"/>
          <w:szCs w:val="26"/>
          <w:lang w:val="es-ES"/>
        </w:rPr>
        <w:t xml:space="preserve"> la sala deberá considerar </w:t>
      </w:r>
      <w:r w:rsidR="008416D8" w:rsidRPr="004667E2">
        <w:rPr>
          <w:rFonts w:cs="Arial"/>
          <w:color w:val="000000" w:themeColor="text1"/>
          <w:sz w:val="26"/>
          <w:szCs w:val="26"/>
          <w:lang w:val="es-ES"/>
        </w:rPr>
        <w:t>un</w:t>
      </w:r>
      <w:r w:rsidR="00304E7D" w:rsidRPr="004667E2">
        <w:rPr>
          <w:rFonts w:cs="Arial"/>
          <w:color w:val="000000" w:themeColor="text1"/>
          <w:sz w:val="26"/>
          <w:szCs w:val="26"/>
          <w:lang w:val="es-ES"/>
        </w:rPr>
        <w:t xml:space="preserve"> aspecto </w:t>
      </w:r>
      <w:r w:rsidR="00180B80" w:rsidRPr="004667E2">
        <w:rPr>
          <w:rFonts w:cs="Arial"/>
          <w:color w:val="000000" w:themeColor="text1"/>
          <w:sz w:val="26"/>
          <w:szCs w:val="26"/>
          <w:lang w:val="es-ES"/>
        </w:rPr>
        <w:t xml:space="preserve">punitivo </w:t>
      </w:r>
      <w:r w:rsidR="008416D8" w:rsidRPr="004667E2">
        <w:rPr>
          <w:rFonts w:cs="Arial"/>
          <w:color w:val="000000" w:themeColor="text1"/>
          <w:sz w:val="26"/>
          <w:szCs w:val="26"/>
          <w:lang w:val="es-ES"/>
        </w:rPr>
        <w:t>en</w:t>
      </w:r>
      <w:r w:rsidR="00180B80" w:rsidRPr="004667E2">
        <w:rPr>
          <w:rFonts w:cs="Arial"/>
          <w:color w:val="000000" w:themeColor="text1"/>
          <w:sz w:val="26"/>
          <w:szCs w:val="26"/>
          <w:lang w:val="es-ES"/>
        </w:rPr>
        <w:t xml:space="preserve"> la indemnización</w:t>
      </w:r>
      <w:r w:rsidR="008416D8" w:rsidRPr="004667E2">
        <w:rPr>
          <w:rFonts w:cs="Arial"/>
          <w:color w:val="000000" w:themeColor="text1"/>
          <w:sz w:val="26"/>
          <w:szCs w:val="26"/>
          <w:lang w:val="es-ES"/>
        </w:rPr>
        <w:t xml:space="preserve"> que decrete</w:t>
      </w:r>
      <w:r w:rsidR="00CD501F">
        <w:rPr>
          <w:rFonts w:cs="Arial"/>
          <w:color w:val="000000" w:themeColor="text1"/>
          <w:sz w:val="26"/>
          <w:szCs w:val="26"/>
          <w:lang w:val="es-ES"/>
        </w:rPr>
        <w:t xml:space="preserve"> a favor de las señoras </w:t>
      </w:r>
      <w:r w:rsidR="00105B7B" w:rsidRPr="008408EE">
        <w:rPr>
          <w:rFonts w:cs="Arial"/>
          <w:color w:val="FF0000"/>
          <w:sz w:val="26"/>
          <w:szCs w:val="26"/>
          <w:lang w:val="es-ES"/>
        </w:rPr>
        <w:t>DF</w:t>
      </w:r>
      <w:r w:rsidR="00105B7B" w:rsidRPr="008408EE" w:rsidDel="00885800">
        <w:rPr>
          <w:rFonts w:cs="Arial"/>
          <w:sz w:val="26"/>
          <w:szCs w:val="26"/>
          <w:lang w:val="es-ES"/>
        </w:rPr>
        <w:t xml:space="preserve"> </w:t>
      </w:r>
      <w:r w:rsidR="00105B7B" w:rsidRPr="008408EE">
        <w:rPr>
          <w:rFonts w:cs="Arial"/>
          <w:sz w:val="26"/>
          <w:szCs w:val="26"/>
          <w:lang w:val="es-ES"/>
        </w:rPr>
        <w:t xml:space="preserve">y </w:t>
      </w:r>
      <w:r w:rsidR="00105B7B" w:rsidRPr="008408EE">
        <w:rPr>
          <w:rFonts w:cs="Arial"/>
          <w:color w:val="FF0000"/>
          <w:sz w:val="26"/>
          <w:szCs w:val="26"/>
          <w:lang w:val="es-ES"/>
        </w:rPr>
        <w:t>GB</w:t>
      </w:r>
      <w:r w:rsidR="00180B80" w:rsidRPr="004667E2">
        <w:rPr>
          <w:rFonts w:cs="Arial"/>
          <w:color w:val="000000" w:themeColor="text1"/>
          <w:sz w:val="26"/>
          <w:szCs w:val="26"/>
          <w:lang w:val="es-ES"/>
        </w:rPr>
        <w:t>.</w:t>
      </w:r>
      <w:r w:rsidR="004F741C">
        <w:rPr>
          <w:rFonts w:cs="Arial"/>
          <w:color w:val="000000" w:themeColor="text1"/>
          <w:sz w:val="26"/>
          <w:szCs w:val="26"/>
          <w:lang w:val="es-ES"/>
        </w:rPr>
        <w:t xml:space="preserve"> C</w:t>
      </w:r>
      <w:r w:rsidR="00437CCA" w:rsidRPr="004667E2">
        <w:rPr>
          <w:rFonts w:cs="Arial"/>
          <w:color w:val="000000" w:themeColor="text1"/>
          <w:sz w:val="26"/>
          <w:szCs w:val="26"/>
          <w:lang w:val="es-ES"/>
        </w:rPr>
        <w:t>omo sostienen las actoras,</w:t>
      </w:r>
      <w:r w:rsidR="00180B80" w:rsidRPr="004667E2">
        <w:rPr>
          <w:rFonts w:cs="Arial"/>
          <w:color w:val="000000" w:themeColor="text1"/>
          <w:sz w:val="26"/>
          <w:szCs w:val="26"/>
          <w:lang w:val="es-ES"/>
        </w:rPr>
        <w:t xml:space="preserve"> los hechos discriminatorios acreditados tanto en los sanitarios de mujeres como en el módulo de quejas</w:t>
      </w:r>
      <w:r w:rsidR="001B586D" w:rsidRPr="004667E2">
        <w:rPr>
          <w:rFonts w:cs="Arial"/>
          <w:color w:val="000000" w:themeColor="text1"/>
          <w:sz w:val="26"/>
          <w:szCs w:val="26"/>
          <w:lang w:val="es-ES"/>
        </w:rPr>
        <w:t xml:space="preserve"> fueron hechos que</w:t>
      </w:r>
      <w:r w:rsidR="00180B80" w:rsidRPr="004667E2">
        <w:rPr>
          <w:rFonts w:cs="Arial"/>
          <w:color w:val="000000" w:themeColor="text1"/>
          <w:sz w:val="26"/>
          <w:szCs w:val="26"/>
          <w:lang w:val="es-ES"/>
        </w:rPr>
        <w:t xml:space="preserve"> no sólo </w:t>
      </w:r>
      <w:r w:rsidR="00B82B0A" w:rsidRPr="004667E2">
        <w:rPr>
          <w:rFonts w:cs="Arial"/>
          <w:color w:val="000000" w:themeColor="text1"/>
          <w:sz w:val="26"/>
          <w:szCs w:val="26"/>
          <w:lang w:val="es-ES"/>
        </w:rPr>
        <w:t>tuvieron un impacto en</w:t>
      </w:r>
      <w:r w:rsidR="00BD2C40" w:rsidRPr="004667E2">
        <w:rPr>
          <w:rFonts w:cs="Arial"/>
          <w:color w:val="000000" w:themeColor="text1"/>
          <w:sz w:val="26"/>
          <w:szCs w:val="26"/>
          <w:lang w:val="es-ES"/>
        </w:rPr>
        <w:t xml:space="preserve"> las víctimas</w:t>
      </w:r>
      <w:r w:rsidR="00B82B0A" w:rsidRPr="004667E2">
        <w:rPr>
          <w:rFonts w:cs="Arial"/>
          <w:color w:val="000000" w:themeColor="text1"/>
          <w:sz w:val="26"/>
          <w:szCs w:val="26"/>
          <w:lang w:val="es-ES"/>
        </w:rPr>
        <w:t xml:space="preserve"> y hoy quejosas</w:t>
      </w:r>
      <w:r w:rsidR="00BD2C40" w:rsidRPr="004667E2">
        <w:rPr>
          <w:rFonts w:cs="Arial"/>
          <w:color w:val="000000" w:themeColor="text1"/>
          <w:sz w:val="26"/>
          <w:szCs w:val="26"/>
          <w:lang w:val="es-ES"/>
        </w:rPr>
        <w:t>, sino que también perpetúa</w:t>
      </w:r>
      <w:r w:rsidR="000535B0" w:rsidRPr="004667E2">
        <w:rPr>
          <w:rFonts w:cs="Arial"/>
          <w:color w:val="000000" w:themeColor="text1"/>
          <w:sz w:val="26"/>
          <w:szCs w:val="26"/>
          <w:lang w:val="es-ES"/>
        </w:rPr>
        <w:t>n</w:t>
      </w:r>
      <w:r w:rsidR="00BD2C40" w:rsidRPr="004667E2">
        <w:rPr>
          <w:rFonts w:cs="Arial"/>
          <w:color w:val="000000" w:themeColor="text1"/>
          <w:sz w:val="26"/>
          <w:szCs w:val="26"/>
          <w:lang w:val="es-ES"/>
        </w:rPr>
        <w:t xml:space="preserve"> estereotipos y estigmas </w:t>
      </w:r>
      <w:r w:rsidR="00180B80" w:rsidRPr="004667E2">
        <w:rPr>
          <w:rFonts w:cs="Arial"/>
          <w:color w:val="000000" w:themeColor="text1"/>
          <w:sz w:val="26"/>
          <w:szCs w:val="26"/>
          <w:lang w:val="es-ES"/>
        </w:rPr>
        <w:t>en perjuicio de</w:t>
      </w:r>
      <w:r w:rsidR="00BD2C40" w:rsidRPr="004667E2">
        <w:rPr>
          <w:rFonts w:cs="Arial"/>
          <w:color w:val="000000" w:themeColor="text1"/>
          <w:sz w:val="26"/>
          <w:szCs w:val="26"/>
          <w:lang w:val="es-ES"/>
        </w:rPr>
        <w:t xml:space="preserve"> l</w:t>
      </w:r>
      <w:r w:rsidR="00180B80" w:rsidRPr="004667E2">
        <w:rPr>
          <w:rFonts w:cs="Arial"/>
          <w:color w:val="000000" w:themeColor="text1"/>
          <w:sz w:val="26"/>
          <w:szCs w:val="26"/>
          <w:lang w:val="es-ES"/>
        </w:rPr>
        <w:t xml:space="preserve">os miembros de la </w:t>
      </w:r>
      <w:r w:rsidR="006C422B">
        <w:rPr>
          <w:rFonts w:cs="Arial"/>
          <w:color w:val="000000" w:themeColor="text1"/>
          <w:sz w:val="26"/>
          <w:szCs w:val="26"/>
          <w:lang w:val="es-ES"/>
        </w:rPr>
        <w:t>población</w:t>
      </w:r>
      <w:r w:rsidR="00180B80" w:rsidRPr="004667E2">
        <w:rPr>
          <w:rFonts w:cs="Arial"/>
          <w:color w:val="000000" w:themeColor="text1"/>
          <w:sz w:val="26"/>
          <w:szCs w:val="26"/>
          <w:lang w:val="es-ES"/>
        </w:rPr>
        <w:t xml:space="preserve"> LGBT</w:t>
      </w:r>
      <w:r w:rsidR="000535B0" w:rsidRPr="004667E2">
        <w:rPr>
          <w:rFonts w:cs="Arial"/>
          <w:color w:val="000000" w:themeColor="text1"/>
          <w:sz w:val="26"/>
          <w:szCs w:val="26"/>
          <w:lang w:val="es-ES"/>
        </w:rPr>
        <w:t>I</w:t>
      </w:r>
      <w:r w:rsidR="00C703D1">
        <w:rPr>
          <w:rFonts w:cs="Arial"/>
          <w:color w:val="000000" w:themeColor="text1"/>
          <w:sz w:val="26"/>
          <w:szCs w:val="26"/>
          <w:lang w:val="es-ES"/>
        </w:rPr>
        <w:t>Q</w:t>
      </w:r>
      <w:r w:rsidR="00180B80" w:rsidRPr="004667E2">
        <w:rPr>
          <w:rFonts w:cs="Arial"/>
          <w:color w:val="000000" w:themeColor="text1"/>
          <w:sz w:val="26"/>
          <w:szCs w:val="26"/>
          <w:lang w:val="es-ES"/>
        </w:rPr>
        <w:t>+ y, sobre todo, de las personas trans</w:t>
      </w:r>
      <w:r w:rsidR="000535B0" w:rsidRPr="004667E2">
        <w:rPr>
          <w:rFonts w:cs="Arial"/>
          <w:color w:val="000000" w:themeColor="text1"/>
          <w:sz w:val="26"/>
          <w:szCs w:val="26"/>
          <w:lang w:val="es-ES"/>
        </w:rPr>
        <w:t xml:space="preserve"> en México</w:t>
      </w:r>
      <w:r w:rsidR="00B76A58" w:rsidRPr="004667E2">
        <w:rPr>
          <w:rFonts w:cs="Arial"/>
          <w:color w:val="000000" w:themeColor="text1"/>
          <w:sz w:val="26"/>
          <w:szCs w:val="26"/>
          <w:lang w:val="es-ES"/>
        </w:rPr>
        <w:t xml:space="preserve">; </w:t>
      </w:r>
      <w:r w:rsidR="000D5BCE" w:rsidRPr="004667E2">
        <w:rPr>
          <w:rFonts w:cs="Arial"/>
          <w:color w:val="000000" w:themeColor="text1"/>
          <w:sz w:val="26"/>
          <w:szCs w:val="26"/>
          <w:lang w:val="es-ES"/>
        </w:rPr>
        <w:t>cuestión que</w:t>
      </w:r>
      <w:r w:rsidR="00FA5BB1" w:rsidRPr="004667E2">
        <w:rPr>
          <w:rFonts w:cs="Arial"/>
          <w:color w:val="000000" w:themeColor="text1"/>
          <w:sz w:val="26"/>
          <w:szCs w:val="26"/>
          <w:lang w:val="es-ES"/>
        </w:rPr>
        <w:t>, en atención al mandato de erradicar la discriminación en el país,</w:t>
      </w:r>
      <w:r w:rsidR="000D5BCE" w:rsidRPr="004667E2">
        <w:rPr>
          <w:rFonts w:cs="Arial"/>
          <w:color w:val="000000" w:themeColor="text1"/>
          <w:sz w:val="26"/>
          <w:szCs w:val="26"/>
          <w:lang w:val="es-ES"/>
        </w:rPr>
        <w:t xml:space="preserve"> debe ser tanto sancionada como desincentivada</w:t>
      </w:r>
      <w:r w:rsidR="00180B80" w:rsidRPr="004667E2">
        <w:rPr>
          <w:rFonts w:cs="Arial"/>
          <w:color w:val="000000" w:themeColor="text1"/>
          <w:sz w:val="26"/>
          <w:szCs w:val="26"/>
          <w:lang w:val="es-ES"/>
        </w:rPr>
        <w:t>.</w:t>
      </w:r>
    </w:p>
    <w:p w14:paraId="223C36EC" w14:textId="77777777" w:rsidR="000D5BCE" w:rsidRDefault="000D5BCE" w:rsidP="00263912">
      <w:pPr>
        <w:pStyle w:val="corte4fondo"/>
        <w:ind w:right="51" w:hanging="567"/>
        <w:rPr>
          <w:rFonts w:cs="Arial"/>
          <w:color w:val="000000" w:themeColor="text1"/>
          <w:sz w:val="26"/>
          <w:szCs w:val="26"/>
          <w:highlight w:val="yellow"/>
          <w:lang w:val="es-ES"/>
        </w:rPr>
      </w:pPr>
    </w:p>
    <w:p w14:paraId="75381180" w14:textId="7259C3B1" w:rsidR="009705F5" w:rsidRPr="009828AE" w:rsidRDefault="001B16E7" w:rsidP="00263912">
      <w:pPr>
        <w:pStyle w:val="corte4fondo"/>
        <w:numPr>
          <w:ilvl w:val="0"/>
          <w:numId w:val="2"/>
        </w:numPr>
        <w:ind w:left="0" w:right="51" w:hanging="567"/>
        <w:rPr>
          <w:rFonts w:cs="Arial"/>
          <w:color w:val="000000" w:themeColor="text1"/>
          <w:sz w:val="26"/>
          <w:szCs w:val="26"/>
          <w:lang w:val="es-ES"/>
        </w:rPr>
      </w:pPr>
      <w:r w:rsidRPr="009828AE">
        <w:rPr>
          <w:rFonts w:cs="Arial"/>
          <w:color w:val="000000" w:themeColor="text1"/>
          <w:sz w:val="26"/>
          <w:szCs w:val="26"/>
          <w:lang w:val="es-ES"/>
        </w:rPr>
        <w:t>E</w:t>
      </w:r>
      <w:r w:rsidR="00437CCA" w:rsidRPr="009828AE">
        <w:rPr>
          <w:rFonts w:cs="Arial"/>
          <w:color w:val="000000" w:themeColor="text1"/>
          <w:sz w:val="26"/>
          <w:szCs w:val="26"/>
          <w:lang w:val="es-ES"/>
        </w:rPr>
        <w:t>n relación con e</w:t>
      </w:r>
      <w:r w:rsidR="009F4343" w:rsidRPr="009828AE">
        <w:rPr>
          <w:rFonts w:cs="Arial"/>
          <w:color w:val="000000" w:themeColor="text1"/>
          <w:sz w:val="26"/>
          <w:szCs w:val="26"/>
          <w:lang w:val="es-ES"/>
        </w:rPr>
        <w:t xml:space="preserve">l grado de responsabilidad en el caso, </w:t>
      </w:r>
      <w:r w:rsidR="000D5BCE" w:rsidRPr="009828AE">
        <w:rPr>
          <w:rFonts w:cs="Arial"/>
          <w:color w:val="000000" w:themeColor="text1"/>
          <w:sz w:val="26"/>
          <w:szCs w:val="26"/>
          <w:lang w:val="es-ES"/>
        </w:rPr>
        <w:t xml:space="preserve">reiteramos que las </w:t>
      </w:r>
      <w:r w:rsidR="00BD2C40" w:rsidRPr="009828AE">
        <w:rPr>
          <w:rFonts w:cs="Arial"/>
          <w:color w:val="000000" w:themeColor="text1"/>
          <w:sz w:val="26"/>
          <w:szCs w:val="26"/>
          <w:lang w:val="es-ES"/>
        </w:rPr>
        <w:t xml:space="preserve">acciones </w:t>
      </w:r>
      <w:r w:rsidRPr="009828AE">
        <w:rPr>
          <w:rFonts w:cs="Arial"/>
          <w:color w:val="000000" w:themeColor="text1"/>
          <w:sz w:val="26"/>
          <w:szCs w:val="26"/>
          <w:lang w:val="es-ES"/>
        </w:rPr>
        <w:t>acreditadas perpetuadas por</w:t>
      </w:r>
      <w:r w:rsidR="00BD2C40" w:rsidRPr="009828AE">
        <w:rPr>
          <w:rFonts w:cs="Arial"/>
          <w:color w:val="000000" w:themeColor="text1"/>
          <w:sz w:val="26"/>
          <w:szCs w:val="26"/>
          <w:lang w:val="es-ES"/>
        </w:rPr>
        <w:t xml:space="preserve"> los agentes de seguridad</w:t>
      </w:r>
      <w:r w:rsidR="000D5BCE" w:rsidRPr="009828AE">
        <w:rPr>
          <w:rFonts w:cs="Arial"/>
          <w:color w:val="000000" w:themeColor="text1"/>
          <w:sz w:val="26"/>
          <w:szCs w:val="26"/>
          <w:lang w:val="es-ES"/>
        </w:rPr>
        <w:t xml:space="preserve"> y personal d</w:t>
      </w:r>
      <w:r w:rsidR="008E11C3" w:rsidRPr="009828AE">
        <w:rPr>
          <w:rFonts w:cs="Arial"/>
          <w:color w:val="000000" w:themeColor="text1"/>
          <w:sz w:val="26"/>
          <w:szCs w:val="26"/>
          <w:lang w:val="es-ES"/>
        </w:rPr>
        <w:t>e atención</w:t>
      </w:r>
      <w:r w:rsidR="00BD2C40" w:rsidRPr="009828AE">
        <w:rPr>
          <w:rFonts w:cs="Arial"/>
          <w:color w:val="000000" w:themeColor="text1"/>
          <w:sz w:val="26"/>
          <w:szCs w:val="26"/>
          <w:lang w:val="es-ES"/>
        </w:rPr>
        <w:t xml:space="preserve"> del centro </w:t>
      </w:r>
      <w:r w:rsidR="00BD2C40" w:rsidRPr="00A36289">
        <w:rPr>
          <w:rFonts w:cs="Arial"/>
          <w:sz w:val="26"/>
          <w:szCs w:val="26"/>
          <w:lang w:val="es-ES"/>
        </w:rPr>
        <w:t xml:space="preserve">comercial </w:t>
      </w:r>
      <w:r w:rsidR="000D5BCE" w:rsidRPr="00A36289">
        <w:rPr>
          <w:rFonts w:cs="Arial"/>
          <w:sz w:val="26"/>
          <w:szCs w:val="26"/>
          <w:lang w:val="es-ES"/>
        </w:rPr>
        <w:t xml:space="preserve">“Reforma 222” </w:t>
      </w:r>
      <w:r w:rsidR="008E11C3" w:rsidRPr="00A36289">
        <w:rPr>
          <w:rFonts w:cs="Arial"/>
          <w:sz w:val="26"/>
          <w:szCs w:val="26"/>
          <w:lang w:val="es-ES"/>
        </w:rPr>
        <w:t>demostraron</w:t>
      </w:r>
      <w:r w:rsidR="00BD2C40" w:rsidRPr="00A36289">
        <w:rPr>
          <w:rFonts w:cs="Arial"/>
          <w:sz w:val="26"/>
          <w:szCs w:val="26"/>
          <w:lang w:val="es-ES"/>
        </w:rPr>
        <w:t xml:space="preserve"> </w:t>
      </w:r>
      <w:r w:rsidR="00BD2C40" w:rsidRPr="009828AE">
        <w:rPr>
          <w:rFonts w:cs="Arial"/>
          <w:color w:val="000000" w:themeColor="text1"/>
          <w:sz w:val="26"/>
          <w:szCs w:val="26"/>
          <w:lang w:val="es-ES"/>
        </w:rPr>
        <w:t>un desprecio intencionado y deliberado por la dignidad y los derechos de las mujeres trans afectadas</w:t>
      </w:r>
      <w:r w:rsidR="00C0146D" w:rsidRPr="009828AE">
        <w:rPr>
          <w:rFonts w:cs="Arial"/>
          <w:color w:val="000000" w:themeColor="text1"/>
          <w:sz w:val="26"/>
          <w:szCs w:val="26"/>
          <w:lang w:val="es-ES"/>
        </w:rPr>
        <w:t>, quienes únicamente intentaron acceder al sanitario acorde con su identidad de género</w:t>
      </w:r>
      <w:r w:rsidR="00F622C2">
        <w:rPr>
          <w:rFonts w:cs="Arial"/>
          <w:color w:val="000000" w:themeColor="text1"/>
          <w:sz w:val="26"/>
          <w:szCs w:val="26"/>
          <w:lang w:val="es-ES"/>
        </w:rPr>
        <w:t>, de forma segura</w:t>
      </w:r>
      <w:r w:rsidR="00BD2C40" w:rsidRPr="009828AE">
        <w:rPr>
          <w:rFonts w:cs="Arial"/>
          <w:color w:val="000000" w:themeColor="text1"/>
          <w:sz w:val="26"/>
          <w:szCs w:val="26"/>
          <w:lang w:val="es-ES"/>
        </w:rPr>
        <w:t>.</w:t>
      </w:r>
      <w:r w:rsidR="001D7D40" w:rsidRPr="009828AE">
        <w:rPr>
          <w:rFonts w:cs="Arial"/>
          <w:color w:val="000000" w:themeColor="text1"/>
          <w:sz w:val="26"/>
          <w:szCs w:val="26"/>
          <w:lang w:val="es-ES"/>
        </w:rPr>
        <w:t xml:space="preserve"> Asimismo,</w:t>
      </w:r>
      <w:r w:rsidRPr="009828AE">
        <w:rPr>
          <w:rFonts w:cs="Arial"/>
          <w:color w:val="000000" w:themeColor="text1"/>
          <w:sz w:val="26"/>
          <w:szCs w:val="26"/>
          <w:lang w:val="es-ES"/>
        </w:rPr>
        <w:t xml:space="preserve"> c</w:t>
      </w:r>
      <w:r w:rsidR="009705F5" w:rsidRPr="009828AE">
        <w:rPr>
          <w:rFonts w:cs="Arial"/>
          <w:color w:val="000000" w:themeColor="text1"/>
          <w:sz w:val="26"/>
          <w:szCs w:val="26"/>
          <w:lang w:val="es-ES"/>
        </w:rPr>
        <w:t xml:space="preserve">omo hemos </w:t>
      </w:r>
      <w:r w:rsidR="008B08D9" w:rsidRPr="009828AE">
        <w:rPr>
          <w:rFonts w:cs="Arial"/>
          <w:color w:val="000000" w:themeColor="text1"/>
          <w:sz w:val="26"/>
          <w:szCs w:val="26"/>
          <w:lang w:val="es-ES"/>
        </w:rPr>
        <w:t>sostenido</w:t>
      </w:r>
      <w:r w:rsidR="009705F5" w:rsidRPr="009828AE">
        <w:rPr>
          <w:rFonts w:cs="Arial"/>
          <w:color w:val="000000" w:themeColor="text1"/>
          <w:sz w:val="26"/>
          <w:szCs w:val="26"/>
          <w:lang w:val="es-ES"/>
        </w:rPr>
        <w:t xml:space="preserve"> en la presente sentencia,</w:t>
      </w:r>
      <w:r w:rsidR="0034014C" w:rsidRPr="009828AE">
        <w:rPr>
          <w:rFonts w:cs="Arial"/>
          <w:color w:val="000000" w:themeColor="text1"/>
          <w:sz w:val="26"/>
          <w:szCs w:val="26"/>
          <w:lang w:val="es-ES"/>
        </w:rPr>
        <w:t xml:space="preserve"> los hechos acreditados </w:t>
      </w:r>
      <w:r w:rsidR="001061A6" w:rsidRPr="009828AE">
        <w:rPr>
          <w:rFonts w:cs="Arial"/>
          <w:color w:val="000000" w:themeColor="text1"/>
          <w:sz w:val="26"/>
          <w:szCs w:val="26"/>
          <w:lang w:val="es-ES"/>
        </w:rPr>
        <w:t xml:space="preserve">no son aislados, sino que </w:t>
      </w:r>
      <w:r w:rsidR="0034014C" w:rsidRPr="009828AE">
        <w:rPr>
          <w:rFonts w:cs="Arial"/>
          <w:color w:val="000000" w:themeColor="text1"/>
          <w:sz w:val="26"/>
          <w:szCs w:val="26"/>
          <w:lang w:val="es-ES"/>
        </w:rPr>
        <w:t>se presentaron en un contexto particular, en el que</w:t>
      </w:r>
      <w:r w:rsidR="009705F5" w:rsidRPr="009828AE">
        <w:rPr>
          <w:rFonts w:cs="Arial"/>
          <w:color w:val="000000" w:themeColor="text1"/>
          <w:sz w:val="26"/>
          <w:szCs w:val="26"/>
          <w:lang w:val="es-ES"/>
        </w:rPr>
        <w:t xml:space="preserve"> las personas trans </w:t>
      </w:r>
      <w:r w:rsidR="00C7605F" w:rsidRPr="009828AE">
        <w:rPr>
          <w:rFonts w:cs="Arial"/>
          <w:color w:val="000000" w:themeColor="text1"/>
          <w:sz w:val="26"/>
          <w:szCs w:val="26"/>
          <w:lang w:val="es-ES"/>
        </w:rPr>
        <w:t xml:space="preserve">en México </w:t>
      </w:r>
      <w:r w:rsidR="0034014C" w:rsidRPr="009828AE">
        <w:rPr>
          <w:rFonts w:cs="Arial"/>
          <w:color w:val="000000" w:themeColor="text1"/>
          <w:sz w:val="26"/>
          <w:szCs w:val="26"/>
        </w:rPr>
        <w:t>son víctimas</w:t>
      </w:r>
      <w:r w:rsidR="00C7605F" w:rsidRPr="009828AE">
        <w:rPr>
          <w:rFonts w:cs="Arial"/>
          <w:color w:val="000000" w:themeColor="text1"/>
          <w:sz w:val="26"/>
          <w:szCs w:val="26"/>
        </w:rPr>
        <w:t xml:space="preserve"> de discriminación y violencia estructural y generalizada. </w:t>
      </w:r>
    </w:p>
    <w:p w14:paraId="3D01FEBB" w14:textId="77777777" w:rsidR="009828AE" w:rsidRPr="009828AE" w:rsidRDefault="009828AE" w:rsidP="00263912">
      <w:pPr>
        <w:pStyle w:val="corte4fondo"/>
        <w:ind w:right="51" w:hanging="567"/>
        <w:rPr>
          <w:rFonts w:cs="Arial"/>
          <w:color w:val="000000" w:themeColor="text1"/>
          <w:sz w:val="26"/>
          <w:szCs w:val="26"/>
          <w:lang w:val="es-ES"/>
        </w:rPr>
      </w:pPr>
    </w:p>
    <w:p w14:paraId="026D7C1F" w14:textId="31BBB73F" w:rsidR="00450531" w:rsidRPr="004E21A0" w:rsidRDefault="00450531" w:rsidP="00263912">
      <w:pPr>
        <w:pStyle w:val="corte4fondo"/>
        <w:numPr>
          <w:ilvl w:val="0"/>
          <w:numId w:val="2"/>
        </w:numPr>
        <w:ind w:left="0" w:right="51" w:hanging="567"/>
        <w:rPr>
          <w:rFonts w:cs="Arial"/>
          <w:color w:val="000000" w:themeColor="text1"/>
          <w:sz w:val="26"/>
          <w:szCs w:val="26"/>
          <w:lang w:val="es-ES"/>
        </w:rPr>
      </w:pPr>
      <w:r w:rsidRPr="004E21A0">
        <w:rPr>
          <w:rFonts w:cs="Arial"/>
          <w:color w:val="000000" w:themeColor="text1"/>
          <w:sz w:val="26"/>
          <w:szCs w:val="26"/>
          <w:lang w:val="es-MX"/>
        </w:rPr>
        <w:t xml:space="preserve">Por otro lado, </w:t>
      </w:r>
      <w:r w:rsidR="003F1005" w:rsidRPr="004E21A0">
        <w:rPr>
          <w:rFonts w:cs="Arial"/>
          <w:color w:val="000000" w:themeColor="text1"/>
          <w:sz w:val="26"/>
          <w:szCs w:val="26"/>
          <w:lang w:val="es-MX"/>
        </w:rPr>
        <w:t xml:space="preserve">se advierte que </w:t>
      </w:r>
      <w:r w:rsidR="00E22CFB" w:rsidRPr="004E21A0">
        <w:rPr>
          <w:rFonts w:cs="Arial"/>
          <w:color w:val="000000" w:themeColor="text1"/>
          <w:sz w:val="26"/>
          <w:szCs w:val="26"/>
          <w:lang w:val="es-MX"/>
        </w:rPr>
        <w:t>en el caso existió una</w:t>
      </w:r>
      <w:r w:rsidRPr="004E21A0">
        <w:rPr>
          <w:rFonts w:cs="Arial"/>
          <w:color w:val="000000" w:themeColor="text1"/>
          <w:sz w:val="26"/>
          <w:szCs w:val="26"/>
          <w:lang w:val="es-MX"/>
        </w:rPr>
        <w:t xml:space="preserve"> relación asimétrica de poder entre las </w:t>
      </w:r>
      <w:r w:rsidR="00E22CFB" w:rsidRPr="004E21A0">
        <w:rPr>
          <w:rFonts w:cs="Arial"/>
          <w:color w:val="000000" w:themeColor="text1"/>
          <w:sz w:val="26"/>
          <w:szCs w:val="26"/>
          <w:lang w:val="es-MX"/>
        </w:rPr>
        <w:t>señoras</w:t>
      </w:r>
      <w:r w:rsidRPr="004E21A0">
        <w:rPr>
          <w:rFonts w:cs="Arial"/>
          <w:color w:val="000000" w:themeColor="text1"/>
          <w:sz w:val="26"/>
          <w:szCs w:val="26"/>
          <w:lang w:val="es-MX"/>
        </w:rPr>
        <w:t xml:space="preserve"> y el </w:t>
      </w:r>
      <w:r w:rsidR="00E22CFB" w:rsidRPr="004E21A0">
        <w:rPr>
          <w:rFonts w:cs="Arial"/>
          <w:color w:val="000000" w:themeColor="text1"/>
          <w:sz w:val="26"/>
          <w:szCs w:val="26"/>
          <w:lang w:val="es-MX"/>
        </w:rPr>
        <w:t xml:space="preserve">personal del </w:t>
      </w:r>
      <w:r w:rsidRPr="004E21A0">
        <w:rPr>
          <w:rFonts w:cs="Arial"/>
          <w:color w:val="000000" w:themeColor="text1"/>
          <w:sz w:val="26"/>
          <w:szCs w:val="26"/>
          <w:lang w:val="es-MX"/>
        </w:rPr>
        <w:t xml:space="preserve">centro comercial. </w:t>
      </w:r>
      <w:r w:rsidR="00EA1401" w:rsidRPr="004E21A0">
        <w:rPr>
          <w:rFonts w:cs="Arial"/>
          <w:color w:val="000000" w:themeColor="text1"/>
          <w:sz w:val="26"/>
          <w:szCs w:val="26"/>
          <w:lang w:val="es-MX"/>
        </w:rPr>
        <w:t>L</w:t>
      </w:r>
      <w:r w:rsidR="00CD1D06" w:rsidRPr="004E21A0">
        <w:rPr>
          <w:rFonts w:cs="Arial"/>
          <w:color w:val="000000" w:themeColor="text1"/>
          <w:sz w:val="26"/>
          <w:szCs w:val="26"/>
          <w:lang w:val="es-MX"/>
        </w:rPr>
        <w:t>os</w:t>
      </w:r>
      <w:r w:rsidRPr="004E21A0">
        <w:rPr>
          <w:rFonts w:cs="Arial"/>
          <w:color w:val="000000" w:themeColor="text1"/>
          <w:sz w:val="26"/>
          <w:szCs w:val="26"/>
          <w:lang w:val="es-MX"/>
        </w:rPr>
        <w:t xml:space="preserve"> agentes de seguridad</w:t>
      </w:r>
      <w:r w:rsidR="00EA1401" w:rsidRPr="004E21A0">
        <w:rPr>
          <w:rFonts w:cs="Arial"/>
          <w:color w:val="000000" w:themeColor="text1"/>
          <w:sz w:val="26"/>
          <w:szCs w:val="26"/>
          <w:lang w:val="es-MX"/>
        </w:rPr>
        <w:t xml:space="preserve"> y </w:t>
      </w:r>
      <w:r w:rsidR="003F1005" w:rsidRPr="004E21A0">
        <w:rPr>
          <w:rFonts w:cs="Arial"/>
          <w:color w:val="000000" w:themeColor="text1"/>
          <w:sz w:val="26"/>
          <w:szCs w:val="26"/>
          <w:lang w:val="es-MX"/>
        </w:rPr>
        <w:t xml:space="preserve">el personal de atención al cliente </w:t>
      </w:r>
      <w:r w:rsidRPr="004E21A0">
        <w:rPr>
          <w:rFonts w:cs="Arial"/>
          <w:color w:val="000000" w:themeColor="text1"/>
          <w:sz w:val="26"/>
          <w:szCs w:val="26"/>
          <w:lang w:val="es-MX"/>
        </w:rPr>
        <w:t>actuaron desde una posición de autoridad y control</w:t>
      </w:r>
      <w:r w:rsidR="00EA1401" w:rsidRPr="004E21A0">
        <w:rPr>
          <w:rFonts w:cs="Arial"/>
          <w:color w:val="000000" w:themeColor="text1"/>
          <w:sz w:val="26"/>
          <w:szCs w:val="26"/>
          <w:lang w:val="es-MX"/>
        </w:rPr>
        <w:t>, tanto para el acceso a los sanitarios de mujeres como para la presentación de la queja</w:t>
      </w:r>
      <w:r w:rsidR="00AA63D1" w:rsidRPr="004E21A0">
        <w:rPr>
          <w:rFonts w:cs="Arial"/>
          <w:color w:val="000000" w:themeColor="text1"/>
          <w:sz w:val="26"/>
          <w:szCs w:val="26"/>
          <w:lang w:val="es-MX"/>
        </w:rPr>
        <w:t>. Este personal, respectivamente,</w:t>
      </w:r>
      <w:r w:rsidR="00FA66CB" w:rsidRPr="004E21A0">
        <w:rPr>
          <w:rFonts w:cs="Arial"/>
          <w:color w:val="000000" w:themeColor="text1"/>
          <w:sz w:val="26"/>
          <w:szCs w:val="26"/>
          <w:lang w:val="es-MX"/>
        </w:rPr>
        <w:t xml:space="preserve"> estaba </w:t>
      </w:r>
      <w:r w:rsidR="002237F5" w:rsidRPr="004E21A0">
        <w:rPr>
          <w:rFonts w:cs="Arial"/>
          <w:color w:val="000000" w:themeColor="text1"/>
          <w:sz w:val="26"/>
          <w:szCs w:val="26"/>
          <w:lang w:val="es-MX"/>
        </w:rPr>
        <w:t xml:space="preserve">bajo el mando de </w:t>
      </w:r>
      <w:r w:rsidR="00AA4E77" w:rsidRPr="004E21A0">
        <w:rPr>
          <w:rFonts w:cs="Arial"/>
          <w:color w:val="000000" w:themeColor="text1"/>
          <w:sz w:val="26"/>
          <w:szCs w:val="26"/>
          <w:lang w:val="es-MX"/>
        </w:rPr>
        <w:t>personas morales que prestan</w:t>
      </w:r>
      <w:r w:rsidRPr="004E21A0">
        <w:rPr>
          <w:rFonts w:cs="Arial"/>
          <w:color w:val="000000" w:themeColor="text1"/>
          <w:sz w:val="26"/>
          <w:szCs w:val="26"/>
          <w:lang w:val="es-MX"/>
        </w:rPr>
        <w:t xml:space="preserve"> servicios </w:t>
      </w:r>
      <w:r w:rsidR="009A01FD" w:rsidRPr="004E21A0">
        <w:rPr>
          <w:rFonts w:cs="Arial"/>
          <w:color w:val="000000" w:themeColor="text1"/>
          <w:sz w:val="26"/>
          <w:szCs w:val="26"/>
          <w:lang w:val="es-MX"/>
        </w:rPr>
        <w:t xml:space="preserve">al público en </w:t>
      </w:r>
      <w:r w:rsidR="009A01FD" w:rsidRPr="004E21A0">
        <w:rPr>
          <w:rFonts w:cs="Arial"/>
          <w:color w:val="000000" w:themeColor="text1"/>
          <w:sz w:val="26"/>
          <w:szCs w:val="26"/>
          <w:lang w:val="es-MX"/>
        </w:rPr>
        <w:lastRenderedPageBreak/>
        <w:t>general</w:t>
      </w:r>
      <w:r w:rsidR="00AA4E77" w:rsidRPr="004E21A0">
        <w:rPr>
          <w:rFonts w:cs="Arial"/>
          <w:color w:val="000000" w:themeColor="text1"/>
          <w:sz w:val="26"/>
          <w:szCs w:val="26"/>
          <w:lang w:val="es-MX"/>
        </w:rPr>
        <w:t xml:space="preserve"> y</w:t>
      </w:r>
      <w:r w:rsidR="004E21A0" w:rsidRPr="004E21A0">
        <w:rPr>
          <w:rFonts w:cs="Arial"/>
          <w:color w:val="000000" w:themeColor="text1"/>
          <w:sz w:val="26"/>
          <w:szCs w:val="26"/>
          <w:lang w:val="es-MX"/>
        </w:rPr>
        <w:t xml:space="preserve"> que operan</w:t>
      </w:r>
      <w:r w:rsidR="00AA4E77" w:rsidRPr="004E21A0">
        <w:rPr>
          <w:rFonts w:cs="Arial"/>
          <w:color w:val="000000" w:themeColor="text1"/>
          <w:sz w:val="26"/>
          <w:szCs w:val="26"/>
          <w:lang w:val="es-MX"/>
        </w:rPr>
        <w:t xml:space="preserve"> con fines de lucro</w:t>
      </w:r>
      <w:r w:rsidRPr="004E21A0">
        <w:rPr>
          <w:rFonts w:cs="Arial"/>
          <w:color w:val="000000" w:themeColor="text1"/>
          <w:sz w:val="26"/>
          <w:szCs w:val="26"/>
          <w:lang w:val="es-MX"/>
        </w:rPr>
        <w:t>.</w:t>
      </w:r>
      <w:r w:rsidR="00FA66CB" w:rsidRPr="004E21A0">
        <w:rPr>
          <w:rFonts w:cs="Arial"/>
          <w:color w:val="000000" w:themeColor="text1"/>
          <w:sz w:val="26"/>
          <w:szCs w:val="26"/>
          <w:lang w:val="es-MX"/>
        </w:rPr>
        <w:t xml:space="preserve"> En ese sentido, </w:t>
      </w:r>
      <w:r w:rsidR="00843E16" w:rsidRPr="004E21A0">
        <w:rPr>
          <w:rFonts w:cs="Arial"/>
          <w:color w:val="000000" w:themeColor="text1"/>
          <w:sz w:val="26"/>
          <w:szCs w:val="26"/>
          <w:lang w:val="es-MX"/>
        </w:rPr>
        <w:t xml:space="preserve">el hecho de que </w:t>
      </w:r>
      <w:r w:rsidR="001C5404" w:rsidRPr="004E21A0">
        <w:rPr>
          <w:rFonts w:cs="Arial"/>
          <w:color w:val="000000" w:themeColor="text1"/>
          <w:sz w:val="26"/>
          <w:szCs w:val="26"/>
          <w:lang w:val="es-MX"/>
        </w:rPr>
        <w:t xml:space="preserve">los actos discriminatorios </w:t>
      </w:r>
      <w:r w:rsidR="00843E16" w:rsidRPr="004E21A0">
        <w:rPr>
          <w:rFonts w:cs="Arial"/>
          <w:color w:val="000000" w:themeColor="text1"/>
          <w:sz w:val="26"/>
          <w:szCs w:val="26"/>
          <w:lang w:val="es-MX"/>
        </w:rPr>
        <w:t>ocurriera</w:t>
      </w:r>
      <w:r w:rsidR="00FA66CB" w:rsidRPr="004E21A0">
        <w:rPr>
          <w:rFonts w:cs="Arial"/>
          <w:color w:val="000000" w:themeColor="text1"/>
          <w:sz w:val="26"/>
          <w:szCs w:val="26"/>
          <w:lang w:val="es-MX"/>
        </w:rPr>
        <w:t>n</w:t>
      </w:r>
      <w:r w:rsidR="00843E16" w:rsidRPr="004E21A0">
        <w:rPr>
          <w:rFonts w:cs="Arial"/>
          <w:color w:val="000000" w:themeColor="text1"/>
          <w:sz w:val="26"/>
          <w:szCs w:val="26"/>
          <w:lang w:val="es-MX"/>
        </w:rPr>
        <w:t xml:space="preserve"> en un establecimiento destinado al público</w:t>
      </w:r>
      <w:r w:rsidR="00FA66CB" w:rsidRPr="004E21A0">
        <w:rPr>
          <w:rFonts w:cs="Arial"/>
          <w:color w:val="000000" w:themeColor="text1"/>
          <w:sz w:val="26"/>
          <w:szCs w:val="26"/>
          <w:lang w:val="es-MX"/>
        </w:rPr>
        <w:t xml:space="preserve">, en el que probablemente </w:t>
      </w:r>
      <w:r w:rsidR="00790D49" w:rsidRPr="004E21A0">
        <w:rPr>
          <w:rFonts w:cs="Arial"/>
          <w:color w:val="000000" w:themeColor="text1"/>
          <w:sz w:val="26"/>
          <w:szCs w:val="26"/>
          <w:lang w:val="es-MX"/>
        </w:rPr>
        <w:t xml:space="preserve">muchos de sus visitantes son personas de la </w:t>
      </w:r>
      <w:r w:rsidR="0013572D">
        <w:rPr>
          <w:rFonts w:cs="Arial"/>
          <w:color w:val="000000" w:themeColor="text1"/>
          <w:sz w:val="26"/>
          <w:szCs w:val="26"/>
          <w:lang w:val="es-MX"/>
        </w:rPr>
        <w:t>población</w:t>
      </w:r>
      <w:r w:rsidR="00790D49" w:rsidRPr="004E21A0">
        <w:rPr>
          <w:rFonts w:cs="Arial"/>
          <w:color w:val="000000" w:themeColor="text1"/>
          <w:sz w:val="26"/>
          <w:szCs w:val="26"/>
          <w:lang w:val="es-MX"/>
        </w:rPr>
        <w:t xml:space="preserve"> LGBTI</w:t>
      </w:r>
      <w:r w:rsidR="00061CCA">
        <w:rPr>
          <w:rFonts w:cs="Arial"/>
          <w:color w:val="000000" w:themeColor="text1"/>
          <w:sz w:val="26"/>
          <w:szCs w:val="26"/>
          <w:lang w:val="es-MX"/>
        </w:rPr>
        <w:t>Q</w:t>
      </w:r>
      <w:r w:rsidR="00790D49" w:rsidRPr="004E21A0">
        <w:rPr>
          <w:rFonts w:cs="Arial"/>
          <w:color w:val="000000" w:themeColor="text1"/>
          <w:sz w:val="26"/>
          <w:szCs w:val="26"/>
          <w:lang w:val="es-MX"/>
        </w:rPr>
        <w:t>+,</w:t>
      </w:r>
      <w:r w:rsidR="00843E16" w:rsidRPr="004E21A0">
        <w:rPr>
          <w:rFonts w:cs="Arial"/>
          <w:color w:val="000000" w:themeColor="text1"/>
          <w:sz w:val="26"/>
          <w:szCs w:val="26"/>
          <w:lang w:val="es-MX"/>
        </w:rPr>
        <w:t xml:space="preserve"> refuerza la </w:t>
      </w:r>
      <w:r w:rsidR="00FA66CB" w:rsidRPr="004E21A0">
        <w:rPr>
          <w:rFonts w:cs="Arial"/>
          <w:color w:val="000000" w:themeColor="text1"/>
          <w:sz w:val="26"/>
          <w:szCs w:val="26"/>
          <w:lang w:val="es-MX"/>
        </w:rPr>
        <w:t>procedencia de una condena punitiva</w:t>
      </w:r>
      <w:r w:rsidR="00944695" w:rsidRPr="004E21A0">
        <w:rPr>
          <w:rFonts w:cs="Arial"/>
          <w:color w:val="000000" w:themeColor="text1"/>
          <w:sz w:val="26"/>
          <w:szCs w:val="26"/>
          <w:lang w:val="es-MX"/>
        </w:rPr>
        <w:t>, ya que los hechos no solo afectaron a las víctimas directas, sino que también envían un mensaje de</w:t>
      </w:r>
      <w:r w:rsidR="0082543A" w:rsidRPr="004E21A0">
        <w:rPr>
          <w:rFonts w:cs="Arial"/>
          <w:color w:val="000000" w:themeColor="text1"/>
          <w:sz w:val="26"/>
          <w:szCs w:val="26"/>
          <w:lang w:val="es-MX"/>
        </w:rPr>
        <w:t xml:space="preserve"> desprotección y exclusión</w:t>
      </w:r>
      <w:r w:rsidR="00944695" w:rsidRPr="004E21A0">
        <w:rPr>
          <w:rFonts w:cs="Arial"/>
          <w:color w:val="000000" w:themeColor="text1"/>
          <w:sz w:val="26"/>
          <w:szCs w:val="26"/>
          <w:lang w:val="es-MX"/>
        </w:rPr>
        <w:t xml:space="preserve"> a todos los miembros de </w:t>
      </w:r>
      <w:r w:rsidR="0013572D">
        <w:rPr>
          <w:rFonts w:cs="Arial"/>
          <w:color w:val="000000" w:themeColor="text1"/>
          <w:sz w:val="26"/>
          <w:szCs w:val="26"/>
          <w:lang w:val="es-MX"/>
        </w:rPr>
        <w:t>dicha población</w:t>
      </w:r>
      <w:r w:rsidR="00843E16" w:rsidRPr="004E21A0">
        <w:rPr>
          <w:rFonts w:cs="Arial"/>
          <w:color w:val="000000" w:themeColor="text1"/>
          <w:sz w:val="26"/>
          <w:szCs w:val="26"/>
          <w:lang w:val="es-MX"/>
        </w:rPr>
        <w:t>.</w:t>
      </w:r>
    </w:p>
    <w:p w14:paraId="30269B7C" w14:textId="77777777" w:rsidR="00CE1183" w:rsidRPr="003333B4" w:rsidRDefault="00CE1183" w:rsidP="00263912">
      <w:pPr>
        <w:pStyle w:val="corte4fondo"/>
        <w:ind w:right="51" w:hanging="567"/>
        <w:rPr>
          <w:rFonts w:cs="Arial"/>
          <w:color w:val="000000" w:themeColor="text1"/>
          <w:sz w:val="26"/>
          <w:szCs w:val="26"/>
          <w:lang w:val="es-ES"/>
        </w:rPr>
      </w:pPr>
    </w:p>
    <w:p w14:paraId="4316BC6F" w14:textId="69ECA292" w:rsidR="00FA082A" w:rsidRPr="003333B4" w:rsidRDefault="008F2EEA" w:rsidP="00263912">
      <w:pPr>
        <w:pStyle w:val="corte4fondo"/>
        <w:numPr>
          <w:ilvl w:val="0"/>
          <w:numId w:val="2"/>
        </w:numPr>
        <w:ind w:left="0" w:right="51" w:hanging="567"/>
        <w:rPr>
          <w:rFonts w:cs="Arial"/>
          <w:color w:val="000000" w:themeColor="text1"/>
          <w:sz w:val="26"/>
          <w:szCs w:val="26"/>
          <w:lang w:val="es-ES"/>
        </w:rPr>
      </w:pPr>
      <w:r w:rsidRPr="003333B4">
        <w:rPr>
          <w:rFonts w:cs="Arial"/>
          <w:color w:val="000000" w:themeColor="text1"/>
          <w:sz w:val="26"/>
          <w:szCs w:val="26"/>
          <w:lang w:val="es-ES"/>
        </w:rPr>
        <w:t>Incluso</w:t>
      </w:r>
      <w:r w:rsidR="00CE1183" w:rsidRPr="003333B4">
        <w:rPr>
          <w:rFonts w:cs="Arial"/>
          <w:color w:val="000000" w:themeColor="text1"/>
          <w:sz w:val="26"/>
          <w:szCs w:val="26"/>
          <w:lang w:val="es-ES"/>
        </w:rPr>
        <w:t xml:space="preserve">, esta Sala </w:t>
      </w:r>
      <w:r w:rsidR="00D4397D" w:rsidRPr="003333B4">
        <w:rPr>
          <w:rFonts w:cs="Arial"/>
          <w:color w:val="000000" w:themeColor="text1"/>
          <w:sz w:val="26"/>
          <w:szCs w:val="26"/>
          <w:lang w:val="es-ES"/>
        </w:rPr>
        <w:t>advierte</w:t>
      </w:r>
      <w:r w:rsidR="00CE1183" w:rsidRPr="003333B4">
        <w:rPr>
          <w:rFonts w:cs="Arial"/>
          <w:color w:val="000000" w:themeColor="text1"/>
          <w:sz w:val="26"/>
          <w:szCs w:val="26"/>
          <w:lang w:val="es-ES"/>
        </w:rPr>
        <w:t xml:space="preserve"> que</w:t>
      </w:r>
      <w:r w:rsidR="00E16022" w:rsidRPr="003333B4">
        <w:rPr>
          <w:rFonts w:cs="Arial"/>
          <w:color w:val="000000" w:themeColor="text1"/>
          <w:sz w:val="26"/>
          <w:szCs w:val="26"/>
          <w:lang w:val="es-ES"/>
        </w:rPr>
        <w:t xml:space="preserve"> </w:t>
      </w:r>
      <w:r w:rsidR="00680571" w:rsidRPr="003333B4">
        <w:rPr>
          <w:rFonts w:cs="Arial"/>
          <w:color w:val="000000" w:themeColor="text1"/>
          <w:sz w:val="26"/>
          <w:szCs w:val="26"/>
          <w:lang w:val="es-ES"/>
        </w:rPr>
        <w:t xml:space="preserve">miembros de la </w:t>
      </w:r>
      <w:r w:rsidR="006C781B">
        <w:rPr>
          <w:rFonts w:cs="Arial"/>
          <w:color w:val="000000" w:themeColor="text1"/>
          <w:sz w:val="26"/>
          <w:szCs w:val="26"/>
          <w:lang w:val="es-ES"/>
        </w:rPr>
        <w:t>población</w:t>
      </w:r>
      <w:r w:rsidR="00680571" w:rsidRPr="003333B4">
        <w:rPr>
          <w:rFonts w:cs="Arial"/>
          <w:color w:val="000000" w:themeColor="text1"/>
          <w:sz w:val="26"/>
          <w:szCs w:val="26"/>
          <w:lang w:val="es-ES"/>
        </w:rPr>
        <w:t xml:space="preserve"> LGBT</w:t>
      </w:r>
      <w:r w:rsidR="00061CCA">
        <w:rPr>
          <w:rFonts w:cs="Arial"/>
          <w:color w:val="000000" w:themeColor="text1"/>
          <w:sz w:val="26"/>
          <w:szCs w:val="26"/>
          <w:lang w:val="es-ES"/>
        </w:rPr>
        <w:t>IQ</w:t>
      </w:r>
      <w:r w:rsidR="00680571" w:rsidRPr="003333B4">
        <w:rPr>
          <w:rFonts w:cs="Arial"/>
          <w:color w:val="000000" w:themeColor="text1"/>
          <w:sz w:val="26"/>
          <w:szCs w:val="26"/>
          <w:lang w:val="es-ES"/>
        </w:rPr>
        <w:t xml:space="preserve">+ </w:t>
      </w:r>
      <w:r w:rsidR="00CE1183" w:rsidRPr="003333B4">
        <w:rPr>
          <w:rFonts w:cs="Arial"/>
          <w:color w:val="000000" w:themeColor="text1"/>
          <w:sz w:val="26"/>
          <w:szCs w:val="26"/>
          <w:lang w:val="es-ES"/>
        </w:rPr>
        <w:t>han</w:t>
      </w:r>
      <w:r w:rsidR="00415D8F" w:rsidRPr="003333B4">
        <w:rPr>
          <w:rFonts w:cs="Arial"/>
          <w:color w:val="000000" w:themeColor="text1"/>
          <w:sz w:val="26"/>
          <w:szCs w:val="26"/>
          <w:lang w:val="es-ES"/>
        </w:rPr>
        <w:t xml:space="preserve"> denunciado diversos actos d</w:t>
      </w:r>
      <w:r w:rsidR="00322A12" w:rsidRPr="003333B4">
        <w:rPr>
          <w:rFonts w:cs="Arial"/>
          <w:color w:val="000000" w:themeColor="text1"/>
          <w:sz w:val="26"/>
          <w:szCs w:val="26"/>
          <w:lang w:val="es-ES"/>
        </w:rPr>
        <w:t xml:space="preserve">e discriminación en el </w:t>
      </w:r>
      <w:r w:rsidR="00322A12" w:rsidRPr="00A36289">
        <w:rPr>
          <w:rFonts w:cs="Arial"/>
          <w:sz w:val="26"/>
          <w:szCs w:val="26"/>
          <w:lang w:val="es-ES"/>
        </w:rPr>
        <w:t>centro comercial “Reforma 222”</w:t>
      </w:r>
      <w:r w:rsidR="00D4397D" w:rsidRPr="00A36289">
        <w:rPr>
          <w:rFonts w:cs="Arial"/>
          <w:sz w:val="26"/>
          <w:szCs w:val="26"/>
          <w:lang w:val="es-ES"/>
        </w:rPr>
        <w:t xml:space="preserve">, </w:t>
      </w:r>
      <w:r w:rsidR="00415D8F" w:rsidRPr="00A36289">
        <w:rPr>
          <w:rFonts w:cs="Arial"/>
          <w:sz w:val="26"/>
          <w:szCs w:val="26"/>
          <w:lang w:val="es-ES"/>
        </w:rPr>
        <w:t xml:space="preserve">con posterioridad a </w:t>
      </w:r>
      <w:r w:rsidR="00DB2E9F" w:rsidRPr="00A36289">
        <w:rPr>
          <w:rFonts w:cs="Arial"/>
          <w:sz w:val="26"/>
          <w:szCs w:val="26"/>
          <w:lang w:val="es-ES"/>
        </w:rPr>
        <w:t>los hechos de</w:t>
      </w:r>
      <w:r w:rsidR="00FC26CC" w:rsidRPr="00A36289">
        <w:rPr>
          <w:rFonts w:cs="Arial"/>
          <w:sz w:val="26"/>
          <w:szCs w:val="26"/>
          <w:lang w:val="es-ES"/>
        </w:rPr>
        <w:t xml:space="preserve"> este </w:t>
      </w:r>
      <w:r w:rsidR="00DB2E9F" w:rsidRPr="00A36289">
        <w:rPr>
          <w:rFonts w:cs="Arial"/>
          <w:sz w:val="26"/>
          <w:szCs w:val="26"/>
          <w:lang w:val="es-ES"/>
        </w:rPr>
        <w:t>juicio</w:t>
      </w:r>
      <w:r w:rsidR="00322A12" w:rsidRPr="00A36289">
        <w:rPr>
          <w:rFonts w:cs="Arial"/>
          <w:sz w:val="26"/>
          <w:szCs w:val="26"/>
          <w:lang w:val="es-ES"/>
        </w:rPr>
        <w:t>.</w:t>
      </w:r>
      <w:r w:rsidR="00DB2E9F" w:rsidRPr="00A36289">
        <w:rPr>
          <w:rFonts w:cs="Arial"/>
          <w:sz w:val="26"/>
          <w:szCs w:val="26"/>
          <w:lang w:val="es-ES"/>
        </w:rPr>
        <w:t xml:space="preserve"> </w:t>
      </w:r>
      <w:r w:rsidR="00E61080" w:rsidRPr="003333B4">
        <w:rPr>
          <w:rFonts w:cs="Arial"/>
          <w:color w:val="000000" w:themeColor="text1"/>
          <w:sz w:val="26"/>
          <w:szCs w:val="26"/>
          <w:lang w:val="es-ES"/>
        </w:rPr>
        <w:t>Por ejemplo</w:t>
      </w:r>
      <w:r w:rsidR="00680571" w:rsidRPr="003333B4">
        <w:rPr>
          <w:rFonts w:cs="Arial"/>
          <w:color w:val="000000" w:themeColor="text1"/>
          <w:sz w:val="26"/>
          <w:szCs w:val="26"/>
          <w:lang w:val="es-ES"/>
        </w:rPr>
        <w:t>,</w:t>
      </w:r>
      <w:r w:rsidR="003333B4" w:rsidRPr="003333B4">
        <w:rPr>
          <w:rFonts w:cs="Arial"/>
          <w:color w:val="000000" w:themeColor="text1"/>
          <w:sz w:val="26"/>
          <w:szCs w:val="26"/>
          <w:lang w:val="es-ES"/>
        </w:rPr>
        <w:t xml:space="preserve"> es un hecho notorio que, </w:t>
      </w:r>
      <w:r w:rsidR="00910442" w:rsidRPr="003333B4">
        <w:rPr>
          <w:rFonts w:cs="Arial"/>
          <w:color w:val="000000" w:themeColor="text1"/>
          <w:sz w:val="26"/>
          <w:szCs w:val="26"/>
          <w:lang w:val="es-ES"/>
        </w:rPr>
        <w:t>de forma similar al presente caso,</w:t>
      </w:r>
      <w:r w:rsidR="00680571" w:rsidRPr="003333B4">
        <w:rPr>
          <w:rFonts w:cs="Arial"/>
          <w:color w:val="000000" w:themeColor="text1"/>
          <w:sz w:val="26"/>
          <w:szCs w:val="26"/>
          <w:lang w:val="es-ES"/>
        </w:rPr>
        <w:t xml:space="preserve"> en </w:t>
      </w:r>
      <w:r w:rsidR="00C638EF" w:rsidRPr="003333B4">
        <w:rPr>
          <w:rFonts w:cs="Arial"/>
          <w:color w:val="000000" w:themeColor="text1"/>
          <w:sz w:val="26"/>
          <w:szCs w:val="26"/>
          <w:lang w:val="es-ES"/>
        </w:rPr>
        <w:t>junio de</w:t>
      </w:r>
      <w:r w:rsidR="00680571" w:rsidRPr="003333B4">
        <w:rPr>
          <w:rFonts w:cs="Arial"/>
          <w:color w:val="000000" w:themeColor="text1"/>
          <w:sz w:val="26"/>
          <w:szCs w:val="26"/>
          <w:lang w:val="es-ES"/>
        </w:rPr>
        <w:t xml:space="preserve"> 2022, </w:t>
      </w:r>
      <w:r w:rsidR="00680571" w:rsidRPr="003333B4">
        <w:rPr>
          <w:rFonts w:cs="Arial"/>
          <w:color w:val="000000" w:themeColor="text1"/>
          <w:sz w:val="26"/>
          <w:szCs w:val="26"/>
          <w:lang w:val="es-MX"/>
        </w:rPr>
        <w:t xml:space="preserve">una pareja de mujeres denunció que sufrió </w:t>
      </w:r>
      <w:r w:rsidR="008858A2" w:rsidRPr="003333B4">
        <w:rPr>
          <w:rFonts w:cs="Arial"/>
          <w:color w:val="000000" w:themeColor="text1"/>
          <w:sz w:val="26"/>
          <w:szCs w:val="26"/>
          <w:lang w:val="es-MX"/>
        </w:rPr>
        <w:t xml:space="preserve">actos </w:t>
      </w:r>
      <w:r w:rsidR="00680571" w:rsidRPr="003333B4">
        <w:rPr>
          <w:rFonts w:cs="Arial"/>
          <w:color w:val="000000" w:themeColor="text1"/>
          <w:sz w:val="26"/>
          <w:szCs w:val="26"/>
          <w:lang w:val="es-MX"/>
        </w:rPr>
        <w:t>de discriminación por parte del personal de</w:t>
      </w:r>
      <w:r w:rsidR="00D82149" w:rsidRPr="003333B4">
        <w:rPr>
          <w:rFonts w:cs="Arial"/>
          <w:color w:val="000000" w:themeColor="text1"/>
          <w:sz w:val="26"/>
          <w:szCs w:val="26"/>
          <w:lang w:val="es-MX"/>
        </w:rPr>
        <w:t xml:space="preserve"> seguridad de</w:t>
      </w:r>
      <w:r w:rsidR="00680571" w:rsidRPr="003333B4">
        <w:rPr>
          <w:rFonts w:cs="Arial"/>
          <w:color w:val="000000" w:themeColor="text1"/>
          <w:sz w:val="26"/>
          <w:szCs w:val="26"/>
          <w:lang w:val="es-MX"/>
        </w:rPr>
        <w:t>l centro comercial, el mismo día de la “Marcha Lencha” de ese año</w:t>
      </w:r>
      <w:r w:rsidR="00680571" w:rsidRPr="003333B4">
        <w:rPr>
          <w:rStyle w:val="Refdenotaalpie"/>
          <w:rFonts w:cs="Arial"/>
          <w:color w:val="000000" w:themeColor="text1"/>
          <w:sz w:val="26"/>
          <w:szCs w:val="26"/>
          <w:lang w:val="es-MX"/>
        </w:rPr>
        <w:footnoteReference w:id="150"/>
      </w:r>
      <w:r w:rsidR="00680571" w:rsidRPr="003333B4">
        <w:rPr>
          <w:rFonts w:cs="Arial"/>
          <w:color w:val="000000" w:themeColor="text1"/>
          <w:sz w:val="26"/>
          <w:szCs w:val="26"/>
          <w:lang w:val="es-MX"/>
        </w:rPr>
        <w:t>.</w:t>
      </w:r>
    </w:p>
    <w:p w14:paraId="1E0173BE" w14:textId="77777777" w:rsidR="00C30078" w:rsidRPr="003333B4" w:rsidRDefault="00C30078" w:rsidP="00263912">
      <w:pPr>
        <w:pStyle w:val="corte4fondo"/>
        <w:ind w:right="51" w:hanging="567"/>
        <w:rPr>
          <w:rFonts w:cs="Arial"/>
          <w:color w:val="000000" w:themeColor="text1"/>
          <w:sz w:val="26"/>
          <w:szCs w:val="26"/>
          <w:lang w:val="es-ES"/>
        </w:rPr>
      </w:pPr>
    </w:p>
    <w:p w14:paraId="427D7E21" w14:textId="1A4B03C7" w:rsidR="00AE16BE" w:rsidRDefault="00C30078" w:rsidP="00263912">
      <w:pPr>
        <w:pStyle w:val="corte4fondo"/>
        <w:numPr>
          <w:ilvl w:val="0"/>
          <w:numId w:val="2"/>
        </w:numPr>
        <w:ind w:left="0" w:right="51" w:hanging="567"/>
        <w:rPr>
          <w:rFonts w:cs="Arial"/>
          <w:color w:val="000000" w:themeColor="text1"/>
          <w:sz w:val="26"/>
          <w:szCs w:val="26"/>
          <w:lang w:val="es-ES"/>
        </w:rPr>
      </w:pPr>
      <w:r w:rsidRPr="003333B4">
        <w:rPr>
          <w:rFonts w:cs="Arial"/>
          <w:color w:val="000000" w:themeColor="text1"/>
          <w:sz w:val="26"/>
          <w:szCs w:val="26"/>
          <w:lang w:val="es-ES"/>
        </w:rPr>
        <w:t xml:space="preserve">Con base en lo </w:t>
      </w:r>
      <w:r w:rsidR="00D753B7" w:rsidRPr="003333B4">
        <w:rPr>
          <w:rFonts w:cs="Arial"/>
          <w:color w:val="000000" w:themeColor="text1"/>
          <w:sz w:val="26"/>
          <w:szCs w:val="26"/>
          <w:lang w:val="es-ES"/>
        </w:rPr>
        <w:t>anterior</w:t>
      </w:r>
      <w:r w:rsidRPr="003333B4">
        <w:rPr>
          <w:rFonts w:cs="Arial"/>
          <w:color w:val="000000" w:themeColor="text1"/>
          <w:sz w:val="26"/>
          <w:szCs w:val="26"/>
          <w:lang w:val="es-ES"/>
        </w:rPr>
        <w:t>, en el caso</w:t>
      </w:r>
      <w:r w:rsidR="00164E69">
        <w:rPr>
          <w:rFonts w:cs="Arial"/>
          <w:color w:val="000000" w:themeColor="text1"/>
          <w:sz w:val="26"/>
          <w:szCs w:val="26"/>
          <w:lang w:val="es-ES"/>
        </w:rPr>
        <w:t xml:space="preserve"> concreto</w:t>
      </w:r>
      <w:r w:rsidRPr="003333B4">
        <w:rPr>
          <w:rFonts w:cs="Arial"/>
          <w:color w:val="000000" w:themeColor="text1"/>
          <w:sz w:val="26"/>
          <w:szCs w:val="26"/>
          <w:lang w:val="es-ES"/>
        </w:rPr>
        <w:t xml:space="preserve"> es procedente considerar una faceta punitiva de la </w:t>
      </w:r>
      <w:r w:rsidR="003D363C" w:rsidRPr="003333B4">
        <w:rPr>
          <w:rFonts w:cs="Arial"/>
          <w:color w:val="000000" w:themeColor="text1"/>
          <w:sz w:val="26"/>
          <w:szCs w:val="26"/>
          <w:lang w:val="es-ES"/>
        </w:rPr>
        <w:t>indemnización, con el o</w:t>
      </w:r>
      <w:r w:rsidR="003D363C" w:rsidRPr="00234490">
        <w:rPr>
          <w:rFonts w:cs="Arial"/>
          <w:color w:val="000000" w:themeColor="text1"/>
          <w:sz w:val="26"/>
          <w:szCs w:val="26"/>
          <w:lang w:val="es-ES"/>
        </w:rPr>
        <w:t xml:space="preserve">bjetivo de </w:t>
      </w:r>
      <w:r w:rsidR="006D1C9C" w:rsidRPr="00234490">
        <w:rPr>
          <w:rFonts w:cs="Arial"/>
          <w:color w:val="000000" w:themeColor="text1"/>
          <w:sz w:val="26"/>
          <w:szCs w:val="26"/>
          <w:lang w:val="es-ES"/>
        </w:rPr>
        <w:t xml:space="preserve">sancionar la conducta reprochable de los </w:t>
      </w:r>
      <w:r w:rsidR="00AD0C84" w:rsidRPr="00234490">
        <w:rPr>
          <w:rFonts w:cs="Arial"/>
          <w:color w:val="000000" w:themeColor="text1"/>
          <w:sz w:val="26"/>
          <w:szCs w:val="26"/>
          <w:lang w:val="es-ES"/>
        </w:rPr>
        <w:t>guardias</w:t>
      </w:r>
      <w:r w:rsidR="006D1C9C" w:rsidRPr="00234490">
        <w:rPr>
          <w:rFonts w:cs="Arial"/>
          <w:color w:val="000000" w:themeColor="text1"/>
          <w:sz w:val="26"/>
          <w:szCs w:val="26"/>
          <w:lang w:val="es-ES"/>
        </w:rPr>
        <w:t xml:space="preserve"> de seguridad </w:t>
      </w:r>
      <w:r w:rsidR="00AD0C84" w:rsidRPr="00234490">
        <w:rPr>
          <w:rFonts w:cs="Arial"/>
          <w:color w:val="000000" w:themeColor="text1"/>
          <w:sz w:val="26"/>
          <w:szCs w:val="26"/>
          <w:lang w:val="es-ES"/>
        </w:rPr>
        <w:t xml:space="preserve">y personal de atención al cliente </w:t>
      </w:r>
      <w:r w:rsidR="006D1C9C" w:rsidRPr="00234490">
        <w:rPr>
          <w:rFonts w:cs="Arial"/>
          <w:color w:val="000000" w:themeColor="text1"/>
          <w:sz w:val="26"/>
          <w:szCs w:val="26"/>
          <w:lang w:val="es-ES"/>
        </w:rPr>
        <w:t>del centro comercial</w:t>
      </w:r>
      <w:r w:rsidR="00AD0C84" w:rsidRPr="00234490">
        <w:rPr>
          <w:rFonts w:cs="Arial"/>
          <w:color w:val="000000" w:themeColor="text1"/>
          <w:sz w:val="26"/>
          <w:szCs w:val="26"/>
          <w:lang w:val="es-ES"/>
        </w:rPr>
        <w:t>, así como</w:t>
      </w:r>
      <w:r w:rsidR="006D1C9C" w:rsidRPr="00234490">
        <w:rPr>
          <w:rFonts w:cs="Arial"/>
          <w:color w:val="000000" w:themeColor="text1"/>
          <w:sz w:val="26"/>
          <w:szCs w:val="26"/>
          <w:lang w:val="es-ES"/>
        </w:rPr>
        <w:t xml:space="preserve"> </w:t>
      </w:r>
      <w:r w:rsidR="00AD0C84" w:rsidRPr="00234490">
        <w:rPr>
          <w:rFonts w:cs="Arial"/>
          <w:color w:val="000000" w:themeColor="text1"/>
          <w:sz w:val="26"/>
          <w:szCs w:val="26"/>
          <w:lang w:val="es-ES"/>
        </w:rPr>
        <w:t xml:space="preserve">de </w:t>
      </w:r>
      <w:r w:rsidR="00562E7C" w:rsidRPr="00234490">
        <w:rPr>
          <w:rFonts w:cs="Arial"/>
          <w:color w:val="000000" w:themeColor="text1"/>
          <w:sz w:val="26"/>
          <w:szCs w:val="26"/>
          <w:lang w:val="es-ES"/>
        </w:rPr>
        <w:t>disuadir</w:t>
      </w:r>
      <w:r w:rsidR="006D1C9C" w:rsidRPr="00234490">
        <w:rPr>
          <w:rFonts w:cs="Arial"/>
          <w:color w:val="000000" w:themeColor="text1"/>
          <w:sz w:val="26"/>
          <w:szCs w:val="26"/>
          <w:lang w:val="es-ES"/>
        </w:rPr>
        <w:t xml:space="preserve"> la reincidencia de actos similares</w:t>
      </w:r>
      <w:r w:rsidR="00E61080" w:rsidRPr="00234490">
        <w:rPr>
          <w:rFonts w:cs="Arial"/>
          <w:color w:val="000000" w:themeColor="text1"/>
          <w:sz w:val="26"/>
          <w:szCs w:val="26"/>
          <w:lang w:val="es-ES"/>
        </w:rPr>
        <w:t xml:space="preserve"> en perjuicio de los miembros de la </w:t>
      </w:r>
      <w:r w:rsidR="006C781B" w:rsidRPr="00234490">
        <w:rPr>
          <w:rFonts w:cs="Arial"/>
          <w:color w:val="000000" w:themeColor="text1"/>
          <w:sz w:val="26"/>
          <w:szCs w:val="26"/>
          <w:lang w:val="es-ES"/>
        </w:rPr>
        <w:t>población</w:t>
      </w:r>
      <w:r w:rsidR="00E61080" w:rsidRPr="00234490">
        <w:rPr>
          <w:rFonts w:cs="Arial"/>
          <w:color w:val="000000" w:themeColor="text1"/>
          <w:sz w:val="26"/>
          <w:szCs w:val="26"/>
          <w:lang w:val="es-ES"/>
        </w:rPr>
        <w:t xml:space="preserve"> LGBTI</w:t>
      </w:r>
      <w:r w:rsidR="00061CCA" w:rsidRPr="00234490">
        <w:rPr>
          <w:rFonts w:cs="Arial"/>
          <w:color w:val="000000" w:themeColor="text1"/>
          <w:sz w:val="26"/>
          <w:szCs w:val="26"/>
          <w:lang w:val="es-ES"/>
        </w:rPr>
        <w:t>Q</w:t>
      </w:r>
      <w:r w:rsidR="00E61080" w:rsidRPr="00234490">
        <w:rPr>
          <w:rFonts w:cs="Arial"/>
          <w:color w:val="000000" w:themeColor="text1"/>
          <w:sz w:val="26"/>
          <w:szCs w:val="26"/>
          <w:lang w:val="es-ES"/>
        </w:rPr>
        <w:t>+</w:t>
      </w:r>
      <w:r w:rsidR="00E61080" w:rsidRPr="003333B4">
        <w:rPr>
          <w:rFonts w:cs="Arial"/>
          <w:color w:val="000000" w:themeColor="text1"/>
          <w:sz w:val="26"/>
          <w:szCs w:val="26"/>
          <w:lang w:val="es-ES"/>
        </w:rPr>
        <w:t xml:space="preserve"> y, sobre todo, de las personas trans</w:t>
      </w:r>
      <w:r w:rsidR="00525E9F" w:rsidRPr="003333B4">
        <w:rPr>
          <w:rFonts w:cs="Arial"/>
          <w:color w:val="000000" w:themeColor="text1"/>
          <w:sz w:val="26"/>
          <w:szCs w:val="26"/>
          <w:lang w:val="es-ES"/>
        </w:rPr>
        <w:t>; ello, con miras a</w:t>
      </w:r>
      <w:r w:rsidR="006A061C" w:rsidRPr="003333B4">
        <w:rPr>
          <w:rFonts w:cs="Arial"/>
          <w:color w:val="000000" w:themeColor="text1"/>
          <w:sz w:val="26"/>
          <w:szCs w:val="26"/>
          <w:lang w:val="es-ES"/>
        </w:rPr>
        <w:t xml:space="preserve"> que </w:t>
      </w:r>
      <w:r w:rsidR="00DB232D" w:rsidRPr="003333B4">
        <w:rPr>
          <w:rFonts w:cs="Arial"/>
          <w:color w:val="000000" w:themeColor="text1"/>
          <w:sz w:val="26"/>
          <w:szCs w:val="26"/>
          <w:lang w:val="es-ES"/>
        </w:rPr>
        <w:t>las</w:t>
      </w:r>
      <w:r w:rsidR="006A061C" w:rsidRPr="003333B4">
        <w:rPr>
          <w:rFonts w:cs="Arial"/>
          <w:color w:val="000000" w:themeColor="text1"/>
          <w:sz w:val="26"/>
          <w:szCs w:val="26"/>
          <w:lang w:val="es-ES"/>
        </w:rPr>
        <w:t xml:space="preserve"> personas puedan acceder de forma segura a </w:t>
      </w:r>
      <w:r w:rsidR="00912D03" w:rsidRPr="003333B4">
        <w:rPr>
          <w:rFonts w:cs="Arial"/>
          <w:color w:val="000000" w:themeColor="text1"/>
          <w:sz w:val="26"/>
          <w:szCs w:val="26"/>
          <w:lang w:val="es-ES"/>
        </w:rPr>
        <w:t xml:space="preserve">espacios como </w:t>
      </w:r>
      <w:r w:rsidR="00DB232D" w:rsidRPr="003333B4">
        <w:rPr>
          <w:rFonts w:cs="Arial"/>
          <w:color w:val="000000" w:themeColor="text1"/>
          <w:sz w:val="26"/>
          <w:szCs w:val="26"/>
          <w:lang w:val="es-ES"/>
        </w:rPr>
        <w:t xml:space="preserve">centros comerciales </w:t>
      </w:r>
      <w:r w:rsidR="006A061C" w:rsidRPr="003333B4">
        <w:rPr>
          <w:rFonts w:cs="Arial"/>
          <w:color w:val="000000" w:themeColor="text1"/>
          <w:sz w:val="26"/>
          <w:szCs w:val="26"/>
          <w:lang w:val="es-ES"/>
        </w:rPr>
        <w:t>y san</w:t>
      </w:r>
      <w:r w:rsidR="006A061C" w:rsidRPr="00AE16BE">
        <w:rPr>
          <w:rFonts w:cs="Arial"/>
          <w:color w:val="000000" w:themeColor="text1"/>
          <w:sz w:val="26"/>
          <w:szCs w:val="26"/>
          <w:lang w:val="es-ES"/>
        </w:rPr>
        <w:t>itarios</w:t>
      </w:r>
      <w:r w:rsidR="00912D03" w:rsidRPr="00AE16BE">
        <w:rPr>
          <w:rFonts w:cs="Arial"/>
          <w:color w:val="000000" w:themeColor="text1"/>
          <w:sz w:val="26"/>
          <w:szCs w:val="26"/>
          <w:lang w:val="es-ES"/>
        </w:rPr>
        <w:t xml:space="preserve"> públicos, en un entorno libre de violencia y discriminación</w:t>
      </w:r>
      <w:r w:rsidR="009F38D6">
        <w:rPr>
          <w:rStyle w:val="Refdenotaalpie"/>
          <w:rFonts w:cs="Arial"/>
          <w:color w:val="000000" w:themeColor="text1"/>
          <w:sz w:val="26"/>
          <w:szCs w:val="26"/>
          <w:lang w:val="es-ES"/>
        </w:rPr>
        <w:footnoteReference w:id="151"/>
      </w:r>
      <w:r w:rsidR="006D1C9C" w:rsidRPr="00AE16BE">
        <w:rPr>
          <w:rFonts w:cs="Arial"/>
          <w:color w:val="000000" w:themeColor="text1"/>
          <w:sz w:val="26"/>
          <w:szCs w:val="26"/>
          <w:lang w:val="es-ES"/>
        </w:rPr>
        <w:t>.</w:t>
      </w:r>
      <w:r w:rsidR="00AE16BE" w:rsidRPr="00AE16BE">
        <w:rPr>
          <w:rFonts w:cs="Arial"/>
          <w:color w:val="000000" w:themeColor="text1"/>
          <w:sz w:val="26"/>
          <w:szCs w:val="26"/>
          <w:lang w:val="es-ES"/>
        </w:rPr>
        <w:t xml:space="preserve"> </w:t>
      </w:r>
      <w:r w:rsidR="005C76C5" w:rsidRPr="00AE16BE">
        <w:rPr>
          <w:rFonts w:cs="Arial"/>
          <w:color w:val="000000" w:themeColor="text1"/>
          <w:sz w:val="26"/>
          <w:szCs w:val="26"/>
          <w:lang w:val="es-ES"/>
        </w:rPr>
        <w:t xml:space="preserve">Esta faceta punitiva de la indemnización </w:t>
      </w:r>
      <w:r w:rsidR="00535838" w:rsidRPr="00AE16BE">
        <w:rPr>
          <w:rFonts w:cs="Arial"/>
          <w:color w:val="000000" w:themeColor="text1"/>
          <w:sz w:val="26"/>
          <w:szCs w:val="26"/>
          <w:lang w:val="es-ES"/>
        </w:rPr>
        <w:t>también podrá</w:t>
      </w:r>
      <w:r w:rsidR="006D1C9C" w:rsidRPr="00AE16BE">
        <w:rPr>
          <w:rFonts w:cs="Arial"/>
          <w:color w:val="000000" w:themeColor="text1"/>
          <w:sz w:val="26"/>
          <w:szCs w:val="26"/>
          <w:lang w:val="es-ES"/>
        </w:rPr>
        <w:t xml:space="preserve"> incentiva</w:t>
      </w:r>
      <w:r w:rsidR="00535838" w:rsidRPr="00AE16BE">
        <w:rPr>
          <w:rFonts w:cs="Arial"/>
          <w:color w:val="000000" w:themeColor="text1"/>
          <w:sz w:val="26"/>
          <w:szCs w:val="26"/>
          <w:lang w:val="es-ES"/>
        </w:rPr>
        <w:t>r</w:t>
      </w:r>
      <w:r w:rsidR="006D1C9C" w:rsidRPr="00AE16BE">
        <w:rPr>
          <w:rFonts w:cs="Arial"/>
          <w:color w:val="000000" w:themeColor="text1"/>
          <w:sz w:val="26"/>
          <w:szCs w:val="26"/>
          <w:lang w:val="es-ES"/>
        </w:rPr>
        <w:t xml:space="preserve"> </w:t>
      </w:r>
      <w:r w:rsidR="00DE79E5" w:rsidRPr="00AE16BE">
        <w:rPr>
          <w:rFonts w:cs="Arial"/>
          <w:color w:val="000000" w:themeColor="text1"/>
          <w:sz w:val="26"/>
          <w:szCs w:val="26"/>
          <w:lang w:val="es-ES"/>
        </w:rPr>
        <w:t xml:space="preserve">a las responsables a </w:t>
      </w:r>
      <w:r w:rsidR="006D1C9C" w:rsidRPr="00AE16BE">
        <w:rPr>
          <w:rFonts w:cs="Arial"/>
          <w:color w:val="000000" w:themeColor="text1"/>
          <w:sz w:val="26"/>
          <w:szCs w:val="26"/>
          <w:lang w:val="es-ES"/>
        </w:rPr>
        <w:t xml:space="preserve">la adopción de </w:t>
      </w:r>
      <w:r w:rsidR="00535838" w:rsidRPr="00AE16BE">
        <w:rPr>
          <w:rFonts w:cs="Arial"/>
          <w:color w:val="000000" w:themeColor="text1"/>
          <w:sz w:val="26"/>
          <w:szCs w:val="26"/>
          <w:lang w:val="es-ES"/>
        </w:rPr>
        <w:t>políticas antidiscriminatorias,</w:t>
      </w:r>
      <w:r w:rsidR="006D1C9C" w:rsidRPr="00AE16BE">
        <w:rPr>
          <w:rFonts w:cs="Arial"/>
          <w:color w:val="000000" w:themeColor="text1"/>
          <w:sz w:val="26"/>
          <w:szCs w:val="26"/>
          <w:lang w:val="es-ES"/>
        </w:rPr>
        <w:t xml:space="preserve"> </w:t>
      </w:r>
      <w:r w:rsidR="00535838" w:rsidRPr="00AE16BE">
        <w:rPr>
          <w:rFonts w:cs="Arial"/>
          <w:color w:val="000000" w:themeColor="text1"/>
          <w:sz w:val="26"/>
          <w:szCs w:val="26"/>
          <w:lang w:val="es-ES"/>
        </w:rPr>
        <w:t>protocolos de actuación,</w:t>
      </w:r>
      <w:r w:rsidR="0026136C" w:rsidRPr="00AE16BE">
        <w:rPr>
          <w:rFonts w:cs="Arial"/>
          <w:color w:val="000000" w:themeColor="text1"/>
          <w:sz w:val="26"/>
          <w:szCs w:val="26"/>
          <w:lang w:val="es-ES"/>
        </w:rPr>
        <w:t xml:space="preserve"> fortalecimiento de </w:t>
      </w:r>
      <w:r w:rsidR="0026136C" w:rsidRPr="00AE16BE">
        <w:rPr>
          <w:rFonts w:cs="Arial"/>
          <w:color w:val="000000" w:themeColor="text1"/>
          <w:sz w:val="26"/>
          <w:szCs w:val="26"/>
          <w:lang w:val="es-ES"/>
        </w:rPr>
        <w:lastRenderedPageBreak/>
        <w:t>mecanismos internos de denuncia</w:t>
      </w:r>
      <w:r w:rsidR="00DE79E5" w:rsidRPr="00AE16BE">
        <w:rPr>
          <w:rFonts w:cs="Arial"/>
          <w:color w:val="000000" w:themeColor="text1"/>
          <w:sz w:val="26"/>
          <w:szCs w:val="26"/>
          <w:lang w:val="es-ES"/>
        </w:rPr>
        <w:t xml:space="preserve"> </w:t>
      </w:r>
      <w:r w:rsidR="00535838" w:rsidRPr="00AE16BE">
        <w:rPr>
          <w:rFonts w:cs="Arial"/>
          <w:color w:val="000000" w:themeColor="text1"/>
          <w:sz w:val="26"/>
          <w:szCs w:val="26"/>
          <w:lang w:val="es-ES"/>
        </w:rPr>
        <w:t>o capacitaciones</w:t>
      </w:r>
      <w:r w:rsidR="00DE79E5" w:rsidRPr="00AE16BE">
        <w:rPr>
          <w:rFonts w:cs="Arial"/>
          <w:color w:val="000000" w:themeColor="text1"/>
          <w:sz w:val="26"/>
          <w:szCs w:val="26"/>
          <w:lang w:val="es-ES"/>
        </w:rPr>
        <w:t xml:space="preserve"> del personal</w:t>
      </w:r>
      <w:r w:rsidR="00535838" w:rsidRPr="00AE16BE">
        <w:rPr>
          <w:rFonts w:cs="Arial"/>
          <w:color w:val="000000" w:themeColor="text1"/>
          <w:sz w:val="26"/>
          <w:szCs w:val="26"/>
          <w:lang w:val="es-ES"/>
        </w:rPr>
        <w:t xml:space="preserve">, por ejemplo, </w:t>
      </w:r>
      <w:r w:rsidR="006D1C9C" w:rsidRPr="00AE16BE">
        <w:rPr>
          <w:rFonts w:cs="Arial"/>
          <w:color w:val="000000" w:themeColor="text1"/>
          <w:sz w:val="26"/>
          <w:szCs w:val="26"/>
          <w:lang w:val="es-ES"/>
        </w:rPr>
        <w:t>para evitar que</w:t>
      </w:r>
      <w:r w:rsidR="00535838" w:rsidRPr="00AE16BE">
        <w:rPr>
          <w:rFonts w:cs="Arial"/>
          <w:color w:val="000000" w:themeColor="text1"/>
          <w:sz w:val="26"/>
          <w:szCs w:val="26"/>
          <w:lang w:val="es-ES"/>
        </w:rPr>
        <w:t xml:space="preserve"> este tipo de hechos</w:t>
      </w:r>
      <w:r w:rsidR="006D1C9C" w:rsidRPr="00AE16BE">
        <w:rPr>
          <w:rFonts w:cs="Arial"/>
          <w:color w:val="000000" w:themeColor="text1"/>
          <w:sz w:val="26"/>
          <w:szCs w:val="26"/>
          <w:lang w:val="es-ES"/>
        </w:rPr>
        <w:t xml:space="preserve"> vuelvan a ocurrir.</w:t>
      </w:r>
      <w:r w:rsidR="0026136C" w:rsidRPr="00AE16BE">
        <w:rPr>
          <w:rFonts w:cs="Arial"/>
          <w:color w:val="000000" w:themeColor="text1"/>
          <w:sz w:val="26"/>
          <w:szCs w:val="26"/>
          <w:lang w:val="es-ES"/>
        </w:rPr>
        <w:t xml:space="preserve"> </w:t>
      </w:r>
    </w:p>
    <w:p w14:paraId="6A1C8F1A" w14:textId="77777777" w:rsidR="002136F0" w:rsidRPr="00AE16BE" w:rsidRDefault="002136F0" w:rsidP="00263912">
      <w:pPr>
        <w:pStyle w:val="corte4fondo"/>
        <w:ind w:right="51" w:hanging="567"/>
        <w:rPr>
          <w:rFonts w:cs="Arial"/>
          <w:color w:val="000000" w:themeColor="text1"/>
          <w:sz w:val="26"/>
          <w:szCs w:val="26"/>
          <w:lang w:val="es-ES"/>
        </w:rPr>
      </w:pPr>
    </w:p>
    <w:p w14:paraId="2C0B11AF" w14:textId="5DE61F5E" w:rsidR="002136F0" w:rsidRPr="00084B3E" w:rsidRDefault="002136F0" w:rsidP="00263912">
      <w:pPr>
        <w:pStyle w:val="corte4fondo"/>
        <w:numPr>
          <w:ilvl w:val="0"/>
          <w:numId w:val="2"/>
        </w:numPr>
        <w:ind w:left="0" w:right="51" w:hanging="567"/>
        <w:rPr>
          <w:rFonts w:cs="Arial"/>
          <w:color w:val="000000" w:themeColor="text1"/>
          <w:sz w:val="26"/>
          <w:szCs w:val="26"/>
          <w:lang w:val="es-ES"/>
        </w:rPr>
      </w:pPr>
      <w:r w:rsidRPr="00084B3E">
        <w:rPr>
          <w:rFonts w:cs="Arial"/>
          <w:color w:val="000000" w:themeColor="text1"/>
          <w:sz w:val="26"/>
          <w:szCs w:val="26"/>
          <w:lang w:val="es-ES"/>
        </w:rPr>
        <w:t xml:space="preserve">En suma, </w:t>
      </w:r>
      <w:r w:rsidR="00164E69">
        <w:rPr>
          <w:rFonts w:cs="Arial"/>
          <w:color w:val="000000" w:themeColor="text1"/>
          <w:sz w:val="26"/>
          <w:szCs w:val="26"/>
          <w:lang w:val="es-ES"/>
        </w:rPr>
        <w:t>est</w:t>
      </w:r>
      <w:r w:rsidR="00A32517">
        <w:rPr>
          <w:rFonts w:cs="Arial"/>
          <w:color w:val="000000" w:themeColor="text1"/>
          <w:sz w:val="26"/>
          <w:szCs w:val="26"/>
          <w:lang w:val="es-ES"/>
        </w:rPr>
        <w:t>a Primera Sala</w:t>
      </w:r>
      <w:r w:rsidRPr="00084B3E">
        <w:rPr>
          <w:rFonts w:cs="Arial"/>
          <w:color w:val="000000" w:themeColor="text1"/>
          <w:sz w:val="26"/>
          <w:szCs w:val="26"/>
          <w:lang w:val="es-ES"/>
        </w:rPr>
        <w:t xml:space="preserve"> concluye que</w:t>
      </w:r>
      <w:r w:rsidR="00084B3E" w:rsidRPr="00084B3E">
        <w:rPr>
          <w:rFonts w:cs="Arial"/>
          <w:color w:val="000000" w:themeColor="text1"/>
          <w:sz w:val="26"/>
          <w:szCs w:val="26"/>
          <w:lang w:val="es-ES"/>
        </w:rPr>
        <w:t xml:space="preserve"> en el caso </w:t>
      </w:r>
      <w:r w:rsidR="000C456B">
        <w:rPr>
          <w:rFonts w:cs="Arial"/>
          <w:color w:val="000000" w:themeColor="text1"/>
          <w:sz w:val="26"/>
          <w:szCs w:val="26"/>
          <w:lang w:val="es-ES"/>
        </w:rPr>
        <w:t xml:space="preserve">procede </w:t>
      </w:r>
      <w:r w:rsidR="00084B3E" w:rsidRPr="00084B3E">
        <w:rPr>
          <w:rFonts w:cs="Arial"/>
          <w:color w:val="000000" w:themeColor="text1"/>
          <w:sz w:val="26"/>
          <w:szCs w:val="26"/>
          <w:lang w:val="es-ES"/>
        </w:rPr>
        <w:t>una</w:t>
      </w:r>
      <w:r w:rsidRPr="00084B3E">
        <w:rPr>
          <w:rFonts w:cs="Arial"/>
          <w:color w:val="000000" w:themeColor="text1"/>
          <w:sz w:val="26"/>
          <w:szCs w:val="26"/>
          <w:lang w:val="es-ES"/>
        </w:rPr>
        <w:t xml:space="preserve"> indemnización </w:t>
      </w:r>
      <w:r w:rsidR="00084B3E" w:rsidRPr="00084B3E">
        <w:rPr>
          <w:rFonts w:cs="Arial"/>
          <w:color w:val="000000" w:themeColor="text1"/>
          <w:sz w:val="26"/>
          <w:szCs w:val="26"/>
          <w:lang w:val="es-ES"/>
        </w:rPr>
        <w:t xml:space="preserve">a cargo de las personas </w:t>
      </w:r>
      <w:r w:rsidR="00084B3E" w:rsidRPr="00A36289">
        <w:rPr>
          <w:rFonts w:cs="Arial"/>
          <w:sz w:val="26"/>
          <w:szCs w:val="26"/>
          <w:lang w:val="es-ES"/>
        </w:rPr>
        <w:t>morales Protección Privada 2010 y Reforma 222 por los hechos ocurridos el 25 de noviembre de 2015 en el centro comercial</w:t>
      </w:r>
      <w:r w:rsidR="009629F7" w:rsidRPr="00A36289">
        <w:rPr>
          <w:rFonts w:cs="Arial"/>
          <w:sz w:val="26"/>
          <w:szCs w:val="26"/>
          <w:lang w:val="es-ES"/>
        </w:rPr>
        <w:t xml:space="preserve"> “Reforma 222”</w:t>
      </w:r>
      <w:r w:rsidR="0016303F" w:rsidRPr="00A36289">
        <w:rPr>
          <w:rFonts w:cs="Arial"/>
          <w:sz w:val="26"/>
          <w:szCs w:val="26"/>
          <w:lang w:val="es-ES"/>
        </w:rPr>
        <w:t xml:space="preserve">. Esta </w:t>
      </w:r>
      <w:r w:rsidR="00084B3E" w:rsidRPr="00A36289">
        <w:rPr>
          <w:rFonts w:cs="Arial"/>
          <w:sz w:val="26"/>
          <w:szCs w:val="26"/>
          <w:lang w:val="es-ES"/>
        </w:rPr>
        <w:t xml:space="preserve">indemnización </w:t>
      </w:r>
      <w:r w:rsidR="00084B3E" w:rsidRPr="00084B3E">
        <w:rPr>
          <w:rFonts w:cs="Arial"/>
          <w:color w:val="000000" w:themeColor="text1"/>
          <w:sz w:val="26"/>
          <w:szCs w:val="26"/>
          <w:lang w:val="es-ES"/>
        </w:rPr>
        <w:t xml:space="preserve">no </w:t>
      </w:r>
      <w:r w:rsidRPr="00084B3E">
        <w:rPr>
          <w:rFonts w:cs="Arial"/>
          <w:color w:val="000000" w:themeColor="text1"/>
          <w:sz w:val="26"/>
          <w:szCs w:val="26"/>
          <w:lang w:val="es-ES"/>
        </w:rPr>
        <w:t>sólo deberá reparar el daño moral sufrido por las víctimas y hoy quejosas, sino también sancionar y desincentivar a las responsables de cometer hechos discriminatorios en perjuicio de personas trans, como los ocurridos en el caso.</w:t>
      </w:r>
    </w:p>
    <w:p w14:paraId="0D90C0FF" w14:textId="5CC30885" w:rsidR="00111611" w:rsidRPr="00084B3E" w:rsidRDefault="00111611" w:rsidP="00263912">
      <w:pPr>
        <w:pStyle w:val="corte4fondo"/>
        <w:ind w:right="51" w:hanging="567"/>
        <w:rPr>
          <w:rFonts w:cs="Arial"/>
          <w:sz w:val="26"/>
          <w:szCs w:val="26"/>
          <w:lang w:val="es-ES"/>
        </w:rPr>
      </w:pPr>
    </w:p>
    <w:p w14:paraId="4D8FF03E" w14:textId="06D5F60E" w:rsidR="00A64C25" w:rsidRPr="00C944F3" w:rsidRDefault="002136F0" w:rsidP="00263912">
      <w:pPr>
        <w:pStyle w:val="corte4fondo"/>
        <w:numPr>
          <w:ilvl w:val="0"/>
          <w:numId w:val="2"/>
        </w:numPr>
        <w:spacing w:after="240"/>
        <w:ind w:left="0" w:right="51" w:hanging="567"/>
        <w:rPr>
          <w:rFonts w:cs="Arial"/>
          <w:sz w:val="26"/>
          <w:szCs w:val="26"/>
          <w:lang w:val="es-ES"/>
        </w:rPr>
      </w:pPr>
      <w:r w:rsidRPr="00084B3E">
        <w:rPr>
          <w:rFonts w:cs="Arial"/>
          <w:color w:val="000000" w:themeColor="text1"/>
          <w:sz w:val="26"/>
          <w:szCs w:val="26"/>
          <w:lang w:val="es-ES"/>
        </w:rPr>
        <w:t xml:space="preserve">Por todo lo </w:t>
      </w:r>
      <w:r w:rsidR="00084B3E" w:rsidRPr="00084B3E">
        <w:rPr>
          <w:rFonts w:cs="Arial"/>
          <w:color w:val="000000" w:themeColor="text1"/>
          <w:sz w:val="26"/>
          <w:szCs w:val="26"/>
          <w:lang w:val="es-ES"/>
        </w:rPr>
        <w:t xml:space="preserve">antes </w:t>
      </w:r>
      <w:r w:rsidR="00084B3E" w:rsidRPr="00C944F3">
        <w:rPr>
          <w:rFonts w:cs="Arial"/>
          <w:color w:val="000000" w:themeColor="text1"/>
          <w:sz w:val="26"/>
          <w:szCs w:val="26"/>
          <w:lang w:val="es-ES"/>
        </w:rPr>
        <w:t>determinado</w:t>
      </w:r>
      <w:r w:rsidRPr="00C944F3">
        <w:rPr>
          <w:rFonts w:cs="Arial"/>
          <w:color w:val="000000" w:themeColor="text1"/>
          <w:sz w:val="26"/>
          <w:szCs w:val="26"/>
          <w:lang w:val="es-ES"/>
        </w:rPr>
        <w:t xml:space="preserve">, </w:t>
      </w:r>
      <w:r w:rsidR="00084B3E" w:rsidRPr="00C944F3">
        <w:rPr>
          <w:rFonts w:cs="Arial"/>
          <w:color w:val="000000" w:themeColor="text1"/>
          <w:sz w:val="26"/>
          <w:szCs w:val="26"/>
        </w:rPr>
        <w:t>al resultar fundados los primeros tres conceptos de violación de las quejosas,</w:t>
      </w:r>
      <w:r w:rsidR="005473EA" w:rsidRPr="00C944F3">
        <w:rPr>
          <w:rFonts w:cs="Arial"/>
          <w:sz w:val="26"/>
          <w:szCs w:val="26"/>
          <w:lang w:val="es-ES"/>
        </w:rPr>
        <w:t xml:space="preserve"> </w:t>
      </w:r>
      <w:r w:rsidR="00A64C25" w:rsidRPr="00C944F3">
        <w:rPr>
          <w:rFonts w:cs="Arial"/>
          <w:sz w:val="26"/>
          <w:szCs w:val="26"/>
          <w:lang w:val="es-ES"/>
        </w:rPr>
        <w:t>esta</w:t>
      </w:r>
      <w:r w:rsidR="008E4A13" w:rsidRPr="00C944F3">
        <w:rPr>
          <w:rFonts w:cs="Arial"/>
          <w:color w:val="000000" w:themeColor="text1"/>
          <w:sz w:val="26"/>
          <w:szCs w:val="26"/>
        </w:rPr>
        <w:t xml:space="preserve"> Primera Sala de la Suprema Corte de Justicia de la Nación </w:t>
      </w:r>
      <w:r w:rsidR="00A64C25" w:rsidRPr="00C944F3">
        <w:rPr>
          <w:rFonts w:cs="Arial"/>
          <w:color w:val="000000" w:themeColor="text1"/>
          <w:sz w:val="26"/>
          <w:szCs w:val="26"/>
        </w:rPr>
        <w:t>c</w:t>
      </w:r>
      <w:r w:rsidR="009629F7" w:rsidRPr="00C944F3">
        <w:rPr>
          <w:rFonts w:cs="Arial"/>
          <w:color w:val="000000" w:themeColor="text1"/>
          <w:sz w:val="26"/>
          <w:szCs w:val="26"/>
        </w:rPr>
        <w:t>oncede</w:t>
      </w:r>
      <w:r w:rsidR="008E4A13" w:rsidRPr="00C944F3">
        <w:rPr>
          <w:rFonts w:cs="Arial"/>
          <w:color w:val="000000" w:themeColor="text1"/>
          <w:sz w:val="26"/>
          <w:szCs w:val="26"/>
        </w:rPr>
        <w:t xml:space="preserve"> el amparo y protección de la </w:t>
      </w:r>
      <w:r w:rsidR="00170FBC">
        <w:rPr>
          <w:rFonts w:cs="Arial"/>
          <w:color w:val="000000" w:themeColor="text1"/>
          <w:sz w:val="26"/>
          <w:szCs w:val="26"/>
        </w:rPr>
        <w:t>J</w:t>
      </w:r>
      <w:r w:rsidR="008E4A13" w:rsidRPr="00C944F3">
        <w:rPr>
          <w:rFonts w:cs="Arial"/>
          <w:color w:val="000000" w:themeColor="text1"/>
          <w:sz w:val="26"/>
          <w:szCs w:val="26"/>
        </w:rPr>
        <w:t xml:space="preserve">usticia </w:t>
      </w:r>
      <w:r w:rsidR="00170FBC">
        <w:rPr>
          <w:rFonts w:cs="Arial"/>
          <w:color w:val="000000" w:themeColor="text1"/>
          <w:sz w:val="26"/>
          <w:szCs w:val="26"/>
        </w:rPr>
        <w:t>de la Unión</w:t>
      </w:r>
      <w:r w:rsidR="008E4A13" w:rsidRPr="00C944F3">
        <w:rPr>
          <w:rFonts w:cs="Arial"/>
          <w:color w:val="000000" w:themeColor="text1"/>
          <w:sz w:val="26"/>
          <w:szCs w:val="26"/>
        </w:rPr>
        <w:t xml:space="preserve">, para el efecto de que la sala responsable: </w:t>
      </w:r>
    </w:p>
    <w:p w14:paraId="47EC63CB" w14:textId="77777777" w:rsidR="008E4A13" w:rsidRPr="00C944F3" w:rsidRDefault="008E4A13" w:rsidP="00FB03F8">
      <w:pPr>
        <w:pStyle w:val="Textoindependiente"/>
        <w:numPr>
          <w:ilvl w:val="0"/>
          <w:numId w:val="40"/>
        </w:numPr>
        <w:tabs>
          <w:tab w:val="left" w:pos="0"/>
        </w:tabs>
        <w:spacing w:line="360" w:lineRule="auto"/>
        <w:ind w:left="567" w:right="391"/>
        <w:jc w:val="both"/>
        <w:rPr>
          <w:rFonts w:cs="Arial"/>
          <w:color w:val="000000" w:themeColor="text1"/>
          <w:lang w:val="es-ES_tradnl"/>
        </w:rPr>
      </w:pPr>
      <w:r w:rsidRPr="00C944F3">
        <w:rPr>
          <w:rFonts w:cs="Arial"/>
          <w:color w:val="000000" w:themeColor="text1"/>
          <w:lang w:val="es-ES_tradnl"/>
        </w:rPr>
        <w:t xml:space="preserve">Deje insubsistente la sentencia reclamada. </w:t>
      </w:r>
    </w:p>
    <w:p w14:paraId="52BD3265" w14:textId="77777777" w:rsidR="008E4A13" w:rsidRPr="00C944F3" w:rsidRDefault="008E4A13" w:rsidP="00FB03F8">
      <w:pPr>
        <w:pStyle w:val="Textoindependiente"/>
        <w:numPr>
          <w:ilvl w:val="0"/>
          <w:numId w:val="40"/>
        </w:numPr>
        <w:tabs>
          <w:tab w:val="left" w:pos="0"/>
        </w:tabs>
        <w:spacing w:line="360" w:lineRule="auto"/>
        <w:ind w:left="567" w:right="391"/>
        <w:jc w:val="both"/>
        <w:rPr>
          <w:rFonts w:cs="Arial"/>
          <w:color w:val="000000" w:themeColor="text1"/>
          <w:lang w:val="es-ES_tradnl"/>
        </w:rPr>
      </w:pPr>
      <w:r w:rsidRPr="00C944F3">
        <w:rPr>
          <w:rFonts w:cs="Arial"/>
          <w:color w:val="000000" w:themeColor="text1"/>
          <w:lang w:val="es-ES_tradnl"/>
        </w:rPr>
        <w:t>Emita una nueva sentencia en la que, con base en lo aquí resuelto, concluya que:</w:t>
      </w:r>
    </w:p>
    <w:p w14:paraId="623A227F" w14:textId="2DF69583" w:rsidR="00287497" w:rsidRPr="00261257" w:rsidRDefault="005321A5" w:rsidP="00FB03F8">
      <w:pPr>
        <w:pStyle w:val="Textoindependiente"/>
        <w:numPr>
          <w:ilvl w:val="1"/>
          <w:numId w:val="40"/>
        </w:numPr>
        <w:tabs>
          <w:tab w:val="left" w:pos="0"/>
        </w:tabs>
        <w:spacing w:line="360" w:lineRule="auto"/>
        <w:ind w:left="993" w:right="391"/>
        <w:jc w:val="both"/>
        <w:rPr>
          <w:rFonts w:cs="Arial"/>
          <w:color w:val="000000" w:themeColor="text1"/>
          <w:lang w:val="es-ES_tradnl"/>
        </w:rPr>
      </w:pPr>
      <w:r w:rsidRPr="00A36289">
        <w:rPr>
          <w:rFonts w:cs="Arial"/>
          <w:lang w:val="es-ES"/>
        </w:rPr>
        <w:t>El 25 de noviembre de 2015, e</w:t>
      </w:r>
      <w:r w:rsidR="00987FA5" w:rsidRPr="00A36289">
        <w:rPr>
          <w:rFonts w:cs="Arial"/>
          <w:lang w:val="es-MX"/>
        </w:rPr>
        <w:t xml:space="preserve">l personal de seguridad </w:t>
      </w:r>
      <w:r w:rsidR="00287497" w:rsidRPr="00A36289">
        <w:rPr>
          <w:rFonts w:cs="Arial"/>
          <w:lang w:val="es-MX"/>
        </w:rPr>
        <w:t xml:space="preserve">de </w:t>
      </w:r>
      <w:r w:rsidR="00287497" w:rsidRPr="00A36289">
        <w:rPr>
          <w:rFonts w:cs="Arial"/>
          <w:lang w:val="es-ES_tradnl"/>
        </w:rPr>
        <w:t>Protección Privada 2010, S</w:t>
      </w:r>
      <w:r w:rsidR="001A7B8D">
        <w:rPr>
          <w:rFonts w:cs="Arial"/>
          <w:lang w:val="es-ES_tradnl"/>
        </w:rPr>
        <w:t>ociedad</w:t>
      </w:r>
      <w:r w:rsidR="00287497" w:rsidRPr="00A36289">
        <w:rPr>
          <w:rFonts w:cs="Arial"/>
          <w:lang w:val="es-ES_tradnl"/>
        </w:rPr>
        <w:t xml:space="preserve"> de R</w:t>
      </w:r>
      <w:r w:rsidR="001A7B8D">
        <w:rPr>
          <w:rFonts w:cs="Arial"/>
          <w:lang w:val="es-ES_tradnl"/>
        </w:rPr>
        <w:t xml:space="preserve">esponsabilidad Limitada </w:t>
      </w:r>
      <w:r w:rsidR="00287497" w:rsidRPr="00A36289">
        <w:rPr>
          <w:rFonts w:cs="Arial"/>
          <w:lang w:val="es-ES_tradnl"/>
        </w:rPr>
        <w:t>de C</w:t>
      </w:r>
      <w:r w:rsidR="00313636">
        <w:rPr>
          <w:rFonts w:cs="Arial"/>
          <w:lang w:val="es-ES_tradnl"/>
        </w:rPr>
        <w:t>apital Variable</w:t>
      </w:r>
      <w:r w:rsidR="00287497" w:rsidRPr="00A36289">
        <w:rPr>
          <w:rFonts w:cs="Arial"/>
          <w:lang w:val="es-ES_tradnl"/>
        </w:rPr>
        <w:t xml:space="preserve"> </w:t>
      </w:r>
      <w:r w:rsidR="00987FA5" w:rsidRPr="00A36289">
        <w:rPr>
          <w:rFonts w:cs="Arial"/>
          <w:lang w:val="es-MX"/>
        </w:rPr>
        <w:t>cometió actos discriminatorios en el área de sanitarios</w:t>
      </w:r>
      <w:r w:rsidR="00287497" w:rsidRPr="00A36289">
        <w:rPr>
          <w:rFonts w:cs="Arial"/>
          <w:lang w:val="es-MX"/>
        </w:rPr>
        <w:t xml:space="preserve"> del centro comercial “Reforma 222”</w:t>
      </w:r>
      <w:r w:rsidR="00987FA5" w:rsidRPr="00A36289">
        <w:rPr>
          <w:rFonts w:cs="Arial"/>
          <w:lang w:val="es-MX"/>
        </w:rPr>
        <w:t xml:space="preserve"> en perjuicio de </w:t>
      </w:r>
      <w:r w:rsidR="00987FA5" w:rsidRPr="00261257">
        <w:rPr>
          <w:rFonts w:cs="Arial"/>
          <w:lang w:val="es-MX"/>
        </w:rPr>
        <w:t>la</w:t>
      </w:r>
      <w:r w:rsidR="004E5AC0" w:rsidRPr="00261257">
        <w:rPr>
          <w:rFonts w:cs="Arial"/>
          <w:lang w:val="es-MX"/>
        </w:rPr>
        <w:t xml:space="preserve"> señora</w:t>
      </w:r>
      <w:r w:rsidR="00987FA5" w:rsidRPr="00261257">
        <w:rPr>
          <w:rFonts w:cs="Arial"/>
          <w:lang w:val="es-MX"/>
        </w:rPr>
        <w:t xml:space="preserve"> </w:t>
      </w:r>
      <w:r w:rsidR="00E35449" w:rsidRPr="00261257">
        <w:rPr>
          <w:rFonts w:cs="Arial"/>
          <w:color w:val="FF0000"/>
          <w:lang w:val="es-MX"/>
        </w:rPr>
        <w:t>JM</w:t>
      </w:r>
      <w:r w:rsidR="00987FA5" w:rsidRPr="00261257">
        <w:rPr>
          <w:rFonts w:cs="Arial"/>
          <w:color w:val="FF0000"/>
          <w:lang w:val="es-ES"/>
        </w:rPr>
        <w:t>DF</w:t>
      </w:r>
      <w:r w:rsidR="004E5AC0" w:rsidRPr="00261257">
        <w:rPr>
          <w:rFonts w:cs="Arial"/>
          <w:lang w:val="es-ES"/>
        </w:rPr>
        <w:t xml:space="preserve">, </w:t>
      </w:r>
      <w:r w:rsidR="00555823" w:rsidRPr="00261257">
        <w:rPr>
          <w:rFonts w:cs="Arial"/>
          <w:lang w:val="es-ES"/>
        </w:rPr>
        <w:t>con</w:t>
      </w:r>
      <w:r w:rsidRPr="00261257">
        <w:rPr>
          <w:rFonts w:cs="Arial"/>
          <w:lang w:val="es-ES"/>
        </w:rPr>
        <w:t xml:space="preserve"> motivo de su identidad y expresión de género, </w:t>
      </w:r>
      <w:r w:rsidR="00DD1251" w:rsidRPr="00261257">
        <w:rPr>
          <w:rFonts w:cs="Arial"/>
          <w:lang w:val="es-ES"/>
        </w:rPr>
        <w:t>los cuales</w:t>
      </w:r>
      <w:r w:rsidR="00287497" w:rsidRPr="00261257">
        <w:rPr>
          <w:rFonts w:cs="Arial"/>
          <w:lang w:val="es-ES"/>
        </w:rPr>
        <w:t xml:space="preserve"> gener</w:t>
      </w:r>
      <w:r w:rsidR="00DD1251" w:rsidRPr="00261257">
        <w:rPr>
          <w:rFonts w:cs="Arial"/>
          <w:lang w:val="es-ES"/>
        </w:rPr>
        <w:t>aron</w:t>
      </w:r>
      <w:r w:rsidR="00287497" w:rsidRPr="00261257">
        <w:rPr>
          <w:rFonts w:cs="Arial"/>
          <w:lang w:val="es-ES"/>
        </w:rPr>
        <w:t xml:space="preserve"> </w:t>
      </w:r>
      <w:r w:rsidR="00287497" w:rsidRPr="00261257">
        <w:rPr>
          <w:rFonts w:cs="Arial"/>
          <w:lang w:val="es-MX"/>
        </w:rPr>
        <w:t xml:space="preserve">un daño moral en la esfera de la señora </w:t>
      </w:r>
      <w:r w:rsidR="00287497" w:rsidRPr="00261257">
        <w:rPr>
          <w:rFonts w:cs="Arial"/>
          <w:color w:val="FF0000"/>
          <w:lang w:val="es-ES"/>
        </w:rPr>
        <w:t>DF</w:t>
      </w:r>
      <w:r w:rsidR="00287497" w:rsidRPr="00261257">
        <w:rPr>
          <w:rFonts w:cs="Arial"/>
          <w:color w:val="000000" w:themeColor="text1"/>
          <w:lang w:val="es-ES"/>
        </w:rPr>
        <w:t>.</w:t>
      </w:r>
    </w:p>
    <w:p w14:paraId="0E0836B7" w14:textId="57FDCF50" w:rsidR="00924EF8" w:rsidRPr="00261257" w:rsidRDefault="001B6A47" w:rsidP="00FB03F8">
      <w:pPr>
        <w:pStyle w:val="Textoindependiente"/>
        <w:numPr>
          <w:ilvl w:val="1"/>
          <w:numId w:val="40"/>
        </w:numPr>
        <w:tabs>
          <w:tab w:val="left" w:pos="0"/>
        </w:tabs>
        <w:spacing w:line="360" w:lineRule="auto"/>
        <w:ind w:left="993" w:right="391"/>
        <w:jc w:val="both"/>
        <w:rPr>
          <w:rFonts w:cs="Arial"/>
          <w:color w:val="000000" w:themeColor="text1"/>
          <w:lang w:val="es-ES_tradnl"/>
        </w:rPr>
      </w:pPr>
      <w:r w:rsidRPr="00261257">
        <w:rPr>
          <w:rFonts w:cs="Arial"/>
          <w:lang w:val="es-ES"/>
        </w:rPr>
        <w:t xml:space="preserve">El </w:t>
      </w:r>
      <w:r w:rsidR="00287497" w:rsidRPr="00261257">
        <w:rPr>
          <w:rFonts w:cs="Arial"/>
          <w:lang w:val="es-MX"/>
        </w:rPr>
        <w:t xml:space="preserve">personal de seguridad </w:t>
      </w:r>
      <w:r w:rsidR="00287497" w:rsidRPr="00A36289">
        <w:rPr>
          <w:rFonts w:cs="Arial"/>
          <w:lang w:val="es-MX"/>
        </w:rPr>
        <w:t xml:space="preserve">de </w:t>
      </w:r>
      <w:r w:rsidR="00287497" w:rsidRPr="00A36289">
        <w:rPr>
          <w:rFonts w:cs="Arial"/>
          <w:lang w:val="es-ES_tradnl"/>
        </w:rPr>
        <w:t>Protección Privada 2010, S</w:t>
      </w:r>
      <w:r w:rsidR="002F444A">
        <w:rPr>
          <w:rFonts w:cs="Arial"/>
          <w:lang w:val="es-ES_tradnl"/>
        </w:rPr>
        <w:t>ociedad</w:t>
      </w:r>
      <w:r w:rsidR="00287497" w:rsidRPr="00A36289">
        <w:rPr>
          <w:rFonts w:cs="Arial"/>
          <w:lang w:val="es-ES_tradnl"/>
        </w:rPr>
        <w:t xml:space="preserve"> de R</w:t>
      </w:r>
      <w:r w:rsidR="002F444A">
        <w:rPr>
          <w:rFonts w:cs="Arial"/>
          <w:lang w:val="es-ES_tradnl"/>
        </w:rPr>
        <w:t>esponsabilidad</w:t>
      </w:r>
      <w:r w:rsidR="00287497" w:rsidRPr="00A36289">
        <w:rPr>
          <w:rFonts w:cs="Arial"/>
          <w:lang w:val="es-ES_tradnl"/>
        </w:rPr>
        <w:t xml:space="preserve"> L</w:t>
      </w:r>
      <w:r w:rsidR="001D46A0">
        <w:rPr>
          <w:rFonts w:cs="Arial"/>
          <w:lang w:val="es-ES_tradnl"/>
        </w:rPr>
        <w:t>imitada</w:t>
      </w:r>
      <w:r w:rsidR="00287497" w:rsidRPr="00A36289">
        <w:rPr>
          <w:rFonts w:cs="Arial"/>
          <w:lang w:val="es-ES_tradnl"/>
        </w:rPr>
        <w:t xml:space="preserve"> de C</w:t>
      </w:r>
      <w:r w:rsidR="001D46A0">
        <w:rPr>
          <w:rFonts w:cs="Arial"/>
          <w:lang w:val="es-ES_tradnl"/>
        </w:rPr>
        <w:t xml:space="preserve">apital </w:t>
      </w:r>
      <w:r w:rsidR="00287497" w:rsidRPr="00A36289">
        <w:rPr>
          <w:rFonts w:cs="Arial"/>
          <w:lang w:val="es-ES_tradnl"/>
        </w:rPr>
        <w:t>V</w:t>
      </w:r>
      <w:r w:rsidR="001D46A0">
        <w:rPr>
          <w:rFonts w:cs="Arial"/>
          <w:lang w:val="es-ES_tradnl"/>
        </w:rPr>
        <w:t>ariable</w:t>
      </w:r>
      <w:r w:rsidR="00287497" w:rsidRPr="00A36289">
        <w:rPr>
          <w:rFonts w:cs="Arial"/>
          <w:lang w:val="es-ES_tradnl"/>
        </w:rPr>
        <w:t xml:space="preserve"> </w:t>
      </w:r>
      <w:r w:rsidR="004F5ED8" w:rsidRPr="00A36289">
        <w:rPr>
          <w:rFonts w:cs="Arial"/>
          <w:lang w:val="es-ES_tradnl"/>
        </w:rPr>
        <w:t xml:space="preserve">y el personal </w:t>
      </w:r>
      <w:r w:rsidR="004F5ED8" w:rsidRPr="00A36289">
        <w:rPr>
          <w:rFonts w:cs="Arial"/>
          <w:lang w:val="es-MX"/>
        </w:rPr>
        <w:t>de atención al cliente de Reforma 222</w:t>
      </w:r>
      <w:r w:rsidR="004F5ED8" w:rsidRPr="00A36289">
        <w:rPr>
          <w:rFonts w:cs="Arial"/>
          <w:lang w:val="es-ES_tradnl"/>
        </w:rPr>
        <w:t>, S</w:t>
      </w:r>
      <w:r w:rsidR="001D46A0">
        <w:rPr>
          <w:rFonts w:cs="Arial"/>
          <w:lang w:val="es-ES_tradnl"/>
        </w:rPr>
        <w:t xml:space="preserve">ociedad </w:t>
      </w:r>
      <w:r w:rsidR="004F5ED8" w:rsidRPr="00A36289">
        <w:rPr>
          <w:rFonts w:cs="Arial"/>
          <w:lang w:val="es-ES_tradnl"/>
        </w:rPr>
        <w:t>A</w:t>
      </w:r>
      <w:r w:rsidR="001D46A0">
        <w:rPr>
          <w:rFonts w:cs="Arial"/>
          <w:lang w:val="es-ES_tradnl"/>
        </w:rPr>
        <w:t>nónima</w:t>
      </w:r>
      <w:r w:rsidR="004F5ED8" w:rsidRPr="00A36289">
        <w:rPr>
          <w:rFonts w:cs="Arial"/>
          <w:lang w:val="es-ES_tradnl"/>
        </w:rPr>
        <w:t xml:space="preserve"> de C</w:t>
      </w:r>
      <w:r w:rsidR="001D46A0">
        <w:rPr>
          <w:rFonts w:cs="Arial"/>
          <w:lang w:val="es-ES_tradnl"/>
        </w:rPr>
        <w:t xml:space="preserve">apital </w:t>
      </w:r>
      <w:r w:rsidR="004F5ED8" w:rsidRPr="00A36289">
        <w:rPr>
          <w:rFonts w:cs="Arial"/>
          <w:lang w:val="es-ES_tradnl"/>
        </w:rPr>
        <w:t>V</w:t>
      </w:r>
      <w:r w:rsidR="001D46A0">
        <w:rPr>
          <w:rFonts w:cs="Arial"/>
          <w:lang w:val="es-ES_tradnl"/>
        </w:rPr>
        <w:t>ariable</w:t>
      </w:r>
      <w:r w:rsidR="004F5ED8" w:rsidRPr="00A36289">
        <w:rPr>
          <w:rFonts w:cs="Arial"/>
          <w:lang w:val="es-ES_tradnl"/>
        </w:rPr>
        <w:t xml:space="preserve"> </w:t>
      </w:r>
      <w:r w:rsidR="00287497" w:rsidRPr="00A36289">
        <w:rPr>
          <w:rFonts w:cs="Arial"/>
          <w:lang w:val="es-MX"/>
        </w:rPr>
        <w:t>comet</w:t>
      </w:r>
      <w:r w:rsidR="004F5ED8" w:rsidRPr="00A36289">
        <w:rPr>
          <w:rFonts w:cs="Arial"/>
          <w:lang w:val="es-MX"/>
        </w:rPr>
        <w:t>ieron</w:t>
      </w:r>
      <w:r w:rsidR="00287497" w:rsidRPr="00A36289">
        <w:rPr>
          <w:rFonts w:cs="Arial"/>
          <w:lang w:val="es-MX"/>
        </w:rPr>
        <w:t xml:space="preserve"> actos discriminatorios </w:t>
      </w:r>
      <w:r w:rsidR="00987FA5" w:rsidRPr="00A36289">
        <w:rPr>
          <w:rFonts w:cs="Arial"/>
          <w:lang w:val="es-MX"/>
        </w:rPr>
        <w:t xml:space="preserve">en el módulo de </w:t>
      </w:r>
      <w:r w:rsidR="00754F42" w:rsidRPr="00A36289">
        <w:rPr>
          <w:rFonts w:cs="Arial"/>
          <w:lang w:val="es-MX"/>
        </w:rPr>
        <w:t>quejas</w:t>
      </w:r>
      <w:r w:rsidR="00287497" w:rsidRPr="00A36289">
        <w:rPr>
          <w:rFonts w:cs="Arial"/>
          <w:lang w:val="es-MX"/>
        </w:rPr>
        <w:t xml:space="preserve"> del centro comercial “Reforma 222”</w:t>
      </w:r>
      <w:r w:rsidR="00987FA5" w:rsidRPr="00A36289">
        <w:rPr>
          <w:rFonts w:cs="Arial"/>
          <w:lang w:val="es-MX"/>
        </w:rPr>
        <w:t xml:space="preserve"> en perju</w:t>
      </w:r>
      <w:r w:rsidR="00987FA5" w:rsidRPr="00261257">
        <w:rPr>
          <w:rFonts w:cs="Arial"/>
          <w:lang w:val="es-MX"/>
        </w:rPr>
        <w:t xml:space="preserve">icio de las señoras </w:t>
      </w:r>
      <w:r w:rsidR="00E35449" w:rsidRPr="00261257">
        <w:rPr>
          <w:rFonts w:cs="Arial"/>
          <w:color w:val="FF0000"/>
          <w:lang w:val="es-MX"/>
        </w:rPr>
        <w:t>JM</w:t>
      </w:r>
      <w:r w:rsidR="00987FA5" w:rsidRPr="00261257">
        <w:rPr>
          <w:rFonts w:cs="Arial"/>
          <w:color w:val="FF0000"/>
          <w:lang w:val="es-ES"/>
        </w:rPr>
        <w:t>DF</w:t>
      </w:r>
      <w:r w:rsidR="00987FA5" w:rsidRPr="00261257" w:rsidDel="00885800">
        <w:rPr>
          <w:rFonts w:cs="Arial"/>
          <w:lang w:val="es-ES"/>
        </w:rPr>
        <w:t xml:space="preserve"> </w:t>
      </w:r>
      <w:r w:rsidR="00987FA5" w:rsidRPr="00261257">
        <w:rPr>
          <w:rFonts w:cs="Arial"/>
          <w:lang w:val="es-ES"/>
        </w:rPr>
        <w:t xml:space="preserve">y </w:t>
      </w:r>
      <w:r w:rsidR="00E35449" w:rsidRPr="00261257">
        <w:rPr>
          <w:rFonts w:cs="Arial"/>
          <w:color w:val="FF0000"/>
          <w:lang w:val="es-ES"/>
        </w:rPr>
        <w:t>LN</w:t>
      </w:r>
      <w:r w:rsidR="00987FA5" w:rsidRPr="00261257">
        <w:rPr>
          <w:rFonts w:cs="Arial"/>
          <w:color w:val="FF0000"/>
          <w:lang w:val="es-ES"/>
        </w:rPr>
        <w:t>GB</w:t>
      </w:r>
      <w:r w:rsidR="00287497" w:rsidRPr="00261257">
        <w:rPr>
          <w:rFonts w:cs="Arial"/>
          <w:color w:val="000000" w:themeColor="text1"/>
          <w:shd w:val="clear" w:color="auto" w:fill="FFFFFF"/>
          <w:lang w:val="es-MX"/>
        </w:rPr>
        <w:t xml:space="preserve">, </w:t>
      </w:r>
      <w:r w:rsidR="00555823" w:rsidRPr="00261257">
        <w:rPr>
          <w:rFonts w:cs="Arial"/>
          <w:lang w:val="es-ES"/>
        </w:rPr>
        <w:t xml:space="preserve">con motivo de su identidad y expresión de género, </w:t>
      </w:r>
      <w:r w:rsidR="00287497" w:rsidRPr="00261257">
        <w:rPr>
          <w:rFonts w:cs="Arial"/>
          <w:color w:val="000000" w:themeColor="text1"/>
          <w:shd w:val="clear" w:color="auto" w:fill="FFFFFF"/>
          <w:lang w:val="es-MX"/>
        </w:rPr>
        <w:t xml:space="preserve">los cuales generaron </w:t>
      </w:r>
      <w:r w:rsidR="00987FA5" w:rsidRPr="00261257">
        <w:rPr>
          <w:rFonts w:cs="Arial"/>
          <w:lang w:val="es-MX"/>
        </w:rPr>
        <w:t xml:space="preserve">un daño moral en la esfera de las señoras </w:t>
      </w:r>
      <w:r w:rsidR="00987FA5" w:rsidRPr="00261257">
        <w:rPr>
          <w:rFonts w:cs="Arial"/>
          <w:color w:val="FF0000"/>
          <w:lang w:val="es-ES"/>
        </w:rPr>
        <w:t>DF</w:t>
      </w:r>
      <w:r w:rsidR="00987FA5" w:rsidRPr="00261257" w:rsidDel="00885800">
        <w:rPr>
          <w:rFonts w:cs="Arial"/>
          <w:lang w:val="es-ES"/>
        </w:rPr>
        <w:t xml:space="preserve"> </w:t>
      </w:r>
      <w:r w:rsidR="00987FA5" w:rsidRPr="00261257">
        <w:rPr>
          <w:rFonts w:cs="Arial"/>
          <w:lang w:val="es-ES"/>
        </w:rPr>
        <w:t xml:space="preserve">y </w:t>
      </w:r>
      <w:r w:rsidR="00987FA5" w:rsidRPr="00261257">
        <w:rPr>
          <w:rFonts w:cs="Arial"/>
          <w:color w:val="FF0000"/>
          <w:lang w:val="es-ES"/>
        </w:rPr>
        <w:t>GB</w:t>
      </w:r>
      <w:r w:rsidR="00287497" w:rsidRPr="00261257">
        <w:rPr>
          <w:rFonts w:cs="Arial"/>
          <w:lang w:val="es-MX"/>
        </w:rPr>
        <w:t>.</w:t>
      </w:r>
    </w:p>
    <w:p w14:paraId="22295997" w14:textId="53209508" w:rsidR="00924EF8" w:rsidRPr="00A36289" w:rsidRDefault="00924EF8" w:rsidP="00FB03F8">
      <w:pPr>
        <w:pStyle w:val="Textoindependiente"/>
        <w:numPr>
          <w:ilvl w:val="1"/>
          <w:numId w:val="40"/>
        </w:numPr>
        <w:tabs>
          <w:tab w:val="left" w:pos="0"/>
        </w:tabs>
        <w:spacing w:line="360" w:lineRule="auto"/>
        <w:ind w:left="993" w:right="391"/>
        <w:jc w:val="both"/>
        <w:rPr>
          <w:rFonts w:cs="Arial"/>
          <w:lang w:val="es-ES_tradnl"/>
        </w:rPr>
      </w:pPr>
      <w:r w:rsidRPr="00261257">
        <w:rPr>
          <w:rFonts w:cs="Arial"/>
          <w:color w:val="000000" w:themeColor="text1"/>
          <w:lang w:val="es-ES_tradnl"/>
        </w:rPr>
        <w:t>Por lo tanto, s</w:t>
      </w:r>
      <w:r w:rsidR="008E4A13" w:rsidRPr="00261257">
        <w:rPr>
          <w:rFonts w:cs="Arial"/>
          <w:color w:val="000000" w:themeColor="text1"/>
          <w:lang w:val="es-ES_tradnl"/>
        </w:rPr>
        <w:t xml:space="preserve">e acredita </w:t>
      </w:r>
      <w:r w:rsidR="008E4A13" w:rsidRPr="00A36289">
        <w:rPr>
          <w:rFonts w:cs="Arial"/>
          <w:lang w:val="es-ES_tradnl"/>
        </w:rPr>
        <w:t xml:space="preserve">la responsabilidad </w:t>
      </w:r>
      <w:r w:rsidR="00C1361E" w:rsidRPr="00A36289">
        <w:rPr>
          <w:rFonts w:cs="Arial"/>
          <w:lang w:val="es-ES_tradnl"/>
        </w:rPr>
        <w:t xml:space="preserve">civil </w:t>
      </w:r>
      <w:r w:rsidR="00FD4DF7" w:rsidRPr="00A36289">
        <w:rPr>
          <w:rFonts w:cs="Arial"/>
          <w:lang w:val="es-ES_tradnl"/>
        </w:rPr>
        <w:t xml:space="preserve">por actos de terceros </w:t>
      </w:r>
      <w:r w:rsidR="008E4A13" w:rsidRPr="00A36289">
        <w:rPr>
          <w:rFonts w:cs="Arial"/>
          <w:lang w:val="es-ES_tradnl"/>
        </w:rPr>
        <w:t>de</w:t>
      </w:r>
      <w:r w:rsidRPr="00A36289">
        <w:rPr>
          <w:rFonts w:cs="Arial"/>
          <w:lang w:val="es-ES_tradnl"/>
        </w:rPr>
        <w:t xml:space="preserve"> la</w:t>
      </w:r>
      <w:r w:rsidR="00387D59" w:rsidRPr="00A36289">
        <w:rPr>
          <w:rFonts w:cs="Arial"/>
          <w:lang w:val="es-ES_tradnl"/>
        </w:rPr>
        <w:t xml:space="preserve"> persona moral </w:t>
      </w:r>
      <w:r w:rsidRPr="00A36289">
        <w:rPr>
          <w:rFonts w:cs="Arial"/>
          <w:lang w:val="es-ES_tradnl"/>
        </w:rPr>
        <w:t>Protección Privada 2010, S</w:t>
      </w:r>
      <w:r w:rsidR="00C66CE9">
        <w:rPr>
          <w:rFonts w:cs="Arial"/>
          <w:lang w:val="es-ES_tradnl"/>
        </w:rPr>
        <w:t>ociedad</w:t>
      </w:r>
      <w:r w:rsidRPr="00A36289">
        <w:rPr>
          <w:rFonts w:cs="Arial"/>
          <w:lang w:val="es-ES_tradnl"/>
        </w:rPr>
        <w:t xml:space="preserve"> de R</w:t>
      </w:r>
      <w:r w:rsidR="00C66CE9">
        <w:rPr>
          <w:rFonts w:cs="Arial"/>
          <w:lang w:val="es-ES_tradnl"/>
        </w:rPr>
        <w:t>esponsabilidad</w:t>
      </w:r>
      <w:r w:rsidRPr="00A36289">
        <w:rPr>
          <w:rFonts w:cs="Arial"/>
          <w:lang w:val="es-ES_tradnl"/>
        </w:rPr>
        <w:t xml:space="preserve"> L</w:t>
      </w:r>
      <w:r w:rsidR="00C66CE9">
        <w:rPr>
          <w:rFonts w:cs="Arial"/>
          <w:lang w:val="es-ES_tradnl"/>
        </w:rPr>
        <w:t>imitada</w:t>
      </w:r>
      <w:r w:rsidRPr="00A36289">
        <w:rPr>
          <w:rFonts w:cs="Arial"/>
          <w:lang w:val="es-ES_tradnl"/>
        </w:rPr>
        <w:t xml:space="preserve"> de C</w:t>
      </w:r>
      <w:r w:rsidR="00C66CE9">
        <w:rPr>
          <w:rFonts w:cs="Arial"/>
          <w:lang w:val="es-ES_tradnl"/>
        </w:rPr>
        <w:t>apital</w:t>
      </w:r>
      <w:r w:rsidRPr="00A36289">
        <w:rPr>
          <w:rFonts w:cs="Arial"/>
          <w:lang w:val="es-ES_tradnl"/>
        </w:rPr>
        <w:t xml:space="preserve"> V</w:t>
      </w:r>
      <w:r w:rsidR="00C66CE9">
        <w:rPr>
          <w:rFonts w:cs="Arial"/>
          <w:lang w:val="es-ES_tradnl"/>
        </w:rPr>
        <w:t>ariable</w:t>
      </w:r>
      <w:r w:rsidR="00736439" w:rsidRPr="00A36289">
        <w:rPr>
          <w:rFonts w:cs="Arial"/>
          <w:lang w:val="es-ES_tradnl"/>
        </w:rPr>
        <w:t xml:space="preserve">, por los actos </w:t>
      </w:r>
      <w:r w:rsidR="00736439" w:rsidRPr="00A36289">
        <w:rPr>
          <w:rFonts w:cs="Arial"/>
          <w:lang w:val="es-ES_tradnl"/>
        </w:rPr>
        <w:lastRenderedPageBreak/>
        <w:t xml:space="preserve">discriminatorios </w:t>
      </w:r>
      <w:r w:rsidR="00040543" w:rsidRPr="00A36289">
        <w:rPr>
          <w:rFonts w:cs="Arial"/>
          <w:lang w:val="es-ES_tradnl"/>
        </w:rPr>
        <w:t xml:space="preserve">cometidos por el personal de seguridad </w:t>
      </w:r>
      <w:r w:rsidR="00C1361E" w:rsidRPr="00A36289">
        <w:rPr>
          <w:rFonts w:cs="Arial"/>
          <w:lang w:val="es-ES_tradnl"/>
        </w:rPr>
        <w:t xml:space="preserve">y el daño moral </w:t>
      </w:r>
      <w:r w:rsidR="00040543" w:rsidRPr="00A36289">
        <w:rPr>
          <w:rFonts w:cs="Arial"/>
          <w:lang w:val="es-ES_tradnl"/>
        </w:rPr>
        <w:t>generado</w:t>
      </w:r>
      <w:r w:rsidR="007E022A" w:rsidRPr="00A36289">
        <w:rPr>
          <w:rFonts w:cs="Arial"/>
          <w:lang w:val="es-ES_tradnl"/>
        </w:rPr>
        <w:t xml:space="preserve"> en las quejosas</w:t>
      </w:r>
      <w:r w:rsidR="00736439" w:rsidRPr="00A36289">
        <w:rPr>
          <w:rFonts w:cs="Arial"/>
          <w:lang w:val="es-ES_tradnl"/>
        </w:rPr>
        <w:t xml:space="preserve">. </w:t>
      </w:r>
    </w:p>
    <w:p w14:paraId="282EBAC1" w14:textId="4991E038" w:rsidR="00F27B38" w:rsidRPr="00261257" w:rsidRDefault="00040543" w:rsidP="008673B5">
      <w:pPr>
        <w:pStyle w:val="Textoindependiente"/>
        <w:numPr>
          <w:ilvl w:val="1"/>
          <w:numId w:val="40"/>
        </w:numPr>
        <w:tabs>
          <w:tab w:val="left" w:pos="0"/>
        </w:tabs>
        <w:spacing w:line="360" w:lineRule="auto"/>
        <w:ind w:left="993" w:right="391"/>
        <w:jc w:val="both"/>
        <w:rPr>
          <w:rFonts w:cs="Arial"/>
          <w:color w:val="000000" w:themeColor="text1"/>
          <w:lang w:val="es-ES_tradnl"/>
        </w:rPr>
      </w:pPr>
      <w:r w:rsidRPr="00A36289">
        <w:rPr>
          <w:rFonts w:cs="Arial"/>
          <w:lang w:val="es-ES_tradnl"/>
        </w:rPr>
        <w:t>Asimismo, se acredita la responsabilidad civil por actos de terceros de la persona moral Reforma 222, S</w:t>
      </w:r>
      <w:r w:rsidR="00C66CE9">
        <w:rPr>
          <w:rFonts w:cs="Arial"/>
          <w:lang w:val="es-ES_tradnl"/>
        </w:rPr>
        <w:t xml:space="preserve">ociedad </w:t>
      </w:r>
      <w:r w:rsidRPr="00A36289">
        <w:rPr>
          <w:rFonts w:cs="Arial"/>
          <w:lang w:val="es-ES_tradnl"/>
        </w:rPr>
        <w:t>A</w:t>
      </w:r>
      <w:r w:rsidR="009C2B75">
        <w:rPr>
          <w:rFonts w:cs="Arial"/>
          <w:lang w:val="es-ES_tradnl"/>
        </w:rPr>
        <w:t>nónima</w:t>
      </w:r>
      <w:r w:rsidRPr="00A36289">
        <w:rPr>
          <w:rFonts w:cs="Arial"/>
          <w:lang w:val="es-ES_tradnl"/>
        </w:rPr>
        <w:t xml:space="preserve"> de C</w:t>
      </w:r>
      <w:r w:rsidR="009C2B75">
        <w:rPr>
          <w:rFonts w:cs="Arial"/>
          <w:lang w:val="es-ES_tradnl"/>
        </w:rPr>
        <w:t xml:space="preserve">apital </w:t>
      </w:r>
      <w:r w:rsidRPr="00A36289">
        <w:rPr>
          <w:rFonts w:cs="Arial"/>
          <w:lang w:val="es-ES_tradnl"/>
        </w:rPr>
        <w:t>V</w:t>
      </w:r>
      <w:r w:rsidR="009C2B75">
        <w:rPr>
          <w:rFonts w:cs="Arial"/>
          <w:lang w:val="es-ES_tradnl"/>
        </w:rPr>
        <w:t>ariable</w:t>
      </w:r>
      <w:r w:rsidRPr="00A36289">
        <w:rPr>
          <w:rFonts w:cs="Arial"/>
          <w:lang w:val="es-ES_tradnl"/>
        </w:rPr>
        <w:t xml:space="preserve">, </w:t>
      </w:r>
      <w:r w:rsidRPr="00261257">
        <w:rPr>
          <w:rFonts w:cs="Arial"/>
          <w:color w:val="000000" w:themeColor="text1"/>
          <w:lang w:val="es-ES_tradnl"/>
        </w:rPr>
        <w:t xml:space="preserve">por los actos discriminatorios cometidos por </w:t>
      </w:r>
      <w:r w:rsidRPr="00261257">
        <w:rPr>
          <w:rFonts w:cs="Arial"/>
          <w:lang w:val="es-MX"/>
        </w:rPr>
        <w:t xml:space="preserve">personal de </w:t>
      </w:r>
      <w:r w:rsidR="002A17AC" w:rsidRPr="00261257">
        <w:rPr>
          <w:rFonts w:cs="Arial"/>
          <w:lang w:val="es-MX"/>
        </w:rPr>
        <w:t xml:space="preserve">seguridad y el personal de </w:t>
      </w:r>
      <w:r w:rsidRPr="00261257">
        <w:rPr>
          <w:rFonts w:cs="Arial"/>
          <w:lang w:val="es-MX"/>
        </w:rPr>
        <w:t xml:space="preserve">atención al cliente </w:t>
      </w:r>
      <w:r w:rsidRPr="00261257">
        <w:rPr>
          <w:rFonts w:cs="Arial"/>
          <w:color w:val="000000" w:themeColor="text1"/>
          <w:lang w:val="es-ES_tradnl"/>
        </w:rPr>
        <w:t>y el daño moral generado</w:t>
      </w:r>
      <w:r w:rsidR="007E022A" w:rsidRPr="00261257">
        <w:rPr>
          <w:rFonts w:cs="Arial"/>
          <w:color w:val="000000" w:themeColor="text1"/>
          <w:lang w:val="es-ES_tradnl"/>
        </w:rPr>
        <w:t xml:space="preserve"> en las quejosas</w:t>
      </w:r>
      <w:r w:rsidRPr="00261257">
        <w:rPr>
          <w:rFonts w:cs="Arial"/>
          <w:color w:val="000000" w:themeColor="text1"/>
          <w:lang w:val="es-ES_tradnl"/>
        </w:rPr>
        <w:t xml:space="preserve">. </w:t>
      </w:r>
    </w:p>
    <w:p w14:paraId="3880B4FA" w14:textId="3DDFF7E1" w:rsidR="008E4A13" w:rsidRDefault="008E4A13" w:rsidP="00FB03F8">
      <w:pPr>
        <w:pStyle w:val="Textoindependiente"/>
        <w:numPr>
          <w:ilvl w:val="0"/>
          <w:numId w:val="40"/>
        </w:numPr>
        <w:tabs>
          <w:tab w:val="left" w:pos="0"/>
        </w:tabs>
        <w:spacing w:line="360" w:lineRule="auto"/>
        <w:ind w:left="567" w:right="391"/>
        <w:jc w:val="both"/>
        <w:rPr>
          <w:rFonts w:cs="Arial"/>
          <w:color w:val="000000" w:themeColor="text1"/>
          <w:lang w:val="es-ES_tradnl"/>
        </w:rPr>
      </w:pPr>
      <w:r w:rsidRPr="006B27C6">
        <w:rPr>
          <w:rFonts w:cs="Arial"/>
          <w:color w:val="000000" w:themeColor="text1"/>
          <w:lang w:val="es-ES_tradnl"/>
        </w:rPr>
        <w:t>A partir de estas conclusiones, con base en los elementos de juicio y los precedentes de esta Primera Sala, individualice y establezca</w:t>
      </w:r>
      <w:r w:rsidR="000F7FE4">
        <w:rPr>
          <w:rFonts w:cs="Arial"/>
          <w:color w:val="000000" w:themeColor="text1"/>
          <w:lang w:val="es-ES_tradnl"/>
        </w:rPr>
        <w:t xml:space="preserve"> con libertad de jurisdicción,</w:t>
      </w:r>
      <w:r w:rsidRPr="006B27C6">
        <w:rPr>
          <w:rFonts w:cs="Arial"/>
          <w:color w:val="000000" w:themeColor="text1"/>
          <w:lang w:val="es-ES_tradnl"/>
        </w:rPr>
        <w:t xml:space="preserve"> las indemnizaci</w:t>
      </w:r>
      <w:r w:rsidR="00715C1E">
        <w:rPr>
          <w:rFonts w:cs="Arial"/>
          <w:color w:val="000000" w:themeColor="text1"/>
          <w:lang w:val="es-ES_tradnl"/>
        </w:rPr>
        <w:t xml:space="preserve">ones </w:t>
      </w:r>
      <w:r w:rsidR="00536EB7">
        <w:rPr>
          <w:rFonts w:cs="Arial"/>
          <w:color w:val="000000" w:themeColor="text1"/>
          <w:lang w:val="es-ES_tradnl"/>
        </w:rPr>
        <w:t xml:space="preserve">económicas </w:t>
      </w:r>
      <w:r w:rsidRPr="006B27C6">
        <w:rPr>
          <w:rFonts w:cs="Arial"/>
          <w:color w:val="000000" w:themeColor="text1"/>
          <w:lang w:val="es-ES_tradnl"/>
        </w:rPr>
        <w:t>correspondientes</w:t>
      </w:r>
      <w:r w:rsidR="00484899">
        <w:rPr>
          <w:rFonts w:cs="Arial"/>
          <w:color w:val="000000" w:themeColor="text1"/>
          <w:lang w:val="es-ES_tradnl"/>
        </w:rPr>
        <w:t xml:space="preserve"> a favor de </w:t>
      </w:r>
      <w:r w:rsidR="00484899" w:rsidRPr="00B60874">
        <w:rPr>
          <w:rFonts w:cs="Arial"/>
          <w:lang w:val="es-MX"/>
        </w:rPr>
        <w:t xml:space="preserve">las señoras </w:t>
      </w:r>
      <w:r w:rsidR="00484899" w:rsidRPr="00062065">
        <w:rPr>
          <w:rFonts w:cs="Arial"/>
          <w:color w:val="FF0000"/>
          <w:lang w:val="es-ES"/>
        </w:rPr>
        <w:t>DF</w:t>
      </w:r>
      <w:r w:rsidR="00484899" w:rsidRPr="00062065" w:rsidDel="00885800">
        <w:rPr>
          <w:rFonts w:cs="Arial"/>
          <w:lang w:val="es-ES"/>
        </w:rPr>
        <w:t xml:space="preserve"> </w:t>
      </w:r>
      <w:r w:rsidR="00484899">
        <w:rPr>
          <w:rFonts w:cs="Arial"/>
          <w:lang w:val="es-ES"/>
        </w:rPr>
        <w:t xml:space="preserve">y </w:t>
      </w:r>
      <w:r w:rsidR="00484899" w:rsidRPr="00062065">
        <w:rPr>
          <w:rFonts w:cs="Arial"/>
          <w:color w:val="FF0000"/>
          <w:lang w:val="es-ES"/>
        </w:rPr>
        <w:t>GB</w:t>
      </w:r>
      <w:r w:rsidR="00102EF8" w:rsidRPr="0089639A">
        <w:rPr>
          <w:rFonts w:cs="Arial"/>
          <w:color w:val="000000" w:themeColor="text1"/>
          <w:lang w:val="es-ES"/>
        </w:rPr>
        <w:t>, por el daño moral resentido</w:t>
      </w:r>
      <w:r w:rsidRPr="00102EF8">
        <w:rPr>
          <w:rFonts w:cs="Arial"/>
          <w:color w:val="000000" w:themeColor="text1"/>
          <w:lang w:val="es-ES_tradnl"/>
        </w:rPr>
        <w:t xml:space="preserve">. </w:t>
      </w:r>
      <w:r w:rsidR="008673B5">
        <w:rPr>
          <w:rFonts w:cs="Arial"/>
          <w:color w:val="000000" w:themeColor="text1"/>
          <w:lang w:val="es-ES_tradnl"/>
        </w:rPr>
        <w:t>A continuación, se esquematizan las conclusiones previas</w:t>
      </w:r>
      <w:r w:rsidR="00394629">
        <w:rPr>
          <w:rFonts w:cs="Arial"/>
          <w:color w:val="000000" w:themeColor="text1"/>
          <w:lang w:val="es-ES_tradnl"/>
        </w:rPr>
        <w:t>.</w:t>
      </w:r>
    </w:p>
    <w:p w14:paraId="2FF89CE3" w14:textId="77777777" w:rsidR="00E748DE" w:rsidRDefault="00E748DE" w:rsidP="008E4A13">
      <w:pPr>
        <w:pStyle w:val="Textoindependiente"/>
        <w:tabs>
          <w:tab w:val="left" w:pos="0"/>
        </w:tabs>
        <w:spacing w:line="360" w:lineRule="auto"/>
        <w:ind w:left="0" w:right="391" w:firstLine="0"/>
        <w:jc w:val="both"/>
        <w:rPr>
          <w:rFonts w:cs="Arial"/>
          <w:color w:val="000000" w:themeColor="text1"/>
          <w:lang w:val="es-ES_tradnl"/>
        </w:rPr>
      </w:pPr>
    </w:p>
    <w:tbl>
      <w:tblPr>
        <w:tblStyle w:val="Tablaconcuadrcula"/>
        <w:tblW w:w="0" w:type="auto"/>
        <w:tblInd w:w="-147" w:type="dxa"/>
        <w:tblLook w:val="04A0" w:firstRow="1" w:lastRow="0" w:firstColumn="1" w:lastColumn="0" w:noHBand="0" w:noVBand="1"/>
      </w:tblPr>
      <w:tblGrid>
        <w:gridCol w:w="1985"/>
        <w:gridCol w:w="2126"/>
        <w:gridCol w:w="1985"/>
        <w:gridCol w:w="2879"/>
      </w:tblGrid>
      <w:tr w:rsidR="008673B5" w:rsidRPr="00FB03F8" w14:paraId="4C1FFDD8" w14:textId="77777777" w:rsidTr="002217D9">
        <w:tc>
          <w:tcPr>
            <w:tcW w:w="1985" w:type="dxa"/>
            <w:shd w:val="clear" w:color="auto" w:fill="BFBFBF" w:themeFill="background1" w:themeFillShade="BF"/>
          </w:tcPr>
          <w:p w14:paraId="274B16C8" w14:textId="77777777" w:rsidR="008673B5" w:rsidRPr="008673B5" w:rsidRDefault="008673B5" w:rsidP="00874889">
            <w:pPr>
              <w:pStyle w:val="Textoindependiente"/>
              <w:tabs>
                <w:tab w:val="left" w:pos="0"/>
              </w:tabs>
              <w:spacing w:line="276" w:lineRule="auto"/>
              <w:ind w:left="0" w:firstLine="0"/>
              <w:jc w:val="center"/>
              <w:rPr>
                <w:rFonts w:cs="Arial"/>
                <w:b/>
                <w:bCs/>
                <w:color w:val="000000" w:themeColor="text1"/>
                <w:sz w:val="24"/>
                <w:szCs w:val="24"/>
                <w:lang w:val="es-ES_tradnl"/>
              </w:rPr>
            </w:pPr>
            <w:r w:rsidRPr="008673B5">
              <w:rPr>
                <w:rFonts w:cs="Arial"/>
                <w:b/>
                <w:bCs/>
                <w:color w:val="000000" w:themeColor="text1"/>
                <w:sz w:val="24"/>
                <w:szCs w:val="24"/>
                <w:lang w:val="es-ES_tradnl"/>
              </w:rPr>
              <w:t>Actora</w:t>
            </w:r>
          </w:p>
        </w:tc>
        <w:tc>
          <w:tcPr>
            <w:tcW w:w="2126" w:type="dxa"/>
            <w:shd w:val="clear" w:color="auto" w:fill="BFBFBF" w:themeFill="background1" w:themeFillShade="BF"/>
          </w:tcPr>
          <w:p w14:paraId="06B5BA65" w14:textId="77777777" w:rsidR="008673B5" w:rsidRPr="008673B5" w:rsidRDefault="008673B5" w:rsidP="00874889">
            <w:pPr>
              <w:pStyle w:val="Textoindependiente"/>
              <w:tabs>
                <w:tab w:val="left" w:pos="0"/>
              </w:tabs>
              <w:spacing w:line="276" w:lineRule="auto"/>
              <w:ind w:left="0" w:firstLine="0"/>
              <w:jc w:val="center"/>
              <w:rPr>
                <w:rFonts w:cs="Arial"/>
                <w:b/>
                <w:bCs/>
                <w:color w:val="000000" w:themeColor="text1"/>
                <w:sz w:val="24"/>
                <w:szCs w:val="24"/>
                <w:lang w:val="es-ES_tradnl"/>
              </w:rPr>
            </w:pPr>
            <w:r w:rsidRPr="008673B5">
              <w:rPr>
                <w:rFonts w:cs="Arial"/>
                <w:b/>
                <w:bCs/>
                <w:color w:val="000000" w:themeColor="text1"/>
                <w:sz w:val="24"/>
                <w:szCs w:val="24"/>
                <w:lang w:val="es-ES_tradnl"/>
              </w:rPr>
              <w:t>Hecho ilícito cometido en su perjuicio</w:t>
            </w:r>
          </w:p>
        </w:tc>
        <w:tc>
          <w:tcPr>
            <w:tcW w:w="1985" w:type="dxa"/>
            <w:shd w:val="clear" w:color="auto" w:fill="BFBFBF" w:themeFill="background1" w:themeFillShade="BF"/>
          </w:tcPr>
          <w:p w14:paraId="676A6BFC" w14:textId="3CCDCF72" w:rsidR="008673B5" w:rsidRPr="008673B5" w:rsidRDefault="008673B5" w:rsidP="00874889">
            <w:pPr>
              <w:pStyle w:val="Textoindependiente"/>
              <w:tabs>
                <w:tab w:val="left" w:pos="0"/>
              </w:tabs>
              <w:spacing w:line="276" w:lineRule="auto"/>
              <w:ind w:left="0" w:firstLine="0"/>
              <w:jc w:val="center"/>
              <w:rPr>
                <w:rFonts w:cs="Arial"/>
                <w:b/>
                <w:bCs/>
                <w:color w:val="000000" w:themeColor="text1"/>
                <w:sz w:val="24"/>
                <w:szCs w:val="24"/>
                <w:lang w:val="es-ES_tradnl"/>
              </w:rPr>
            </w:pPr>
            <w:r w:rsidRPr="008673B5">
              <w:rPr>
                <w:rFonts w:cs="Arial"/>
                <w:b/>
                <w:bCs/>
                <w:color w:val="000000" w:themeColor="text1"/>
                <w:sz w:val="24"/>
                <w:szCs w:val="24"/>
                <w:lang w:val="es-ES_tradnl"/>
              </w:rPr>
              <w:t>Autor del hecho ilícito</w:t>
            </w:r>
          </w:p>
        </w:tc>
        <w:tc>
          <w:tcPr>
            <w:tcW w:w="2879" w:type="dxa"/>
            <w:shd w:val="clear" w:color="auto" w:fill="BFBFBF" w:themeFill="background1" w:themeFillShade="BF"/>
          </w:tcPr>
          <w:p w14:paraId="04BC6FF7" w14:textId="1F966341" w:rsidR="008673B5" w:rsidRPr="008673B5" w:rsidRDefault="008673B5" w:rsidP="00874889">
            <w:pPr>
              <w:pStyle w:val="Textoindependiente"/>
              <w:tabs>
                <w:tab w:val="left" w:pos="0"/>
              </w:tabs>
              <w:spacing w:line="276" w:lineRule="auto"/>
              <w:ind w:left="0" w:firstLine="0"/>
              <w:jc w:val="center"/>
              <w:rPr>
                <w:rFonts w:cs="Arial"/>
                <w:b/>
                <w:bCs/>
                <w:color w:val="000000" w:themeColor="text1"/>
                <w:sz w:val="24"/>
                <w:szCs w:val="24"/>
                <w:lang w:val="es-ES_tradnl"/>
              </w:rPr>
            </w:pPr>
            <w:r w:rsidRPr="008673B5">
              <w:rPr>
                <w:rFonts w:cs="Arial"/>
                <w:b/>
                <w:bCs/>
                <w:color w:val="000000" w:themeColor="text1"/>
                <w:sz w:val="24"/>
                <w:szCs w:val="24"/>
                <w:lang w:val="es-ES_tradnl"/>
              </w:rPr>
              <w:t>Atribución de responsabilidad</w:t>
            </w:r>
          </w:p>
        </w:tc>
      </w:tr>
      <w:tr w:rsidR="00E106AB" w:rsidRPr="00FB03F8" w14:paraId="3E0D3E16" w14:textId="77777777" w:rsidTr="002217D9">
        <w:tc>
          <w:tcPr>
            <w:tcW w:w="1985" w:type="dxa"/>
            <w:vMerge w:val="restart"/>
            <w:shd w:val="clear" w:color="auto" w:fill="F2F2F2" w:themeFill="background1" w:themeFillShade="F2"/>
          </w:tcPr>
          <w:p w14:paraId="025A1A45" w14:textId="7C26AE37" w:rsidR="00E106AB" w:rsidRPr="00C67485" w:rsidRDefault="00E106AB" w:rsidP="00874889">
            <w:pPr>
              <w:pStyle w:val="Textoindependiente"/>
              <w:tabs>
                <w:tab w:val="left" w:pos="0"/>
              </w:tabs>
              <w:spacing w:line="276" w:lineRule="auto"/>
              <w:ind w:left="0" w:firstLine="0"/>
              <w:jc w:val="center"/>
              <w:rPr>
                <w:rFonts w:cs="Arial"/>
                <w:b/>
                <w:bCs/>
                <w:color w:val="000000" w:themeColor="text1"/>
                <w:sz w:val="23"/>
                <w:szCs w:val="23"/>
                <w:lang w:val="es-ES_tradnl"/>
              </w:rPr>
            </w:pPr>
            <w:r w:rsidRPr="00C67485">
              <w:rPr>
                <w:rFonts w:cs="Arial"/>
                <w:b/>
                <w:bCs/>
                <w:color w:val="FF0000"/>
                <w:sz w:val="23"/>
                <w:szCs w:val="23"/>
                <w:lang w:val="es-MX"/>
              </w:rPr>
              <w:t>JM</w:t>
            </w:r>
            <w:r w:rsidRPr="00C67485">
              <w:rPr>
                <w:rFonts w:cs="Arial"/>
                <w:b/>
                <w:bCs/>
                <w:color w:val="FF0000"/>
                <w:sz w:val="23"/>
                <w:szCs w:val="23"/>
                <w:lang w:val="es-ES"/>
              </w:rPr>
              <w:t>DF</w:t>
            </w:r>
          </w:p>
        </w:tc>
        <w:tc>
          <w:tcPr>
            <w:tcW w:w="2126" w:type="dxa"/>
            <w:vMerge w:val="restart"/>
          </w:tcPr>
          <w:p w14:paraId="4BFAB232" w14:textId="3F34A583" w:rsidR="00E106AB" w:rsidRPr="00E106AB" w:rsidRDefault="00E106AB" w:rsidP="002217D9">
            <w:pPr>
              <w:pStyle w:val="Textoindependiente"/>
              <w:tabs>
                <w:tab w:val="left" w:pos="0"/>
              </w:tabs>
              <w:spacing w:line="276" w:lineRule="auto"/>
              <w:ind w:left="0" w:firstLine="0"/>
              <w:jc w:val="center"/>
              <w:rPr>
                <w:rFonts w:cs="Arial"/>
                <w:b/>
                <w:bCs/>
                <w:color w:val="000000" w:themeColor="text1"/>
                <w:sz w:val="23"/>
                <w:szCs w:val="23"/>
                <w:lang w:val="es-ES_tradnl"/>
              </w:rPr>
            </w:pPr>
            <w:r w:rsidRPr="00E106AB">
              <w:rPr>
                <w:rFonts w:cs="Arial"/>
                <w:b/>
                <w:bCs/>
                <w:color w:val="000000" w:themeColor="text1"/>
                <w:sz w:val="23"/>
                <w:szCs w:val="23"/>
                <w:lang w:val="es-ES_tradnl"/>
              </w:rPr>
              <w:t>Discriminación en el sanitario de mujeres</w:t>
            </w:r>
          </w:p>
          <w:p w14:paraId="55AE7187" w14:textId="5E2BC03E" w:rsidR="00E106AB" w:rsidRPr="00E106AB" w:rsidRDefault="00E106AB" w:rsidP="002217D9">
            <w:pPr>
              <w:pStyle w:val="Textoindependiente"/>
              <w:tabs>
                <w:tab w:val="left" w:pos="0"/>
              </w:tabs>
              <w:spacing w:line="276" w:lineRule="auto"/>
              <w:ind w:left="0" w:firstLine="0"/>
              <w:jc w:val="center"/>
              <w:rPr>
                <w:rFonts w:cs="Arial"/>
                <w:b/>
                <w:bCs/>
                <w:color w:val="000000" w:themeColor="text1"/>
                <w:sz w:val="23"/>
                <w:szCs w:val="23"/>
                <w:lang w:val="es-ES_tradnl"/>
              </w:rPr>
            </w:pPr>
          </w:p>
        </w:tc>
        <w:tc>
          <w:tcPr>
            <w:tcW w:w="1985" w:type="dxa"/>
            <w:vMerge w:val="restart"/>
          </w:tcPr>
          <w:p w14:paraId="703F2BD7" w14:textId="2B007C17" w:rsidR="00E106AB" w:rsidRPr="00C67485" w:rsidRDefault="00E106AB" w:rsidP="002217D9">
            <w:pPr>
              <w:pStyle w:val="Textoindependiente"/>
              <w:tabs>
                <w:tab w:val="left" w:pos="0"/>
              </w:tabs>
              <w:spacing w:line="276" w:lineRule="auto"/>
              <w:ind w:left="0" w:firstLine="0"/>
              <w:jc w:val="center"/>
              <w:rPr>
                <w:rFonts w:cs="Arial"/>
                <w:color w:val="000000" w:themeColor="text1"/>
                <w:sz w:val="23"/>
                <w:szCs w:val="23"/>
                <w:lang w:val="es-ES_tradnl"/>
              </w:rPr>
            </w:pPr>
            <w:r w:rsidRPr="00C67485">
              <w:rPr>
                <w:rFonts w:cs="Arial"/>
                <w:color w:val="000000" w:themeColor="text1"/>
                <w:sz w:val="23"/>
                <w:szCs w:val="23"/>
                <w:lang w:val="es-ES_tradnl"/>
              </w:rPr>
              <w:t>Personal de seguridad</w:t>
            </w:r>
          </w:p>
        </w:tc>
        <w:tc>
          <w:tcPr>
            <w:tcW w:w="2879" w:type="dxa"/>
          </w:tcPr>
          <w:p w14:paraId="2046252F" w14:textId="50CF6595" w:rsidR="00E106AB" w:rsidRPr="00A36289" w:rsidRDefault="00E106AB" w:rsidP="002217D9">
            <w:pPr>
              <w:pStyle w:val="Textoindependiente"/>
              <w:tabs>
                <w:tab w:val="left" w:pos="0"/>
              </w:tabs>
              <w:spacing w:line="276" w:lineRule="auto"/>
              <w:ind w:left="0" w:firstLine="0"/>
              <w:jc w:val="center"/>
              <w:rPr>
                <w:rFonts w:cs="Arial"/>
                <w:sz w:val="23"/>
                <w:szCs w:val="23"/>
                <w:lang w:val="es-ES_tradnl"/>
              </w:rPr>
            </w:pPr>
            <w:r w:rsidRPr="00A36289">
              <w:rPr>
                <w:rFonts w:cs="Arial"/>
                <w:sz w:val="23"/>
                <w:szCs w:val="23"/>
                <w:lang w:val="es-ES_tradnl"/>
              </w:rPr>
              <w:t>Protección Privada 2010, S. de R. L. de C. V.</w:t>
            </w:r>
          </w:p>
        </w:tc>
      </w:tr>
      <w:tr w:rsidR="00E106AB" w:rsidRPr="00FB03F8" w14:paraId="4FB0F493" w14:textId="77777777" w:rsidTr="002217D9">
        <w:tc>
          <w:tcPr>
            <w:tcW w:w="1985" w:type="dxa"/>
            <w:vMerge/>
            <w:shd w:val="clear" w:color="auto" w:fill="F2F2F2" w:themeFill="background1" w:themeFillShade="F2"/>
          </w:tcPr>
          <w:p w14:paraId="63F0F2CD" w14:textId="77777777" w:rsidR="00E106AB" w:rsidRPr="00C67485" w:rsidRDefault="00E106AB" w:rsidP="00874889">
            <w:pPr>
              <w:pStyle w:val="Textoindependiente"/>
              <w:tabs>
                <w:tab w:val="left" w:pos="0"/>
              </w:tabs>
              <w:spacing w:line="276" w:lineRule="auto"/>
              <w:ind w:left="0" w:firstLine="0"/>
              <w:jc w:val="center"/>
              <w:rPr>
                <w:rFonts w:cs="Arial"/>
                <w:b/>
                <w:bCs/>
                <w:color w:val="FF0000"/>
                <w:sz w:val="23"/>
                <w:szCs w:val="23"/>
                <w:lang w:val="es-MX"/>
              </w:rPr>
            </w:pPr>
          </w:p>
        </w:tc>
        <w:tc>
          <w:tcPr>
            <w:tcW w:w="2126" w:type="dxa"/>
            <w:vMerge/>
          </w:tcPr>
          <w:p w14:paraId="2D9F9244" w14:textId="77777777" w:rsidR="00E106AB" w:rsidRPr="00E106AB" w:rsidRDefault="00E106AB" w:rsidP="002217D9">
            <w:pPr>
              <w:pStyle w:val="Textoindependiente"/>
              <w:tabs>
                <w:tab w:val="left" w:pos="0"/>
              </w:tabs>
              <w:spacing w:line="276" w:lineRule="auto"/>
              <w:ind w:left="0" w:firstLine="0"/>
              <w:jc w:val="center"/>
              <w:rPr>
                <w:rFonts w:cs="Arial"/>
                <w:b/>
                <w:bCs/>
                <w:color w:val="000000" w:themeColor="text1"/>
                <w:sz w:val="23"/>
                <w:szCs w:val="23"/>
                <w:lang w:val="es-ES_tradnl"/>
              </w:rPr>
            </w:pPr>
          </w:p>
        </w:tc>
        <w:tc>
          <w:tcPr>
            <w:tcW w:w="1985" w:type="dxa"/>
            <w:vMerge/>
          </w:tcPr>
          <w:p w14:paraId="5DBB14D7" w14:textId="77777777" w:rsidR="00E106AB" w:rsidRPr="00C67485" w:rsidRDefault="00E106AB" w:rsidP="002217D9">
            <w:pPr>
              <w:pStyle w:val="Textoindependiente"/>
              <w:tabs>
                <w:tab w:val="left" w:pos="0"/>
              </w:tabs>
              <w:spacing w:line="276" w:lineRule="auto"/>
              <w:ind w:left="0" w:firstLine="0"/>
              <w:jc w:val="center"/>
              <w:rPr>
                <w:rFonts w:cs="Arial"/>
                <w:color w:val="000000" w:themeColor="text1"/>
                <w:sz w:val="23"/>
                <w:szCs w:val="23"/>
                <w:lang w:val="es-ES_tradnl"/>
              </w:rPr>
            </w:pPr>
          </w:p>
        </w:tc>
        <w:tc>
          <w:tcPr>
            <w:tcW w:w="2879" w:type="dxa"/>
          </w:tcPr>
          <w:p w14:paraId="6D1B69A6" w14:textId="7D141A09" w:rsidR="00E106AB" w:rsidRPr="00A36289" w:rsidRDefault="00E106AB" w:rsidP="002217D9">
            <w:pPr>
              <w:pStyle w:val="Textoindependiente"/>
              <w:tabs>
                <w:tab w:val="left" w:pos="0"/>
              </w:tabs>
              <w:spacing w:line="276" w:lineRule="auto"/>
              <w:ind w:left="0" w:firstLine="0"/>
              <w:jc w:val="center"/>
              <w:rPr>
                <w:rFonts w:cs="Arial"/>
                <w:sz w:val="23"/>
                <w:szCs w:val="23"/>
                <w:lang w:val="es-ES_tradnl"/>
              </w:rPr>
            </w:pPr>
            <w:r w:rsidRPr="00A36289">
              <w:rPr>
                <w:rFonts w:cs="Arial"/>
                <w:sz w:val="23"/>
                <w:szCs w:val="23"/>
                <w:lang w:val="es-ES_tradnl"/>
              </w:rPr>
              <w:t>Reforma 222, S.A. de C.V.</w:t>
            </w:r>
          </w:p>
        </w:tc>
      </w:tr>
      <w:tr w:rsidR="005628F7" w:rsidRPr="00FB03F8" w14:paraId="17DC6BE2" w14:textId="77777777" w:rsidTr="00294067">
        <w:tc>
          <w:tcPr>
            <w:tcW w:w="1985" w:type="dxa"/>
            <w:vMerge/>
            <w:shd w:val="clear" w:color="auto" w:fill="F2F2F2" w:themeFill="background1" w:themeFillShade="F2"/>
          </w:tcPr>
          <w:p w14:paraId="0714897A" w14:textId="77777777" w:rsidR="005628F7" w:rsidRPr="00C67485" w:rsidRDefault="005628F7" w:rsidP="00E106AB">
            <w:pPr>
              <w:pStyle w:val="Textoindependiente"/>
              <w:tabs>
                <w:tab w:val="left" w:pos="0"/>
              </w:tabs>
              <w:spacing w:line="276" w:lineRule="auto"/>
              <w:ind w:left="0" w:firstLine="0"/>
              <w:jc w:val="center"/>
              <w:rPr>
                <w:rFonts w:cs="Arial"/>
                <w:b/>
                <w:bCs/>
                <w:color w:val="FF0000"/>
                <w:sz w:val="23"/>
                <w:szCs w:val="23"/>
                <w:lang w:val="es-MX"/>
              </w:rPr>
            </w:pPr>
          </w:p>
        </w:tc>
        <w:tc>
          <w:tcPr>
            <w:tcW w:w="6990" w:type="dxa"/>
            <w:gridSpan w:val="3"/>
          </w:tcPr>
          <w:p w14:paraId="4476AD20" w14:textId="77777777" w:rsidR="005628F7" w:rsidRPr="00A36289" w:rsidRDefault="005628F7" w:rsidP="002217D9">
            <w:pPr>
              <w:pStyle w:val="Textoindependiente"/>
              <w:tabs>
                <w:tab w:val="left" w:pos="0"/>
              </w:tabs>
              <w:spacing w:line="276" w:lineRule="auto"/>
              <w:ind w:left="0" w:firstLine="0"/>
              <w:jc w:val="center"/>
              <w:rPr>
                <w:rFonts w:cs="Arial"/>
                <w:sz w:val="6"/>
                <w:szCs w:val="6"/>
                <w:lang w:val="es-ES_tradnl"/>
              </w:rPr>
            </w:pPr>
          </w:p>
        </w:tc>
      </w:tr>
      <w:tr w:rsidR="00216C23" w:rsidRPr="00FB03F8" w14:paraId="606EECFC" w14:textId="77777777" w:rsidTr="002217D9">
        <w:tc>
          <w:tcPr>
            <w:tcW w:w="1985" w:type="dxa"/>
            <w:vMerge/>
            <w:shd w:val="clear" w:color="auto" w:fill="F2F2F2" w:themeFill="background1" w:themeFillShade="F2"/>
          </w:tcPr>
          <w:p w14:paraId="51321098" w14:textId="77777777" w:rsidR="00216C23" w:rsidRPr="00C67485" w:rsidRDefault="00216C23" w:rsidP="00E106AB">
            <w:pPr>
              <w:pStyle w:val="Textoindependiente"/>
              <w:tabs>
                <w:tab w:val="left" w:pos="0"/>
              </w:tabs>
              <w:spacing w:line="276" w:lineRule="auto"/>
              <w:ind w:left="0" w:firstLine="0"/>
              <w:jc w:val="center"/>
              <w:rPr>
                <w:rFonts w:cs="Arial"/>
                <w:b/>
                <w:bCs/>
                <w:color w:val="FF0000"/>
                <w:sz w:val="23"/>
                <w:szCs w:val="23"/>
                <w:lang w:val="es-MX"/>
              </w:rPr>
            </w:pPr>
          </w:p>
        </w:tc>
        <w:tc>
          <w:tcPr>
            <w:tcW w:w="2126" w:type="dxa"/>
            <w:vMerge w:val="restart"/>
          </w:tcPr>
          <w:p w14:paraId="08B37E66" w14:textId="47F6595C" w:rsidR="00216C23" w:rsidRPr="00E106AB" w:rsidRDefault="00216C23" w:rsidP="002217D9">
            <w:pPr>
              <w:pStyle w:val="Textoindependiente"/>
              <w:tabs>
                <w:tab w:val="left" w:pos="0"/>
              </w:tabs>
              <w:spacing w:line="276" w:lineRule="auto"/>
              <w:ind w:left="0" w:firstLine="0"/>
              <w:jc w:val="center"/>
              <w:rPr>
                <w:rFonts w:cs="Arial"/>
                <w:b/>
                <w:bCs/>
                <w:color w:val="000000" w:themeColor="text1"/>
                <w:sz w:val="23"/>
                <w:szCs w:val="23"/>
                <w:lang w:val="es-ES_tradnl"/>
              </w:rPr>
            </w:pPr>
            <w:r w:rsidRPr="00E106AB">
              <w:rPr>
                <w:rFonts w:cs="Arial"/>
                <w:b/>
                <w:bCs/>
                <w:color w:val="000000" w:themeColor="text1"/>
                <w:sz w:val="23"/>
                <w:szCs w:val="23"/>
                <w:lang w:val="es-ES_tradnl"/>
              </w:rPr>
              <w:t>Discriminación en el módulo de quejas</w:t>
            </w:r>
          </w:p>
        </w:tc>
        <w:tc>
          <w:tcPr>
            <w:tcW w:w="1985" w:type="dxa"/>
            <w:vMerge w:val="restart"/>
          </w:tcPr>
          <w:p w14:paraId="5193069B" w14:textId="77777777" w:rsidR="00216C23" w:rsidRPr="00C67485" w:rsidRDefault="00216C23" w:rsidP="002217D9">
            <w:pPr>
              <w:pStyle w:val="Textoindependiente"/>
              <w:tabs>
                <w:tab w:val="left" w:pos="0"/>
              </w:tabs>
              <w:spacing w:line="276" w:lineRule="auto"/>
              <w:ind w:left="0" w:firstLine="0"/>
              <w:jc w:val="center"/>
              <w:rPr>
                <w:rFonts w:cs="Arial"/>
                <w:color w:val="000000" w:themeColor="text1"/>
                <w:sz w:val="23"/>
                <w:szCs w:val="23"/>
                <w:lang w:val="es-ES_tradnl"/>
              </w:rPr>
            </w:pPr>
            <w:r w:rsidRPr="00C67485">
              <w:rPr>
                <w:rFonts w:cs="Arial"/>
                <w:color w:val="000000" w:themeColor="text1"/>
                <w:sz w:val="23"/>
                <w:szCs w:val="23"/>
                <w:lang w:val="es-ES_tradnl"/>
              </w:rPr>
              <w:t>Personal de seguridad</w:t>
            </w:r>
          </w:p>
          <w:p w14:paraId="6904C719" w14:textId="401183D6" w:rsidR="00216C23" w:rsidRPr="00C67485" w:rsidRDefault="00216C23" w:rsidP="002217D9">
            <w:pPr>
              <w:pStyle w:val="Textoindependiente"/>
              <w:tabs>
                <w:tab w:val="left" w:pos="0"/>
              </w:tabs>
              <w:spacing w:line="276" w:lineRule="auto"/>
              <w:ind w:left="0" w:firstLine="0"/>
              <w:jc w:val="center"/>
              <w:rPr>
                <w:rFonts w:cs="Arial"/>
                <w:color w:val="000000" w:themeColor="text1"/>
                <w:sz w:val="23"/>
                <w:szCs w:val="23"/>
                <w:lang w:val="es-ES_tradnl"/>
              </w:rPr>
            </w:pPr>
          </w:p>
        </w:tc>
        <w:tc>
          <w:tcPr>
            <w:tcW w:w="2879" w:type="dxa"/>
          </w:tcPr>
          <w:p w14:paraId="77570530" w14:textId="3CA8F807" w:rsidR="00216C23" w:rsidRPr="00A36289" w:rsidRDefault="00216C23" w:rsidP="002217D9">
            <w:pPr>
              <w:pStyle w:val="Textoindependiente"/>
              <w:tabs>
                <w:tab w:val="left" w:pos="0"/>
              </w:tabs>
              <w:spacing w:line="276" w:lineRule="auto"/>
              <w:ind w:left="0" w:firstLine="0"/>
              <w:jc w:val="center"/>
              <w:rPr>
                <w:rFonts w:cs="Arial"/>
                <w:sz w:val="23"/>
                <w:szCs w:val="23"/>
                <w:lang w:val="es-ES_tradnl"/>
              </w:rPr>
            </w:pPr>
            <w:r w:rsidRPr="00A36289">
              <w:rPr>
                <w:rFonts w:cs="Arial"/>
                <w:sz w:val="23"/>
                <w:szCs w:val="23"/>
                <w:lang w:val="es-ES_tradnl"/>
              </w:rPr>
              <w:t>Protección Privada 2010, S. de R. L. de C. V.</w:t>
            </w:r>
          </w:p>
        </w:tc>
      </w:tr>
      <w:tr w:rsidR="00216C23" w:rsidRPr="00FB03F8" w14:paraId="3FD8960E" w14:textId="77777777" w:rsidTr="002217D9">
        <w:tc>
          <w:tcPr>
            <w:tcW w:w="1985" w:type="dxa"/>
            <w:vMerge/>
            <w:shd w:val="clear" w:color="auto" w:fill="F2F2F2" w:themeFill="background1" w:themeFillShade="F2"/>
          </w:tcPr>
          <w:p w14:paraId="3FCF15AB" w14:textId="77777777" w:rsidR="00216C23" w:rsidRPr="00C67485" w:rsidRDefault="00216C23" w:rsidP="00E106AB">
            <w:pPr>
              <w:pStyle w:val="Textoindependiente"/>
              <w:tabs>
                <w:tab w:val="left" w:pos="0"/>
              </w:tabs>
              <w:spacing w:line="276" w:lineRule="auto"/>
              <w:ind w:left="0" w:firstLine="0"/>
              <w:jc w:val="center"/>
              <w:rPr>
                <w:rFonts w:cs="Arial"/>
                <w:b/>
                <w:bCs/>
                <w:color w:val="FF0000"/>
                <w:sz w:val="23"/>
                <w:szCs w:val="23"/>
                <w:lang w:val="es-MX"/>
              </w:rPr>
            </w:pPr>
          </w:p>
        </w:tc>
        <w:tc>
          <w:tcPr>
            <w:tcW w:w="2126" w:type="dxa"/>
            <w:vMerge/>
          </w:tcPr>
          <w:p w14:paraId="067F1C50" w14:textId="77777777" w:rsidR="00216C23" w:rsidRPr="00E106AB" w:rsidRDefault="00216C23" w:rsidP="002217D9">
            <w:pPr>
              <w:pStyle w:val="Textoindependiente"/>
              <w:tabs>
                <w:tab w:val="left" w:pos="0"/>
              </w:tabs>
              <w:spacing w:line="276" w:lineRule="auto"/>
              <w:ind w:left="0" w:firstLine="0"/>
              <w:jc w:val="center"/>
              <w:rPr>
                <w:rFonts w:cs="Arial"/>
                <w:b/>
                <w:bCs/>
                <w:color w:val="000000" w:themeColor="text1"/>
                <w:sz w:val="23"/>
                <w:szCs w:val="23"/>
                <w:lang w:val="es-ES_tradnl"/>
              </w:rPr>
            </w:pPr>
          </w:p>
        </w:tc>
        <w:tc>
          <w:tcPr>
            <w:tcW w:w="1985" w:type="dxa"/>
            <w:vMerge/>
          </w:tcPr>
          <w:p w14:paraId="556DDEB6" w14:textId="77777777" w:rsidR="00216C23" w:rsidRPr="00C67485" w:rsidRDefault="00216C23" w:rsidP="002217D9">
            <w:pPr>
              <w:pStyle w:val="Textoindependiente"/>
              <w:tabs>
                <w:tab w:val="left" w:pos="0"/>
              </w:tabs>
              <w:spacing w:line="276" w:lineRule="auto"/>
              <w:ind w:left="0" w:firstLine="0"/>
              <w:jc w:val="center"/>
              <w:rPr>
                <w:rFonts w:cs="Arial"/>
                <w:color w:val="000000" w:themeColor="text1"/>
                <w:sz w:val="23"/>
                <w:szCs w:val="23"/>
                <w:lang w:val="es-ES_tradnl"/>
              </w:rPr>
            </w:pPr>
          </w:p>
        </w:tc>
        <w:tc>
          <w:tcPr>
            <w:tcW w:w="2879" w:type="dxa"/>
          </w:tcPr>
          <w:p w14:paraId="7305C80D" w14:textId="393FF996" w:rsidR="00216C23" w:rsidRPr="00A36289" w:rsidRDefault="00216C23" w:rsidP="002217D9">
            <w:pPr>
              <w:pStyle w:val="Textoindependiente"/>
              <w:tabs>
                <w:tab w:val="left" w:pos="0"/>
              </w:tabs>
              <w:spacing w:line="276" w:lineRule="auto"/>
              <w:ind w:left="0" w:firstLine="0"/>
              <w:jc w:val="center"/>
              <w:rPr>
                <w:rFonts w:cs="Arial"/>
                <w:sz w:val="23"/>
                <w:szCs w:val="23"/>
                <w:lang w:val="es-ES_tradnl"/>
              </w:rPr>
            </w:pPr>
            <w:r w:rsidRPr="00A36289">
              <w:rPr>
                <w:rFonts w:cs="Arial"/>
                <w:sz w:val="23"/>
                <w:szCs w:val="23"/>
                <w:lang w:val="es-ES_tradnl"/>
              </w:rPr>
              <w:t>Reforma 222, S.A. de C.V.</w:t>
            </w:r>
          </w:p>
        </w:tc>
      </w:tr>
      <w:tr w:rsidR="00E106AB" w:rsidRPr="00FB03F8" w14:paraId="05C8DDCD" w14:textId="77777777" w:rsidTr="002217D9">
        <w:tc>
          <w:tcPr>
            <w:tcW w:w="1985" w:type="dxa"/>
            <w:vMerge/>
            <w:shd w:val="clear" w:color="auto" w:fill="F2F2F2" w:themeFill="background1" w:themeFillShade="F2"/>
          </w:tcPr>
          <w:p w14:paraId="666E19DE" w14:textId="77777777" w:rsidR="00E106AB" w:rsidRPr="00C67485" w:rsidRDefault="00E106AB" w:rsidP="00E106AB">
            <w:pPr>
              <w:pStyle w:val="Textoindependiente"/>
              <w:tabs>
                <w:tab w:val="left" w:pos="0"/>
              </w:tabs>
              <w:spacing w:line="276" w:lineRule="auto"/>
              <w:ind w:left="0" w:firstLine="0"/>
              <w:jc w:val="center"/>
              <w:rPr>
                <w:rFonts w:cs="Arial"/>
                <w:b/>
                <w:bCs/>
                <w:color w:val="FF0000"/>
                <w:sz w:val="23"/>
                <w:szCs w:val="23"/>
                <w:lang w:val="es-MX"/>
              </w:rPr>
            </w:pPr>
          </w:p>
        </w:tc>
        <w:tc>
          <w:tcPr>
            <w:tcW w:w="2126" w:type="dxa"/>
            <w:vMerge/>
          </w:tcPr>
          <w:p w14:paraId="28E3428D" w14:textId="77777777" w:rsidR="00E106AB" w:rsidRPr="00C67485" w:rsidRDefault="00E106AB" w:rsidP="002217D9">
            <w:pPr>
              <w:pStyle w:val="Textoindependiente"/>
              <w:tabs>
                <w:tab w:val="left" w:pos="0"/>
              </w:tabs>
              <w:spacing w:line="276" w:lineRule="auto"/>
              <w:ind w:left="0" w:firstLine="0"/>
              <w:jc w:val="center"/>
              <w:rPr>
                <w:rFonts w:cs="Arial"/>
                <w:color w:val="000000" w:themeColor="text1"/>
                <w:sz w:val="23"/>
                <w:szCs w:val="23"/>
                <w:lang w:val="es-ES_tradnl"/>
              </w:rPr>
            </w:pPr>
          </w:p>
        </w:tc>
        <w:tc>
          <w:tcPr>
            <w:tcW w:w="1985" w:type="dxa"/>
          </w:tcPr>
          <w:p w14:paraId="317CDA17" w14:textId="1AEA3FEA" w:rsidR="00E106AB" w:rsidRPr="00C67485" w:rsidRDefault="00E106AB" w:rsidP="002217D9">
            <w:pPr>
              <w:pStyle w:val="Textoindependiente"/>
              <w:tabs>
                <w:tab w:val="left" w:pos="0"/>
              </w:tabs>
              <w:spacing w:line="276" w:lineRule="auto"/>
              <w:ind w:left="0" w:firstLine="0"/>
              <w:jc w:val="center"/>
              <w:rPr>
                <w:rFonts w:cs="Arial"/>
                <w:color w:val="000000" w:themeColor="text1"/>
                <w:sz w:val="23"/>
                <w:szCs w:val="23"/>
                <w:lang w:val="es-ES_tradnl"/>
              </w:rPr>
            </w:pPr>
            <w:r w:rsidRPr="00C67485">
              <w:rPr>
                <w:rFonts w:cs="Arial"/>
                <w:color w:val="000000" w:themeColor="text1"/>
                <w:sz w:val="23"/>
                <w:szCs w:val="23"/>
                <w:lang w:val="es-ES_tradnl"/>
              </w:rPr>
              <w:t>Personal de atención al cliente</w:t>
            </w:r>
          </w:p>
        </w:tc>
        <w:tc>
          <w:tcPr>
            <w:tcW w:w="2879" w:type="dxa"/>
          </w:tcPr>
          <w:p w14:paraId="1DC7670B" w14:textId="3425D55D" w:rsidR="00E106AB" w:rsidRPr="00A36289" w:rsidRDefault="00394629" w:rsidP="002217D9">
            <w:pPr>
              <w:pStyle w:val="Textoindependiente"/>
              <w:tabs>
                <w:tab w:val="left" w:pos="0"/>
              </w:tabs>
              <w:spacing w:line="276" w:lineRule="auto"/>
              <w:ind w:left="0" w:firstLine="0"/>
              <w:jc w:val="center"/>
              <w:rPr>
                <w:rFonts w:cs="Arial"/>
                <w:sz w:val="23"/>
                <w:szCs w:val="23"/>
                <w:lang w:val="es-ES_tradnl"/>
              </w:rPr>
            </w:pPr>
            <w:r w:rsidRPr="00A36289">
              <w:rPr>
                <w:rFonts w:cs="Arial"/>
                <w:sz w:val="23"/>
                <w:szCs w:val="23"/>
                <w:lang w:val="es-ES_tradnl"/>
              </w:rPr>
              <w:t>Reforma 222, S.A. de C.V.</w:t>
            </w:r>
          </w:p>
        </w:tc>
      </w:tr>
      <w:tr w:rsidR="00E106AB" w:rsidRPr="00FB03F8" w14:paraId="22BCDF07" w14:textId="77777777" w:rsidTr="00825089">
        <w:tc>
          <w:tcPr>
            <w:tcW w:w="8975" w:type="dxa"/>
            <w:gridSpan w:val="4"/>
            <w:shd w:val="clear" w:color="auto" w:fill="BFBFBF" w:themeFill="background1" w:themeFillShade="BF"/>
          </w:tcPr>
          <w:p w14:paraId="155CC34B" w14:textId="77777777" w:rsidR="00E106AB" w:rsidRPr="00A36289" w:rsidRDefault="00E106AB" w:rsidP="002217D9">
            <w:pPr>
              <w:pStyle w:val="Textoindependiente"/>
              <w:tabs>
                <w:tab w:val="left" w:pos="0"/>
              </w:tabs>
              <w:spacing w:line="276" w:lineRule="auto"/>
              <w:ind w:left="0" w:firstLine="0"/>
              <w:jc w:val="center"/>
              <w:rPr>
                <w:rFonts w:cs="Arial"/>
                <w:sz w:val="8"/>
                <w:szCs w:val="8"/>
                <w:lang w:val="es-ES_tradnl"/>
              </w:rPr>
            </w:pPr>
          </w:p>
        </w:tc>
      </w:tr>
      <w:tr w:rsidR="00394629" w:rsidRPr="00FB03F8" w14:paraId="0D3D1166" w14:textId="77777777" w:rsidTr="002217D9">
        <w:tc>
          <w:tcPr>
            <w:tcW w:w="1985" w:type="dxa"/>
            <w:vMerge w:val="restart"/>
            <w:shd w:val="clear" w:color="auto" w:fill="F2F2F2" w:themeFill="background1" w:themeFillShade="F2"/>
          </w:tcPr>
          <w:p w14:paraId="1D13ACCF" w14:textId="36C5C89E" w:rsidR="00394629" w:rsidRPr="00C67485" w:rsidRDefault="00394629" w:rsidP="00394629">
            <w:pPr>
              <w:pStyle w:val="Textoindependiente"/>
              <w:tabs>
                <w:tab w:val="left" w:pos="0"/>
              </w:tabs>
              <w:spacing w:line="276" w:lineRule="auto"/>
              <w:ind w:left="0" w:firstLine="0"/>
              <w:jc w:val="center"/>
              <w:rPr>
                <w:rFonts w:cs="Arial"/>
                <w:b/>
                <w:bCs/>
                <w:color w:val="000000" w:themeColor="text1"/>
                <w:sz w:val="23"/>
                <w:szCs w:val="23"/>
                <w:lang w:val="es-ES_tradnl"/>
              </w:rPr>
            </w:pPr>
            <w:r w:rsidRPr="00C67485">
              <w:rPr>
                <w:rFonts w:cs="Arial"/>
                <w:b/>
                <w:bCs/>
                <w:color w:val="FF0000"/>
                <w:sz w:val="23"/>
                <w:szCs w:val="23"/>
                <w:lang w:val="es-ES"/>
              </w:rPr>
              <w:t>LNGB</w:t>
            </w:r>
          </w:p>
        </w:tc>
        <w:tc>
          <w:tcPr>
            <w:tcW w:w="2126" w:type="dxa"/>
            <w:vMerge w:val="restart"/>
          </w:tcPr>
          <w:p w14:paraId="16D93A5F" w14:textId="35A9520E" w:rsidR="00394629" w:rsidRPr="00C67485" w:rsidRDefault="00394629" w:rsidP="002217D9">
            <w:pPr>
              <w:pStyle w:val="Textoindependiente"/>
              <w:tabs>
                <w:tab w:val="left" w:pos="0"/>
              </w:tabs>
              <w:spacing w:line="276" w:lineRule="auto"/>
              <w:ind w:left="0" w:firstLine="0"/>
              <w:jc w:val="center"/>
              <w:rPr>
                <w:rFonts w:cs="Arial"/>
                <w:color w:val="000000" w:themeColor="text1"/>
                <w:sz w:val="23"/>
                <w:szCs w:val="23"/>
                <w:lang w:val="es-ES_tradnl"/>
              </w:rPr>
            </w:pPr>
            <w:r w:rsidRPr="00E106AB">
              <w:rPr>
                <w:rFonts w:cs="Arial"/>
                <w:b/>
                <w:bCs/>
                <w:color w:val="000000" w:themeColor="text1"/>
                <w:sz w:val="23"/>
                <w:szCs w:val="23"/>
                <w:lang w:val="es-ES_tradnl"/>
              </w:rPr>
              <w:t>Discriminación en el módulo de quejas</w:t>
            </w:r>
          </w:p>
        </w:tc>
        <w:tc>
          <w:tcPr>
            <w:tcW w:w="1985" w:type="dxa"/>
            <w:vMerge w:val="restart"/>
          </w:tcPr>
          <w:p w14:paraId="3BBDBA14" w14:textId="77777777" w:rsidR="00394629" w:rsidRPr="00C67485" w:rsidRDefault="00394629" w:rsidP="002217D9">
            <w:pPr>
              <w:pStyle w:val="Textoindependiente"/>
              <w:tabs>
                <w:tab w:val="left" w:pos="0"/>
              </w:tabs>
              <w:spacing w:line="276" w:lineRule="auto"/>
              <w:ind w:left="0" w:firstLine="0"/>
              <w:jc w:val="center"/>
              <w:rPr>
                <w:rFonts w:cs="Arial"/>
                <w:color w:val="000000" w:themeColor="text1"/>
                <w:sz w:val="23"/>
                <w:szCs w:val="23"/>
                <w:lang w:val="es-ES_tradnl"/>
              </w:rPr>
            </w:pPr>
            <w:r w:rsidRPr="00C67485">
              <w:rPr>
                <w:rFonts w:cs="Arial"/>
                <w:color w:val="000000" w:themeColor="text1"/>
                <w:sz w:val="23"/>
                <w:szCs w:val="23"/>
                <w:lang w:val="es-ES_tradnl"/>
              </w:rPr>
              <w:t>Personal de seguridad</w:t>
            </w:r>
          </w:p>
          <w:p w14:paraId="1E4989E3" w14:textId="77777777" w:rsidR="00394629" w:rsidRPr="00C67485" w:rsidRDefault="00394629" w:rsidP="002217D9">
            <w:pPr>
              <w:pStyle w:val="Textoindependiente"/>
              <w:tabs>
                <w:tab w:val="left" w:pos="0"/>
              </w:tabs>
              <w:spacing w:line="276" w:lineRule="auto"/>
              <w:ind w:left="0" w:firstLine="0"/>
              <w:jc w:val="center"/>
              <w:rPr>
                <w:rFonts w:cs="Arial"/>
                <w:color w:val="000000" w:themeColor="text1"/>
                <w:sz w:val="23"/>
                <w:szCs w:val="23"/>
                <w:lang w:val="es-ES_tradnl"/>
              </w:rPr>
            </w:pPr>
          </w:p>
        </w:tc>
        <w:tc>
          <w:tcPr>
            <w:tcW w:w="2879" w:type="dxa"/>
          </w:tcPr>
          <w:p w14:paraId="26A118B1" w14:textId="789866AE" w:rsidR="00394629" w:rsidRPr="00A36289" w:rsidRDefault="00394629" w:rsidP="002217D9">
            <w:pPr>
              <w:pStyle w:val="Textoindependiente"/>
              <w:tabs>
                <w:tab w:val="left" w:pos="0"/>
              </w:tabs>
              <w:spacing w:line="276" w:lineRule="auto"/>
              <w:ind w:left="0" w:firstLine="0"/>
              <w:jc w:val="center"/>
              <w:rPr>
                <w:rFonts w:cs="Arial"/>
                <w:sz w:val="23"/>
                <w:szCs w:val="23"/>
                <w:lang w:val="es-ES_tradnl"/>
              </w:rPr>
            </w:pPr>
            <w:r w:rsidRPr="00A36289">
              <w:rPr>
                <w:rFonts w:cs="Arial"/>
                <w:sz w:val="23"/>
                <w:szCs w:val="23"/>
                <w:lang w:val="es-ES_tradnl"/>
              </w:rPr>
              <w:t>Protección Privada 2010, S. de R. L. de C. V.</w:t>
            </w:r>
          </w:p>
        </w:tc>
      </w:tr>
      <w:tr w:rsidR="00394629" w:rsidRPr="00FB03F8" w14:paraId="25E2A8C0" w14:textId="77777777" w:rsidTr="002217D9">
        <w:tc>
          <w:tcPr>
            <w:tcW w:w="1985" w:type="dxa"/>
            <w:vMerge/>
            <w:shd w:val="clear" w:color="auto" w:fill="D9D9D9" w:themeFill="background1" w:themeFillShade="D9"/>
          </w:tcPr>
          <w:p w14:paraId="7AD13A63" w14:textId="77777777" w:rsidR="00394629" w:rsidRPr="00C67485" w:rsidRDefault="00394629" w:rsidP="002217D9">
            <w:pPr>
              <w:pStyle w:val="Textoindependiente"/>
              <w:tabs>
                <w:tab w:val="left" w:pos="0"/>
              </w:tabs>
              <w:spacing w:line="276" w:lineRule="auto"/>
              <w:ind w:left="0" w:right="391" w:firstLine="0"/>
              <w:jc w:val="center"/>
              <w:rPr>
                <w:rFonts w:cs="Arial"/>
                <w:color w:val="000000" w:themeColor="text1"/>
                <w:sz w:val="23"/>
                <w:szCs w:val="23"/>
                <w:lang w:val="es-ES_tradnl"/>
              </w:rPr>
            </w:pPr>
          </w:p>
        </w:tc>
        <w:tc>
          <w:tcPr>
            <w:tcW w:w="2126" w:type="dxa"/>
            <w:vMerge/>
          </w:tcPr>
          <w:p w14:paraId="47B9DAFB" w14:textId="77777777" w:rsidR="00394629" w:rsidRPr="00C67485" w:rsidRDefault="00394629" w:rsidP="002217D9">
            <w:pPr>
              <w:pStyle w:val="Textoindependiente"/>
              <w:tabs>
                <w:tab w:val="left" w:pos="0"/>
              </w:tabs>
              <w:spacing w:line="276" w:lineRule="auto"/>
              <w:ind w:left="0" w:right="391" w:firstLine="0"/>
              <w:jc w:val="center"/>
              <w:rPr>
                <w:rFonts w:cs="Arial"/>
                <w:color w:val="000000" w:themeColor="text1"/>
                <w:sz w:val="23"/>
                <w:szCs w:val="23"/>
                <w:lang w:val="es-ES_tradnl"/>
              </w:rPr>
            </w:pPr>
          </w:p>
        </w:tc>
        <w:tc>
          <w:tcPr>
            <w:tcW w:w="1985" w:type="dxa"/>
            <w:vMerge/>
          </w:tcPr>
          <w:p w14:paraId="1B7D3945" w14:textId="77777777" w:rsidR="00394629" w:rsidRPr="00C67485" w:rsidRDefault="00394629" w:rsidP="002217D9">
            <w:pPr>
              <w:pStyle w:val="Textoindependiente"/>
              <w:tabs>
                <w:tab w:val="left" w:pos="0"/>
              </w:tabs>
              <w:spacing w:line="276" w:lineRule="auto"/>
              <w:ind w:left="0" w:firstLine="0"/>
              <w:jc w:val="center"/>
              <w:rPr>
                <w:rFonts w:cs="Arial"/>
                <w:color w:val="000000" w:themeColor="text1"/>
                <w:sz w:val="23"/>
                <w:szCs w:val="23"/>
                <w:lang w:val="es-ES_tradnl"/>
              </w:rPr>
            </w:pPr>
          </w:p>
        </w:tc>
        <w:tc>
          <w:tcPr>
            <w:tcW w:w="2879" w:type="dxa"/>
          </w:tcPr>
          <w:p w14:paraId="4012A221" w14:textId="2C3026EE" w:rsidR="00394629" w:rsidRPr="00A36289" w:rsidRDefault="00394629" w:rsidP="002217D9">
            <w:pPr>
              <w:pStyle w:val="Textoindependiente"/>
              <w:tabs>
                <w:tab w:val="left" w:pos="0"/>
              </w:tabs>
              <w:spacing w:line="276" w:lineRule="auto"/>
              <w:ind w:left="0" w:firstLine="0"/>
              <w:jc w:val="center"/>
              <w:rPr>
                <w:rFonts w:cs="Arial"/>
                <w:sz w:val="23"/>
                <w:szCs w:val="23"/>
                <w:lang w:val="es-ES_tradnl"/>
              </w:rPr>
            </w:pPr>
            <w:r w:rsidRPr="00A36289">
              <w:rPr>
                <w:rFonts w:cs="Arial"/>
                <w:sz w:val="23"/>
                <w:szCs w:val="23"/>
                <w:lang w:val="es-ES_tradnl"/>
              </w:rPr>
              <w:t>Reforma 222, S.A. de C.V.</w:t>
            </w:r>
          </w:p>
        </w:tc>
      </w:tr>
      <w:tr w:rsidR="00A36289" w:rsidRPr="00A36289" w14:paraId="4616CC2B" w14:textId="77777777" w:rsidTr="002217D9">
        <w:tc>
          <w:tcPr>
            <w:tcW w:w="1985" w:type="dxa"/>
            <w:vMerge/>
            <w:shd w:val="clear" w:color="auto" w:fill="D9D9D9" w:themeFill="background1" w:themeFillShade="D9"/>
          </w:tcPr>
          <w:p w14:paraId="0370A2A6" w14:textId="77777777" w:rsidR="00394629" w:rsidRPr="00A36289" w:rsidRDefault="00394629" w:rsidP="002217D9">
            <w:pPr>
              <w:pStyle w:val="Textoindependiente"/>
              <w:tabs>
                <w:tab w:val="left" w:pos="0"/>
              </w:tabs>
              <w:spacing w:line="276" w:lineRule="auto"/>
              <w:ind w:left="0" w:right="391" w:firstLine="0"/>
              <w:jc w:val="center"/>
              <w:rPr>
                <w:rFonts w:cs="Arial"/>
                <w:sz w:val="23"/>
                <w:szCs w:val="23"/>
                <w:lang w:val="es-ES_tradnl"/>
              </w:rPr>
            </w:pPr>
          </w:p>
        </w:tc>
        <w:tc>
          <w:tcPr>
            <w:tcW w:w="2126" w:type="dxa"/>
            <w:vMerge/>
          </w:tcPr>
          <w:p w14:paraId="131C6611" w14:textId="77777777" w:rsidR="00394629" w:rsidRPr="00A36289" w:rsidRDefault="00394629" w:rsidP="002217D9">
            <w:pPr>
              <w:pStyle w:val="Textoindependiente"/>
              <w:tabs>
                <w:tab w:val="left" w:pos="0"/>
              </w:tabs>
              <w:spacing w:line="276" w:lineRule="auto"/>
              <w:ind w:left="0" w:right="391" w:firstLine="0"/>
              <w:jc w:val="center"/>
              <w:rPr>
                <w:rFonts w:cs="Arial"/>
                <w:sz w:val="23"/>
                <w:szCs w:val="23"/>
                <w:lang w:val="es-ES_tradnl"/>
              </w:rPr>
            </w:pPr>
          </w:p>
        </w:tc>
        <w:tc>
          <w:tcPr>
            <w:tcW w:w="1985" w:type="dxa"/>
          </w:tcPr>
          <w:p w14:paraId="2487D2F5" w14:textId="127E2C9A" w:rsidR="00394629" w:rsidRPr="00A36289" w:rsidRDefault="00394629" w:rsidP="002217D9">
            <w:pPr>
              <w:pStyle w:val="Textoindependiente"/>
              <w:tabs>
                <w:tab w:val="left" w:pos="0"/>
              </w:tabs>
              <w:spacing w:line="276" w:lineRule="auto"/>
              <w:ind w:left="0" w:firstLine="0"/>
              <w:jc w:val="center"/>
              <w:rPr>
                <w:rFonts w:cs="Arial"/>
                <w:sz w:val="23"/>
                <w:szCs w:val="23"/>
                <w:lang w:val="es-ES_tradnl"/>
              </w:rPr>
            </w:pPr>
            <w:r w:rsidRPr="00A36289">
              <w:rPr>
                <w:rFonts w:cs="Arial"/>
                <w:sz w:val="23"/>
                <w:szCs w:val="23"/>
                <w:lang w:val="es-ES_tradnl"/>
              </w:rPr>
              <w:t>Personal de atención al cliente</w:t>
            </w:r>
          </w:p>
        </w:tc>
        <w:tc>
          <w:tcPr>
            <w:tcW w:w="2879" w:type="dxa"/>
          </w:tcPr>
          <w:p w14:paraId="438450A6" w14:textId="0D81CF0A" w:rsidR="00394629" w:rsidRPr="00A36289" w:rsidRDefault="00394629" w:rsidP="002217D9">
            <w:pPr>
              <w:pStyle w:val="Textoindependiente"/>
              <w:tabs>
                <w:tab w:val="left" w:pos="0"/>
              </w:tabs>
              <w:spacing w:line="276" w:lineRule="auto"/>
              <w:ind w:left="0" w:firstLine="0"/>
              <w:jc w:val="center"/>
              <w:rPr>
                <w:rFonts w:cs="Arial"/>
                <w:sz w:val="23"/>
                <w:szCs w:val="23"/>
                <w:lang w:val="es-ES_tradnl"/>
              </w:rPr>
            </w:pPr>
            <w:r w:rsidRPr="00A36289">
              <w:rPr>
                <w:rFonts w:cs="Arial"/>
                <w:sz w:val="23"/>
                <w:szCs w:val="23"/>
                <w:lang w:val="es-ES_tradnl"/>
              </w:rPr>
              <w:t>Reforma 222, S.A. de C.V.</w:t>
            </w:r>
          </w:p>
        </w:tc>
      </w:tr>
    </w:tbl>
    <w:p w14:paraId="514E0A89" w14:textId="77777777" w:rsidR="008673B5" w:rsidRPr="00A36289" w:rsidRDefault="008673B5" w:rsidP="008E4A13">
      <w:pPr>
        <w:pStyle w:val="Textoindependiente"/>
        <w:tabs>
          <w:tab w:val="left" w:pos="0"/>
        </w:tabs>
        <w:spacing w:line="360" w:lineRule="auto"/>
        <w:ind w:left="0" w:right="391" w:firstLine="0"/>
        <w:jc w:val="both"/>
        <w:rPr>
          <w:rFonts w:cs="Arial"/>
          <w:lang w:val="es-ES_tradnl"/>
        </w:rPr>
      </w:pPr>
    </w:p>
    <w:p w14:paraId="1615E0FE" w14:textId="360D1851" w:rsidR="006F18F8" w:rsidRPr="00A55FF1" w:rsidRDefault="008E4A13" w:rsidP="00263912">
      <w:pPr>
        <w:pStyle w:val="corte4fondo"/>
        <w:numPr>
          <w:ilvl w:val="0"/>
          <w:numId w:val="2"/>
        </w:numPr>
        <w:ind w:left="0" w:right="51" w:hanging="567"/>
        <w:rPr>
          <w:rFonts w:cs="Arial"/>
          <w:color w:val="000000" w:themeColor="text1"/>
        </w:rPr>
      </w:pPr>
      <w:r w:rsidRPr="00A36289">
        <w:rPr>
          <w:rFonts w:cs="Arial"/>
          <w:sz w:val="26"/>
          <w:szCs w:val="26"/>
        </w:rPr>
        <w:t>Por lo que hace a</w:t>
      </w:r>
      <w:r w:rsidR="003C5772" w:rsidRPr="00A36289">
        <w:rPr>
          <w:rFonts w:cs="Arial"/>
          <w:sz w:val="26"/>
          <w:szCs w:val="26"/>
        </w:rPr>
        <w:t>l monto de la indemnización, la sala deberá recordar que las actoras solicitaron el pago de una indemnización por daño moral de un monto</w:t>
      </w:r>
      <w:r w:rsidR="00B04EC7" w:rsidRPr="00A36289">
        <w:rPr>
          <w:rFonts w:cs="Arial"/>
          <w:sz w:val="26"/>
          <w:szCs w:val="26"/>
        </w:rPr>
        <w:t xml:space="preserve"> no</w:t>
      </w:r>
      <w:r w:rsidR="003C5772" w:rsidRPr="00A36289">
        <w:rPr>
          <w:rFonts w:cs="Arial"/>
          <w:sz w:val="26"/>
          <w:szCs w:val="26"/>
        </w:rPr>
        <w:t xml:space="preserve"> menor de $10,000,000.00 (diez millones de pesos)</w:t>
      </w:r>
      <w:r w:rsidR="00480E10" w:rsidRPr="00A36289">
        <w:rPr>
          <w:rFonts w:cs="Arial"/>
          <w:sz w:val="26"/>
          <w:szCs w:val="26"/>
        </w:rPr>
        <w:t xml:space="preserve">, </w:t>
      </w:r>
      <w:r w:rsidR="00480E10" w:rsidRPr="00A55FF1">
        <w:rPr>
          <w:rFonts w:cs="Arial"/>
          <w:color w:val="000000" w:themeColor="text1"/>
          <w:sz w:val="26"/>
          <w:szCs w:val="26"/>
        </w:rPr>
        <w:t>ante los hechos discriminatorios cometidos con base en su identidad y expresión de género</w:t>
      </w:r>
      <w:r w:rsidR="003C5772" w:rsidRPr="00A55FF1">
        <w:rPr>
          <w:rFonts w:cs="Arial"/>
          <w:color w:val="000000" w:themeColor="text1"/>
          <w:sz w:val="26"/>
          <w:szCs w:val="26"/>
        </w:rPr>
        <w:t xml:space="preserve">. </w:t>
      </w:r>
      <w:r w:rsidR="000B5D93" w:rsidRPr="00A55FF1">
        <w:rPr>
          <w:rFonts w:cs="Arial"/>
          <w:color w:val="000000" w:themeColor="text1"/>
          <w:sz w:val="26"/>
          <w:szCs w:val="26"/>
        </w:rPr>
        <w:t>En ese sentido</w:t>
      </w:r>
      <w:r w:rsidR="0081316B" w:rsidRPr="00A55FF1">
        <w:rPr>
          <w:rFonts w:cs="Arial"/>
          <w:color w:val="000000" w:themeColor="text1"/>
          <w:sz w:val="26"/>
          <w:szCs w:val="26"/>
        </w:rPr>
        <w:t>, p</w:t>
      </w:r>
      <w:r w:rsidR="003C5772" w:rsidRPr="00A55FF1">
        <w:rPr>
          <w:rFonts w:cs="Arial"/>
          <w:color w:val="000000" w:themeColor="text1"/>
          <w:sz w:val="26"/>
          <w:szCs w:val="26"/>
        </w:rPr>
        <w:t>ara la cuantificación del</w:t>
      </w:r>
      <w:r w:rsidR="00D43F7C">
        <w:rPr>
          <w:rFonts w:cs="Arial"/>
          <w:color w:val="000000" w:themeColor="text1"/>
          <w:sz w:val="26"/>
          <w:szCs w:val="26"/>
        </w:rPr>
        <w:t xml:space="preserve"> </w:t>
      </w:r>
      <w:r w:rsidR="003C5772" w:rsidRPr="00A55FF1">
        <w:rPr>
          <w:rFonts w:cs="Arial"/>
          <w:color w:val="000000" w:themeColor="text1"/>
          <w:sz w:val="26"/>
          <w:szCs w:val="26"/>
        </w:rPr>
        <w:t xml:space="preserve">monto respectivo, </w:t>
      </w:r>
      <w:r w:rsidRPr="00A55FF1">
        <w:rPr>
          <w:rFonts w:cs="Arial"/>
          <w:color w:val="000000" w:themeColor="text1"/>
          <w:sz w:val="26"/>
          <w:szCs w:val="26"/>
        </w:rPr>
        <w:t xml:space="preserve">la sala </w:t>
      </w:r>
      <w:r w:rsidR="00985522" w:rsidRPr="00A55FF1">
        <w:rPr>
          <w:rFonts w:cs="Arial"/>
          <w:color w:val="000000" w:themeColor="text1"/>
          <w:sz w:val="26"/>
          <w:szCs w:val="26"/>
        </w:rPr>
        <w:t xml:space="preserve">de apelación </w:t>
      </w:r>
      <w:r w:rsidRPr="00A55FF1">
        <w:rPr>
          <w:rFonts w:cs="Arial"/>
          <w:color w:val="000000" w:themeColor="text1"/>
          <w:sz w:val="26"/>
          <w:szCs w:val="26"/>
        </w:rPr>
        <w:t>deberá atender l</w:t>
      </w:r>
      <w:r w:rsidR="00A55FF1" w:rsidRPr="00A55FF1">
        <w:rPr>
          <w:rFonts w:cs="Arial"/>
          <w:color w:val="000000" w:themeColor="text1"/>
          <w:sz w:val="26"/>
          <w:szCs w:val="26"/>
        </w:rPr>
        <w:t>o siguiente</w:t>
      </w:r>
      <w:r w:rsidRPr="00A55FF1">
        <w:rPr>
          <w:rFonts w:cs="Arial"/>
          <w:color w:val="000000" w:themeColor="text1"/>
          <w:sz w:val="26"/>
          <w:szCs w:val="26"/>
        </w:rPr>
        <w:t>:</w:t>
      </w:r>
    </w:p>
    <w:p w14:paraId="3F74438C" w14:textId="2F6AA35C" w:rsidR="008E4A13" w:rsidRPr="006B27C6" w:rsidRDefault="00A55FF1" w:rsidP="00D70FBE">
      <w:pPr>
        <w:pStyle w:val="Textoindependiente"/>
        <w:numPr>
          <w:ilvl w:val="3"/>
          <w:numId w:val="46"/>
        </w:numPr>
        <w:tabs>
          <w:tab w:val="left" w:pos="851"/>
        </w:tabs>
        <w:spacing w:before="240" w:line="360" w:lineRule="auto"/>
        <w:ind w:right="391"/>
        <w:jc w:val="both"/>
        <w:rPr>
          <w:rFonts w:cs="Arial"/>
          <w:color w:val="000000" w:themeColor="text1"/>
          <w:lang w:val="es-ES_tradnl"/>
        </w:rPr>
      </w:pPr>
      <w:r>
        <w:rPr>
          <w:rFonts w:cs="Arial"/>
          <w:color w:val="000000" w:themeColor="text1"/>
          <w:lang w:val="es-MX"/>
        </w:rPr>
        <w:lastRenderedPageBreak/>
        <w:t xml:space="preserve">Conforme </w:t>
      </w:r>
      <w:r w:rsidRPr="00A55FF1">
        <w:rPr>
          <w:rFonts w:cs="Arial"/>
          <w:color w:val="000000" w:themeColor="text1"/>
          <w:lang w:val="es-MX"/>
        </w:rPr>
        <w:t>a los precedentes de esta Primera Sala</w:t>
      </w:r>
      <w:r w:rsidRPr="00120F0A">
        <w:rPr>
          <w:rStyle w:val="Refdenotaalpie"/>
          <w:rFonts w:cs="Arial"/>
          <w:color w:val="000000" w:themeColor="text1"/>
        </w:rPr>
        <w:footnoteReference w:id="152"/>
      </w:r>
      <w:r>
        <w:rPr>
          <w:rFonts w:cs="Arial"/>
          <w:color w:val="000000" w:themeColor="text1"/>
          <w:lang w:val="es-MX"/>
        </w:rPr>
        <w:t xml:space="preserve">, </w:t>
      </w:r>
      <w:r>
        <w:rPr>
          <w:rFonts w:cs="Arial"/>
          <w:color w:val="000000" w:themeColor="text1"/>
          <w:lang w:val="es-ES_tradnl"/>
        </w:rPr>
        <w:t>d</w:t>
      </w:r>
      <w:r w:rsidR="008E4A13" w:rsidRPr="006B27C6">
        <w:rPr>
          <w:rFonts w:cs="Arial"/>
          <w:color w:val="000000" w:themeColor="text1"/>
          <w:lang w:val="es-ES_tradnl"/>
        </w:rPr>
        <w:t xml:space="preserve">ebe buscarse en todo momento la reparación del daño moral. </w:t>
      </w:r>
      <w:r w:rsidR="00635D61">
        <w:rPr>
          <w:rFonts w:cs="Arial"/>
          <w:color w:val="000000" w:themeColor="text1"/>
          <w:lang w:val="es-ES_tradnl"/>
        </w:rPr>
        <w:t>Al respecto, n</w:t>
      </w:r>
      <w:r w:rsidR="008E4A13" w:rsidRPr="006B27C6">
        <w:rPr>
          <w:rFonts w:cs="Arial"/>
          <w:color w:val="000000" w:themeColor="text1"/>
          <w:lang w:val="es-ES_tradnl"/>
        </w:rPr>
        <w:t>o se aceptan límites o topes legales previamente establecidos o parámetros base sin posibilidad de modificación o valoración casuística por parte de</w:t>
      </w:r>
      <w:r w:rsidR="0081316B">
        <w:rPr>
          <w:rFonts w:cs="Arial"/>
          <w:color w:val="000000" w:themeColor="text1"/>
          <w:lang w:val="es-ES_tradnl"/>
        </w:rPr>
        <w:t xml:space="preserve"> la juzgadora</w:t>
      </w:r>
      <w:r w:rsidR="008E4A13" w:rsidRPr="006B27C6">
        <w:rPr>
          <w:rFonts w:cs="Arial"/>
          <w:color w:val="000000" w:themeColor="text1"/>
          <w:lang w:val="es-ES_tradnl"/>
        </w:rPr>
        <w:t xml:space="preserve">. </w:t>
      </w:r>
    </w:p>
    <w:p w14:paraId="21E5757A" w14:textId="6D11838D" w:rsidR="008E4A13" w:rsidRPr="006B27C6" w:rsidRDefault="00332862" w:rsidP="00D70FBE">
      <w:pPr>
        <w:pStyle w:val="Textoindependiente"/>
        <w:numPr>
          <w:ilvl w:val="3"/>
          <w:numId w:val="46"/>
        </w:numPr>
        <w:tabs>
          <w:tab w:val="left" w:pos="851"/>
        </w:tabs>
        <w:spacing w:line="360" w:lineRule="auto"/>
        <w:ind w:right="391"/>
        <w:jc w:val="both"/>
        <w:rPr>
          <w:rFonts w:cs="Arial"/>
          <w:color w:val="000000" w:themeColor="text1"/>
          <w:lang w:val="es-ES_tradnl"/>
        </w:rPr>
      </w:pPr>
      <w:r>
        <w:rPr>
          <w:rFonts w:cs="Arial"/>
          <w:color w:val="000000" w:themeColor="text1"/>
          <w:lang w:val="es-ES_tradnl"/>
        </w:rPr>
        <w:t>Al</w:t>
      </w:r>
      <w:r w:rsidR="008E4A13" w:rsidRPr="006B27C6">
        <w:rPr>
          <w:rFonts w:cs="Arial"/>
          <w:color w:val="000000" w:themeColor="text1"/>
          <w:lang w:val="es-ES_tradnl"/>
        </w:rPr>
        <w:t xml:space="preserve"> condenarse a una indemnización, ésta debe ser integral, equitativa y justa, así como cubrirse de forma expedita una vez que sea exigible. </w:t>
      </w:r>
    </w:p>
    <w:p w14:paraId="3747553F" w14:textId="2909C249" w:rsidR="00663AD6" w:rsidRPr="008673B5" w:rsidRDefault="00D908B7" w:rsidP="008673B5">
      <w:pPr>
        <w:pStyle w:val="Textoindependiente"/>
        <w:numPr>
          <w:ilvl w:val="3"/>
          <w:numId w:val="46"/>
        </w:numPr>
        <w:tabs>
          <w:tab w:val="left" w:pos="851"/>
        </w:tabs>
        <w:spacing w:line="360" w:lineRule="auto"/>
        <w:ind w:right="391"/>
        <w:jc w:val="both"/>
        <w:rPr>
          <w:rFonts w:cs="Arial"/>
          <w:color w:val="000000" w:themeColor="text1"/>
          <w:lang w:val="es-ES_tradnl"/>
        </w:rPr>
      </w:pPr>
      <w:r>
        <w:rPr>
          <w:rFonts w:cs="Arial"/>
          <w:color w:val="000000" w:themeColor="text1"/>
          <w:lang w:val="es-ES_tradnl"/>
        </w:rPr>
        <w:t>El tribunal</w:t>
      </w:r>
      <w:r w:rsidR="008E4A13" w:rsidRPr="006B27C6">
        <w:rPr>
          <w:rFonts w:cs="Arial"/>
          <w:color w:val="000000" w:themeColor="text1"/>
          <w:lang w:val="es-ES_tradnl"/>
        </w:rPr>
        <w:t>, al momento de condenar a</w:t>
      </w:r>
      <w:r w:rsidR="00FB461C">
        <w:rPr>
          <w:rFonts w:cs="Arial"/>
          <w:color w:val="000000" w:themeColor="text1"/>
          <w:lang w:val="es-ES_tradnl"/>
        </w:rPr>
        <w:t>l pago por</w:t>
      </w:r>
      <w:r w:rsidR="008E4A13" w:rsidRPr="006B27C6">
        <w:rPr>
          <w:rFonts w:cs="Arial"/>
          <w:color w:val="000000" w:themeColor="text1"/>
          <w:lang w:val="es-ES_tradnl"/>
        </w:rPr>
        <w:t xml:space="preserve"> daño moral, debe respetar y pr</w:t>
      </w:r>
      <w:r w:rsidR="008E4A13" w:rsidRPr="008673B5">
        <w:rPr>
          <w:rFonts w:cs="Arial"/>
          <w:color w:val="000000" w:themeColor="text1"/>
          <w:lang w:val="es-ES_tradnl"/>
        </w:rPr>
        <w:t>oteger el derecho a la igualdad jurídica</w:t>
      </w:r>
      <w:r w:rsidRPr="008673B5">
        <w:rPr>
          <w:rFonts w:cs="Arial"/>
          <w:color w:val="000000" w:themeColor="text1"/>
          <w:lang w:val="es-ES_tradnl"/>
        </w:rPr>
        <w:t>. Esto</w:t>
      </w:r>
      <w:r w:rsidR="008E4A13" w:rsidRPr="008673B5">
        <w:rPr>
          <w:rFonts w:cs="Arial"/>
          <w:color w:val="000000" w:themeColor="text1"/>
          <w:lang w:val="es-ES_tradnl"/>
        </w:rPr>
        <w:t xml:space="preserve"> implica que</w:t>
      </w:r>
      <w:r w:rsidR="00FB461C" w:rsidRPr="008673B5">
        <w:rPr>
          <w:rFonts w:cs="Arial"/>
          <w:color w:val="000000" w:themeColor="text1"/>
          <w:lang w:val="es-ES_tradnl"/>
        </w:rPr>
        <w:t>,</w:t>
      </w:r>
      <w:r w:rsidR="008E4A13" w:rsidRPr="008673B5">
        <w:rPr>
          <w:rFonts w:cs="Arial"/>
          <w:color w:val="000000" w:themeColor="text1"/>
          <w:lang w:val="es-ES_tradnl"/>
        </w:rPr>
        <w:t xml:space="preserve"> ante casos iguales</w:t>
      </w:r>
      <w:r w:rsidR="00FB461C" w:rsidRPr="008673B5">
        <w:rPr>
          <w:rFonts w:cs="Arial"/>
          <w:color w:val="000000" w:themeColor="text1"/>
          <w:lang w:val="es-ES_tradnl"/>
        </w:rPr>
        <w:t>,</w:t>
      </w:r>
      <w:r w:rsidR="008E4A13" w:rsidRPr="008673B5">
        <w:rPr>
          <w:rFonts w:cs="Arial"/>
          <w:color w:val="000000" w:themeColor="text1"/>
          <w:lang w:val="es-ES_tradnl"/>
        </w:rPr>
        <w:t xml:space="preserve"> debe imponer condenas iguales</w:t>
      </w:r>
      <w:r w:rsidR="00FB461C" w:rsidRPr="008673B5">
        <w:rPr>
          <w:rFonts w:cs="Arial"/>
          <w:color w:val="000000" w:themeColor="text1"/>
          <w:lang w:val="es-ES_tradnl"/>
        </w:rPr>
        <w:t xml:space="preserve"> y, ante casos distintos, debe imponer condenas distintas</w:t>
      </w:r>
      <w:r w:rsidR="008E4A13" w:rsidRPr="008673B5">
        <w:rPr>
          <w:rFonts w:cs="Arial"/>
          <w:color w:val="000000" w:themeColor="text1"/>
          <w:lang w:val="es-ES_tradnl"/>
        </w:rPr>
        <w:t xml:space="preserve">. </w:t>
      </w:r>
    </w:p>
    <w:p w14:paraId="7DF52CD8" w14:textId="174A7912" w:rsidR="00663AD6" w:rsidRPr="00B27B30" w:rsidRDefault="00805C24" w:rsidP="00B27B30">
      <w:pPr>
        <w:pStyle w:val="Textoindependiente"/>
        <w:numPr>
          <w:ilvl w:val="3"/>
          <w:numId w:val="46"/>
        </w:numPr>
        <w:tabs>
          <w:tab w:val="left" w:pos="851"/>
        </w:tabs>
        <w:spacing w:line="360" w:lineRule="auto"/>
        <w:ind w:right="391"/>
        <w:jc w:val="both"/>
        <w:rPr>
          <w:rFonts w:cs="Arial"/>
          <w:color w:val="000000" w:themeColor="text1"/>
          <w:lang w:val="es-MX"/>
        </w:rPr>
      </w:pPr>
      <w:r w:rsidRPr="008673B5">
        <w:rPr>
          <w:rFonts w:cs="Arial"/>
          <w:color w:val="000000" w:themeColor="text1"/>
          <w:lang w:val="es-ES_tradnl"/>
        </w:rPr>
        <w:t>E</w:t>
      </w:r>
      <w:r w:rsidR="00D908B7" w:rsidRPr="008673B5">
        <w:rPr>
          <w:rFonts w:cs="Arial"/>
          <w:color w:val="000000" w:themeColor="text1"/>
          <w:lang w:val="es-ES_tradnl"/>
        </w:rPr>
        <w:t>n atención a las particularidades del caso, la sala deberá</w:t>
      </w:r>
      <w:r w:rsidR="00243D32" w:rsidRPr="008673B5">
        <w:rPr>
          <w:rFonts w:cs="Arial"/>
          <w:color w:val="000000" w:themeColor="text1"/>
          <w:lang w:val="es-ES_tradnl"/>
        </w:rPr>
        <w:t xml:space="preserve"> cuantificar la indemnización </w:t>
      </w:r>
      <w:r w:rsidR="00060D39" w:rsidRPr="008673B5">
        <w:rPr>
          <w:rFonts w:cs="Arial"/>
          <w:color w:val="000000" w:themeColor="text1"/>
          <w:lang w:val="es-ES_tradnl"/>
        </w:rPr>
        <w:t xml:space="preserve">por daño moral </w:t>
      </w:r>
      <w:r w:rsidR="00243D32" w:rsidRPr="008673B5">
        <w:rPr>
          <w:rFonts w:cs="Arial"/>
          <w:color w:val="000000" w:themeColor="text1"/>
          <w:lang w:val="es-ES_tradnl"/>
        </w:rPr>
        <w:t xml:space="preserve">solicitada con perspectiva de género. </w:t>
      </w:r>
      <w:r w:rsidR="00227C0D" w:rsidRPr="008673B5">
        <w:rPr>
          <w:rFonts w:cs="Arial"/>
          <w:color w:val="000000" w:themeColor="text1"/>
          <w:lang w:val="es-ES_tradnl"/>
        </w:rPr>
        <w:t>Para ello, d</w:t>
      </w:r>
      <w:r w:rsidR="005E1D32" w:rsidRPr="008673B5">
        <w:rPr>
          <w:rFonts w:cs="Arial"/>
          <w:color w:val="000000" w:themeColor="text1"/>
          <w:lang w:val="es-ES_tradnl"/>
        </w:rPr>
        <w:t>estacadamente</w:t>
      </w:r>
      <w:r w:rsidR="00243D32" w:rsidRPr="008673B5">
        <w:rPr>
          <w:rFonts w:cs="Arial"/>
          <w:color w:val="000000" w:themeColor="text1"/>
          <w:lang w:val="es-ES_tradnl"/>
        </w:rPr>
        <w:t xml:space="preserve"> deberá atender </w:t>
      </w:r>
      <w:r w:rsidR="005E1D32" w:rsidRPr="008673B5">
        <w:rPr>
          <w:rFonts w:cs="Arial"/>
          <w:color w:val="000000" w:themeColor="text1"/>
          <w:lang w:val="es-ES_tradnl"/>
        </w:rPr>
        <w:t>e</w:t>
      </w:r>
      <w:r w:rsidR="00635A37" w:rsidRPr="008673B5">
        <w:rPr>
          <w:rFonts w:cs="Arial"/>
          <w:color w:val="000000" w:themeColor="text1"/>
          <w:lang w:val="es-ES_tradnl"/>
        </w:rPr>
        <w:t>l contenido de</w:t>
      </w:r>
      <w:r w:rsidR="00420E5E" w:rsidRPr="008673B5">
        <w:rPr>
          <w:rFonts w:cs="Arial"/>
          <w:color w:val="000000" w:themeColor="text1"/>
          <w:lang w:val="es-ES_tradnl"/>
        </w:rPr>
        <w:t xml:space="preserve"> las </w:t>
      </w:r>
      <w:r w:rsidR="008C29B0" w:rsidRPr="008673B5">
        <w:rPr>
          <w:rFonts w:cs="Arial"/>
          <w:color w:val="000000" w:themeColor="text1"/>
          <w:lang w:val="es-ES_tradnl"/>
        </w:rPr>
        <w:t xml:space="preserve">pruebas consistentes en la </w:t>
      </w:r>
      <w:r w:rsidR="00BA60D4" w:rsidRPr="008673B5">
        <w:rPr>
          <w:rFonts w:cs="Arial"/>
          <w:lang w:val="es-MX"/>
        </w:rPr>
        <w:t>t</w:t>
      </w:r>
      <w:r w:rsidR="00420E5E" w:rsidRPr="008673B5">
        <w:rPr>
          <w:rFonts w:cs="Arial"/>
          <w:lang w:val="es-MX"/>
        </w:rPr>
        <w:t>estimonial de</w:t>
      </w:r>
      <w:r w:rsidR="00635A37" w:rsidRPr="008673B5">
        <w:rPr>
          <w:rFonts w:cs="Arial"/>
          <w:lang w:val="es-MX"/>
        </w:rPr>
        <w:t>l señor</w:t>
      </w:r>
      <w:r w:rsidR="00420E5E" w:rsidRPr="008673B5">
        <w:rPr>
          <w:rFonts w:cs="Arial"/>
          <w:lang w:val="es-MX"/>
        </w:rPr>
        <w:t xml:space="preserve"> </w:t>
      </w:r>
      <w:r w:rsidR="00420E5E" w:rsidRPr="008673B5">
        <w:rPr>
          <w:rFonts w:cs="Arial"/>
          <w:color w:val="FF0000"/>
          <w:lang w:val="es-ES"/>
        </w:rPr>
        <w:t>AMM</w:t>
      </w:r>
      <w:r w:rsidR="00420E5E" w:rsidRPr="008673B5">
        <w:rPr>
          <w:rFonts w:cs="Arial"/>
          <w:color w:val="000000" w:themeColor="text1"/>
          <w:lang w:val="es-ES"/>
        </w:rPr>
        <w:t xml:space="preserve">, </w:t>
      </w:r>
      <w:r w:rsidR="00BA60D4" w:rsidRPr="008673B5">
        <w:rPr>
          <w:rFonts w:cs="Arial"/>
          <w:color w:val="000000" w:themeColor="text1"/>
          <w:lang w:val="es-ES"/>
        </w:rPr>
        <w:t xml:space="preserve">los </w:t>
      </w:r>
      <w:r w:rsidR="00420E5E" w:rsidRPr="008673B5">
        <w:rPr>
          <w:rFonts w:cs="Arial"/>
          <w:color w:val="000000" w:themeColor="text1"/>
          <w:lang w:val="es-ES"/>
        </w:rPr>
        <w:t>videos 1, 3 y 4</w:t>
      </w:r>
      <w:r w:rsidR="00BA60D4" w:rsidRPr="008673B5">
        <w:rPr>
          <w:rFonts w:cs="Arial"/>
          <w:color w:val="000000" w:themeColor="text1"/>
          <w:lang w:val="es-ES"/>
        </w:rPr>
        <w:t xml:space="preserve"> antes identificados</w:t>
      </w:r>
      <w:r w:rsidR="00E57671" w:rsidRPr="008673B5">
        <w:rPr>
          <w:rFonts w:cs="Arial"/>
          <w:color w:val="000000" w:themeColor="text1"/>
          <w:lang w:val="es-ES"/>
        </w:rPr>
        <w:t xml:space="preserve"> </w:t>
      </w:r>
      <w:r w:rsidR="00BA60D4" w:rsidRPr="008673B5">
        <w:rPr>
          <w:rFonts w:cs="Arial"/>
          <w:color w:val="000000" w:themeColor="text1"/>
          <w:lang w:val="es-ES"/>
        </w:rPr>
        <w:t xml:space="preserve">y los </w:t>
      </w:r>
      <w:r w:rsidR="00420E5E" w:rsidRPr="008673B5">
        <w:rPr>
          <w:rFonts w:cs="Arial"/>
          <w:color w:val="000000" w:themeColor="text1"/>
          <w:lang w:val="es-ES"/>
        </w:rPr>
        <w:t>dictámenes periciales</w:t>
      </w:r>
      <w:r w:rsidR="00BA60D4" w:rsidRPr="008673B5">
        <w:rPr>
          <w:rFonts w:cs="Arial"/>
          <w:color w:val="000000" w:themeColor="text1"/>
          <w:lang w:val="es-ES"/>
        </w:rPr>
        <w:t xml:space="preserve"> </w:t>
      </w:r>
      <w:r w:rsidR="00635A37" w:rsidRPr="008673B5">
        <w:rPr>
          <w:rFonts w:cs="Arial"/>
          <w:color w:val="000000" w:themeColor="text1"/>
          <w:lang w:val="es-ES"/>
        </w:rPr>
        <w:t xml:space="preserve">en psicología </w:t>
      </w:r>
      <w:r w:rsidR="00BA60D4" w:rsidRPr="008673B5">
        <w:rPr>
          <w:rFonts w:cs="Arial"/>
          <w:color w:val="000000" w:themeColor="text1"/>
          <w:lang w:val="es-ES"/>
        </w:rPr>
        <w:t xml:space="preserve">realizados a ambas quejosas, a partir de las </w:t>
      </w:r>
      <w:r w:rsidR="00635A37" w:rsidRPr="008673B5">
        <w:rPr>
          <w:rFonts w:cs="Arial"/>
          <w:color w:val="000000" w:themeColor="text1"/>
          <w:lang w:val="es-ES"/>
        </w:rPr>
        <w:t xml:space="preserve">consideraciones </w:t>
      </w:r>
      <w:r w:rsidR="00FB61C1">
        <w:rPr>
          <w:rFonts w:cs="Arial"/>
          <w:color w:val="000000" w:themeColor="text1"/>
          <w:lang w:val="es-ES"/>
        </w:rPr>
        <w:t>de</w:t>
      </w:r>
      <w:r w:rsidR="00635A37" w:rsidRPr="008673B5">
        <w:rPr>
          <w:rFonts w:cs="Arial"/>
          <w:color w:val="000000" w:themeColor="text1"/>
          <w:lang w:val="es-ES"/>
        </w:rPr>
        <w:t xml:space="preserve"> esta Primera Sala</w:t>
      </w:r>
      <w:r w:rsidR="00663AD6" w:rsidRPr="008673B5">
        <w:rPr>
          <w:rFonts w:cs="Arial"/>
          <w:color w:val="000000" w:themeColor="text1"/>
          <w:lang w:val="es-ES"/>
        </w:rPr>
        <w:t>.</w:t>
      </w:r>
    </w:p>
    <w:p w14:paraId="13900F5C" w14:textId="509A6CFC" w:rsidR="00376CF4" w:rsidRDefault="00060D39" w:rsidP="008673B5">
      <w:pPr>
        <w:pStyle w:val="Textoindependiente"/>
        <w:numPr>
          <w:ilvl w:val="3"/>
          <w:numId w:val="46"/>
        </w:numPr>
        <w:tabs>
          <w:tab w:val="left" w:pos="851"/>
        </w:tabs>
        <w:spacing w:line="360" w:lineRule="auto"/>
        <w:ind w:right="391"/>
        <w:jc w:val="both"/>
        <w:rPr>
          <w:rFonts w:cs="Arial"/>
          <w:color w:val="000000" w:themeColor="text1"/>
          <w:lang w:val="es-MX"/>
        </w:rPr>
      </w:pPr>
      <w:r w:rsidRPr="008673B5">
        <w:rPr>
          <w:rFonts w:cs="Arial"/>
          <w:color w:val="000000" w:themeColor="text1"/>
          <w:lang w:val="es-MX"/>
        </w:rPr>
        <w:t xml:space="preserve">Sobre todo, la </w:t>
      </w:r>
      <w:r w:rsidR="00830E79" w:rsidRPr="008673B5">
        <w:rPr>
          <w:rFonts w:cs="Arial"/>
          <w:color w:val="000000" w:themeColor="text1"/>
          <w:lang w:val="es-MX"/>
        </w:rPr>
        <w:t>sala deberá atender que</w:t>
      </w:r>
      <w:r w:rsidR="0022596E" w:rsidRPr="008673B5">
        <w:rPr>
          <w:rFonts w:cs="Arial"/>
          <w:color w:val="000000" w:themeColor="text1"/>
          <w:lang w:val="es-MX"/>
        </w:rPr>
        <w:t>,</w:t>
      </w:r>
      <w:r w:rsidR="00830E79" w:rsidRPr="008673B5">
        <w:rPr>
          <w:rFonts w:cs="Arial"/>
          <w:color w:val="000000" w:themeColor="text1"/>
          <w:lang w:val="es-MX"/>
        </w:rPr>
        <w:t xml:space="preserve"> en el caso</w:t>
      </w:r>
      <w:r w:rsidR="0022596E" w:rsidRPr="008673B5">
        <w:rPr>
          <w:rFonts w:cs="Arial"/>
          <w:color w:val="000000" w:themeColor="text1"/>
          <w:lang w:val="es-MX"/>
        </w:rPr>
        <w:t>,</w:t>
      </w:r>
      <w:r w:rsidR="00830E79" w:rsidRPr="008673B5">
        <w:rPr>
          <w:rFonts w:cs="Arial"/>
          <w:color w:val="000000" w:themeColor="text1"/>
          <w:lang w:val="es-MX"/>
        </w:rPr>
        <w:t xml:space="preserve"> </w:t>
      </w:r>
      <w:r w:rsidR="00567766" w:rsidRPr="008673B5">
        <w:rPr>
          <w:rFonts w:cs="Arial"/>
          <w:color w:val="000000" w:themeColor="text1"/>
          <w:lang w:val="es-MX"/>
        </w:rPr>
        <w:t>el monto de la</w:t>
      </w:r>
      <w:r w:rsidR="0022596E" w:rsidRPr="008673B5">
        <w:rPr>
          <w:rFonts w:cs="Arial"/>
          <w:color w:val="000000" w:themeColor="text1"/>
          <w:lang w:val="es-MX"/>
        </w:rPr>
        <w:t xml:space="preserve"> indemnización </w:t>
      </w:r>
      <w:r w:rsidR="00567766" w:rsidRPr="008673B5">
        <w:rPr>
          <w:rFonts w:cs="Arial"/>
          <w:color w:val="000000" w:themeColor="text1"/>
          <w:lang w:val="es-MX"/>
        </w:rPr>
        <w:t xml:space="preserve">deberá contemplar un monto </w:t>
      </w:r>
      <w:r w:rsidR="0022596E" w:rsidRPr="008673B5">
        <w:rPr>
          <w:rFonts w:cs="Arial"/>
          <w:color w:val="000000" w:themeColor="text1"/>
          <w:lang w:val="es-MX"/>
        </w:rPr>
        <w:t>punitiv</w:t>
      </w:r>
      <w:r w:rsidR="00567766" w:rsidRPr="008673B5">
        <w:rPr>
          <w:rFonts w:cs="Arial"/>
          <w:color w:val="000000" w:themeColor="text1"/>
          <w:lang w:val="es-MX"/>
        </w:rPr>
        <w:t>o</w:t>
      </w:r>
      <w:r w:rsidR="00830E79" w:rsidRPr="008673B5">
        <w:rPr>
          <w:rFonts w:cs="Arial"/>
          <w:color w:val="000000" w:themeColor="text1"/>
          <w:lang w:val="es-MX"/>
        </w:rPr>
        <w:t xml:space="preserve"> </w:t>
      </w:r>
      <w:r w:rsidR="00B65666" w:rsidRPr="008673B5">
        <w:rPr>
          <w:rFonts w:cs="Arial"/>
          <w:color w:val="000000" w:themeColor="text1"/>
          <w:lang w:val="es-MX"/>
        </w:rPr>
        <w:t>(</w:t>
      </w:r>
      <w:r w:rsidR="00D71BF5" w:rsidRPr="008673B5">
        <w:rPr>
          <w:rFonts w:cs="Arial"/>
          <w:color w:val="000000" w:themeColor="text1"/>
          <w:lang w:val="es-MX"/>
        </w:rPr>
        <w:t xml:space="preserve">es decir, </w:t>
      </w:r>
      <w:r w:rsidR="00B65666" w:rsidRPr="008673B5">
        <w:rPr>
          <w:rFonts w:cs="Arial"/>
          <w:color w:val="000000" w:themeColor="text1"/>
          <w:lang w:val="es-MX"/>
        </w:rPr>
        <w:t xml:space="preserve">daños punitivos) </w:t>
      </w:r>
      <w:r w:rsidR="0022596E" w:rsidRPr="008673B5">
        <w:rPr>
          <w:rFonts w:cs="Arial"/>
          <w:color w:val="000000" w:themeColor="text1"/>
          <w:lang w:val="es-MX"/>
        </w:rPr>
        <w:t>a cargo de</w:t>
      </w:r>
      <w:r w:rsidR="00830E79" w:rsidRPr="008673B5">
        <w:rPr>
          <w:rFonts w:cs="Arial"/>
          <w:color w:val="000000" w:themeColor="text1"/>
          <w:lang w:val="es-MX"/>
        </w:rPr>
        <w:t xml:space="preserve"> las empresas</w:t>
      </w:r>
      <w:r w:rsidR="006A00D6" w:rsidRPr="008673B5">
        <w:rPr>
          <w:rFonts w:cs="Arial"/>
          <w:color w:val="000000" w:themeColor="text1"/>
          <w:lang w:val="es-MX"/>
        </w:rPr>
        <w:t>, como una forma de sancionar a las responsables por los hechos discriminatorios ocurridos y de disuadir la comisión de futuros actos de discriminación en perjuicio de personas trans</w:t>
      </w:r>
      <w:r w:rsidR="00091B90" w:rsidRPr="008673B5">
        <w:rPr>
          <w:rFonts w:cs="Arial"/>
          <w:color w:val="000000" w:themeColor="text1"/>
          <w:lang w:val="es-MX"/>
        </w:rPr>
        <w:t>. Para cuantificar tal monto, la sala deberá atender</w:t>
      </w:r>
      <w:r w:rsidR="00244421" w:rsidRPr="008673B5">
        <w:rPr>
          <w:rFonts w:cs="Arial"/>
          <w:color w:val="000000" w:themeColor="text1"/>
          <w:lang w:val="es-MX"/>
        </w:rPr>
        <w:t>,</w:t>
      </w:r>
      <w:r w:rsidR="00091B90" w:rsidRPr="008673B5">
        <w:rPr>
          <w:rFonts w:cs="Arial"/>
          <w:color w:val="000000" w:themeColor="text1"/>
          <w:lang w:val="es-MX"/>
        </w:rPr>
        <w:t xml:space="preserve"> </w:t>
      </w:r>
      <w:r w:rsidR="00873233" w:rsidRPr="008673B5">
        <w:rPr>
          <w:rFonts w:cs="Arial"/>
          <w:color w:val="000000" w:themeColor="text1"/>
          <w:lang w:val="es-MX"/>
        </w:rPr>
        <w:t xml:space="preserve">con perspectiva de género, </w:t>
      </w:r>
      <w:r w:rsidR="00091B90" w:rsidRPr="008673B5">
        <w:rPr>
          <w:rFonts w:cs="Arial"/>
          <w:color w:val="000000" w:themeColor="text1"/>
          <w:lang w:val="es-MX"/>
        </w:rPr>
        <w:t xml:space="preserve">las consideraciones de </w:t>
      </w:r>
      <w:r w:rsidR="00244421" w:rsidRPr="008673B5">
        <w:rPr>
          <w:rFonts w:cs="Arial"/>
          <w:color w:val="000000" w:themeColor="text1"/>
          <w:lang w:val="es-MX"/>
        </w:rPr>
        <w:t xml:space="preserve">esta Suprema Corte </w:t>
      </w:r>
      <w:r w:rsidR="00866E69" w:rsidRPr="008673B5">
        <w:rPr>
          <w:rFonts w:cs="Arial"/>
          <w:color w:val="000000" w:themeColor="text1"/>
          <w:lang w:val="es-MX"/>
        </w:rPr>
        <w:t>en la materia,</w:t>
      </w:r>
      <w:r w:rsidR="00201EDC" w:rsidRPr="008673B5">
        <w:rPr>
          <w:rFonts w:cs="Arial"/>
          <w:color w:val="000000" w:themeColor="text1"/>
          <w:lang w:val="es-MX"/>
        </w:rPr>
        <w:t xml:space="preserve"> plasmadas en el </w:t>
      </w:r>
      <w:r w:rsidR="00C653C7">
        <w:rPr>
          <w:rFonts w:cs="Arial"/>
          <w:color w:val="000000" w:themeColor="text1"/>
          <w:lang w:val="es-MX"/>
        </w:rPr>
        <w:t xml:space="preserve">séptimo </w:t>
      </w:r>
      <w:r w:rsidR="00201EDC" w:rsidRPr="008673B5">
        <w:rPr>
          <w:rFonts w:cs="Arial"/>
          <w:color w:val="000000" w:themeColor="text1"/>
          <w:lang w:val="es-MX"/>
        </w:rPr>
        <w:t>considerando.</w:t>
      </w:r>
      <w:r w:rsidR="00F07687">
        <w:rPr>
          <w:rFonts w:cs="Arial"/>
          <w:color w:val="000000" w:themeColor="text1"/>
          <w:lang w:val="es-MX"/>
        </w:rPr>
        <w:t xml:space="preserve"> </w:t>
      </w:r>
    </w:p>
    <w:p w14:paraId="58995BC5" w14:textId="77777777" w:rsidR="008E4A13" w:rsidRPr="00F529C9" w:rsidRDefault="008E4A13" w:rsidP="00F529C9">
      <w:pPr>
        <w:pStyle w:val="Textoindependiente"/>
        <w:tabs>
          <w:tab w:val="left" w:pos="851"/>
        </w:tabs>
        <w:spacing w:line="360" w:lineRule="auto"/>
        <w:ind w:left="360" w:right="391" w:firstLine="0"/>
        <w:jc w:val="both"/>
        <w:rPr>
          <w:rFonts w:cs="Arial"/>
          <w:color w:val="000000" w:themeColor="text1"/>
          <w:lang w:val="es-MX"/>
        </w:rPr>
      </w:pPr>
    </w:p>
    <w:p w14:paraId="1C6E4249" w14:textId="69AF90FA" w:rsidR="002D7773" w:rsidRDefault="00042403" w:rsidP="00CF4096">
      <w:pPr>
        <w:pStyle w:val="corte4fondo"/>
        <w:ind w:right="51" w:hanging="567"/>
        <w:jc w:val="center"/>
        <w:rPr>
          <w:rFonts w:cs="Arial"/>
          <w:sz w:val="26"/>
          <w:szCs w:val="26"/>
        </w:rPr>
      </w:pPr>
      <w:r w:rsidRPr="003F6B95">
        <w:rPr>
          <w:rFonts w:cs="Arial"/>
          <w:b/>
          <w:bCs/>
          <w:color w:val="000000" w:themeColor="text1"/>
          <w:sz w:val="26"/>
          <w:szCs w:val="26"/>
        </w:rPr>
        <w:lastRenderedPageBreak/>
        <w:t>V</w:t>
      </w:r>
      <w:r>
        <w:rPr>
          <w:rFonts w:cs="Arial"/>
          <w:b/>
          <w:bCs/>
          <w:color w:val="000000" w:themeColor="text1"/>
          <w:sz w:val="26"/>
          <w:szCs w:val="26"/>
        </w:rPr>
        <w:t>I</w:t>
      </w:r>
      <w:r w:rsidRPr="003F6B95">
        <w:rPr>
          <w:rFonts w:cs="Arial"/>
          <w:b/>
          <w:bCs/>
          <w:color w:val="000000" w:themeColor="text1"/>
          <w:sz w:val="26"/>
          <w:szCs w:val="26"/>
        </w:rPr>
        <w:t>II.</w:t>
      </w:r>
      <w:r>
        <w:rPr>
          <w:rFonts w:cs="Arial"/>
          <w:b/>
          <w:bCs/>
          <w:color w:val="000000" w:themeColor="text1"/>
          <w:sz w:val="26"/>
          <w:szCs w:val="26"/>
        </w:rPr>
        <w:t xml:space="preserve"> DECISIÓN</w:t>
      </w:r>
    </w:p>
    <w:p w14:paraId="66A4BBF3" w14:textId="77777777" w:rsidR="00042403" w:rsidRPr="003F6B95" w:rsidRDefault="00042403" w:rsidP="00070BFC">
      <w:pPr>
        <w:pStyle w:val="corte4fondo"/>
        <w:ind w:right="51" w:hanging="567"/>
        <w:rPr>
          <w:rFonts w:cs="Arial"/>
          <w:sz w:val="26"/>
          <w:szCs w:val="26"/>
        </w:rPr>
      </w:pPr>
    </w:p>
    <w:p w14:paraId="7ACCFCDE" w14:textId="2C12DA26" w:rsidR="005B2912" w:rsidRPr="003F6B95" w:rsidRDefault="005B2912" w:rsidP="00070BFC">
      <w:pPr>
        <w:spacing w:line="480" w:lineRule="auto"/>
        <w:jc w:val="both"/>
        <w:rPr>
          <w:rFonts w:ascii="Arial" w:hAnsi="Arial" w:cs="Arial"/>
          <w:sz w:val="26"/>
          <w:szCs w:val="26"/>
          <w:lang w:val="es-ES_tradnl"/>
        </w:rPr>
      </w:pPr>
      <w:r w:rsidRPr="003F6B95">
        <w:rPr>
          <w:rFonts w:ascii="Arial" w:hAnsi="Arial" w:cs="Arial"/>
          <w:sz w:val="26"/>
          <w:szCs w:val="26"/>
          <w:lang w:val="es-ES_tradnl"/>
        </w:rPr>
        <w:t>Por lo expuesto y fundado</w:t>
      </w:r>
      <w:r w:rsidR="00202366">
        <w:rPr>
          <w:rFonts w:ascii="Arial" w:hAnsi="Arial" w:cs="Arial"/>
          <w:sz w:val="26"/>
          <w:szCs w:val="26"/>
          <w:lang w:val="es-ES_tradnl"/>
        </w:rPr>
        <w:t>,</w:t>
      </w:r>
      <w:r w:rsidRPr="003F6B95">
        <w:rPr>
          <w:rFonts w:ascii="Arial" w:hAnsi="Arial" w:cs="Arial"/>
          <w:sz w:val="26"/>
          <w:szCs w:val="26"/>
          <w:lang w:val="es-ES_tradnl"/>
        </w:rPr>
        <w:t xml:space="preserve"> se resuelve:</w:t>
      </w:r>
    </w:p>
    <w:p w14:paraId="250DC4F0" w14:textId="77777777" w:rsidR="005B2912" w:rsidRPr="003F6B95" w:rsidRDefault="005B2912" w:rsidP="00070BFC">
      <w:pPr>
        <w:pStyle w:val="corte4fondo"/>
        <w:ind w:hanging="567"/>
        <w:rPr>
          <w:rFonts w:cs="Arial"/>
          <w:b/>
          <w:sz w:val="26"/>
          <w:szCs w:val="26"/>
        </w:rPr>
      </w:pPr>
    </w:p>
    <w:p w14:paraId="1C49016F" w14:textId="6EEC7C8D" w:rsidR="005B2912" w:rsidRDefault="005B2912" w:rsidP="00070BFC">
      <w:pPr>
        <w:pStyle w:val="corte4fondo"/>
        <w:ind w:firstLine="0"/>
        <w:rPr>
          <w:rFonts w:cs="Arial"/>
          <w:color w:val="000000" w:themeColor="text1"/>
          <w:sz w:val="26"/>
          <w:szCs w:val="26"/>
          <w:lang w:val="es-MX"/>
        </w:rPr>
      </w:pPr>
      <w:r w:rsidRPr="003F6B95">
        <w:rPr>
          <w:rFonts w:cs="Arial"/>
          <w:b/>
          <w:sz w:val="26"/>
          <w:szCs w:val="26"/>
          <w:lang w:val="es-ES"/>
        </w:rPr>
        <w:t xml:space="preserve">ÚNICO. </w:t>
      </w:r>
      <w:r w:rsidRPr="003F6B95">
        <w:rPr>
          <w:rFonts w:cs="Arial"/>
          <w:sz w:val="26"/>
          <w:szCs w:val="26"/>
          <w:lang w:val="es-ES"/>
        </w:rPr>
        <w:t xml:space="preserve">La Justicia de la Unión ampara y protege a </w:t>
      </w:r>
      <w:r w:rsidRPr="003F6B95">
        <w:rPr>
          <w:rFonts w:cs="Arial"/>
          <w:color w:val="FF0000"/>
          <w:sz w:val="26"/>
          <w:szCs w:val="26"/>
          <w:lang w:val="es-ES"/>
        </w:rPr>
        <w:t>JMDF</w:t>
      </w:r>
      <w:r w:rsidRPr="003F6B95">
        <w:rPr>
          <w:rFonts w:cs="Arial"/>
          <w:sz w:val="26"/>
          <w:szCs w:val="26"/>
          <w:lang w:val="es-ES"/>
        </w:rPr>
        <w:t xml:space="preserve"> y </w:t>
      </w:r>
      <w:r w:rsidRPr="003F6B95">
        <w:rPr>
          <w:rFonts w:cs="Arial"/>
          <w:color w:val="FF0000"/>
          <w:sz w:val="26"/>
          <w:szCs w:val="26"/>
          <w:lang w:val="es-ES"/>
        </w:rPr>
        <w:t>LNGB</w:t>
      </w:r>
      <w:r w:rsidR="00042403">
        <w:rPr>
          <w:rFonts w:cs="Arial"/>
          <w:sz w:val="26"/>
          <w:szCs w:val="26"/>
          <w:lang w:val="es-ES"/>
        </w:rPr>
        <w:t>, e</w:t>
      </w:r>
      <w:r w:rsidRPr="003F6B95">
        <w:rPr>
          <w:rFonts w:cs="Arial"/>
          <w:sz w:val="26"/>
          <w:szCs w:val="26"/>
          <w:lang w:val="es-ES"/>
        </w:rPr>
        <w:t xml:space="preserve">n contra de la sentencia </w:t>
      </w:r>
      <w:r w:rsidR="007F4D99">
        <w:rPr>
          <w:rFonts w:cs="Arial"/>
          <w:sz w:val="26"/>
          <w:szCs w:val="26"/>
          <w:lang w:val="es-ES"/>
        </w:rPr>
        <w:t>dictada el 1 de julio de 2019 por la Cuarta Sala Civil del Tribunal Superior de Justicia de la Ciudad de México</w:t>
      </w:r>
      <w:r w:rsidR="007F68EE">
        <w:rPr>
          <w:rFonts w:cs="Arial"/>
          <w:sz w:val="26"/>
          <w:szCs w:val="26"/>
          <w:lang w:val="es-ES"/>
        </w:rPr>
        <w:t>, en el toca de apelación 255/2019</w:t>
      </w:r>
      <w:r w:rsidR="0036031D">
        <w:rPr>
          <w:rFonts w:cs="Arial"/>
          <w:sz w:val="26"/>
          <w:szCs w:val="26"/>
          <w:lang w:val="es-ES"/>
        </w:rPr>
        <w:t xml:space="preserve">, </w:t>
      </w:r>
      <w:r w:rsidR="00A434B5" w:rsidRPr="00120F0A">
        <w:rPr>
          <w:rFonts w:cs="Arial"/>
          <w:color w:val="000000" w:themeColor="text1"/>
          <w:sz w:val="26"/>
          <w:szCs w:val="26"/>
          <w:lang w:val="es-MX"/>
        </w:rPr>
        <w:t>y</w:t>
      </w:r>
      <w:r w:rsidR="00A434B5" w:rsidRPr="00120F0A">
        <w:rPr>
          <w:rFonts w:cs="Arial"/>
          <w:color w:val="000000" w:themeColor="text1"/>
          <w:spacing w:val="14"/>
          <w:sz w:val="26"/>
          <w:szCs w:val="26"/>
          <w:lang w:val="es-MX"/>
        </w:rPr>
        <w:t xml:space="preserve"> </w:t>
      </w:r>
      <w:r w:rsidR="00A434B5" w:rsidRPr="00120F0A">
        <w:rPr>
          <w:rFonts w:cs="Arial"/>
          <w:color w:val="000000" w:themeColor="text1"/>
          <w:sz w:val="26"/>
          <w:szCs w:val="26"/>
          <w:lang w:val="es-MX"/>
        </w:rPr>
        <w:t>para</w:t>
      </w:r>
      <w:r w:rsidR="00A434B5" w:rsidRPr="00120F0A">
        <w:rPr>
          <w:rFonts w:cs="Arial"/>
          <w:color w:val="000000" w:themeColor="text1"/>
          <w:spacing w:val="14"/>
          <w:sz w:val="26"/>
          <w:szCs w:val="26"/>
          <w:lang w:val="es-MX"/>
        </w:rPr>
        <w:t xml:space="preserve"> </w:t>
      </w:r>
      <w:r w:rsidR="00A434B5" w:rsidRPr="00120F0A">
        <w:rPr>
          <w:rFonts w:cs="Arial"/>
          <w:color w:val="000000" w:themeColor="text1"/>
          <w:sz w:val="26"/>
          <w:szCs w:val="26"/>
          <w:lang w:val="es-MX"/>
        </w:rPr>
        <w:t>los</w:t>
      </w:r>
      <w:r w:rsidR="00A434B5" w:rsidRPr="00120F0A">
        <w:rPr>
          <w:rFonts w:cs="Arial"/>
          <w:color w:val="000000" w:themeColor="text1"/>
          <w:spacing w:val="17"/>
          <w:sz w:val="26"/>
          <w:szCs w:val="26"/>
          <w:lang w:val="es-MX"/>
        </w:rPr>
        <w:t xml:space="preserve"> </w:t>
      </w:r>
      <w:r w:rsidR="00A434B5" w:rsidRPr="00120F0A">
        <w:rPr>
          <w:rFonts w:cs="Arial"/>
          <w:color w:val="000000" w:themeColor="text1"/>
          <w:spacing w:val="-1"/>
          <w:sz w:val="26"/>
          <w:szCs w:val="26"/>
          <w:lang w:val="es-MX"/>
        </w:rPr>
        <w:t>efectos</w:t>
      </w:r>
      <w:r w:rsidR="00A434B5" w:rsidRPr="00120F0A">
        <w:rPr>
          <w:rFonts w:cs="Arial"/>
          <w:color w:val="000000" w:themeColor="text1"/>
          <w:spacing w:val="15"/>
          <w:sz w:val="26"/>
          <w:szCs w:val="26"/>
          <w:lang w:val="es-MX"/>
        </w:rPr>
        <w:t xml:space="preserve"> </w:t>
      </w:r>
      <w:r w:rsidR="00A434B5" w:rsidRPr="00120F0A">
        <w:rPr>
          <w:rFonts w:cs="Arial"/>
          <w:color w:val="000000" w:themeColor="text1"/>
          <w:sz w:val="26"/>
          <w:szCs w:val="26"/>
          <w:lang w:val="es-MX"/>
        </w:rPr>
        <w:t>precisados</w:t>
      </w:r>
      <w:r w:rsidR="00A434B5" w:rsidRPr="00120F0A">
        <w:rPr>
          <w:rFonts w:cs="Arial"/>
          <w:color w:val="000000" w:themeColor="text1"/>
          <w:spacing w:val="17"/>
          <w:sz w:val="26"/>
          <w:szCs w:val="26"/>
          <w:lang w:val="es-MX"/>
        </w:rPr>
        <w:t xml:space="preserve"> </w:t>
      </w:r>
      <w:r w:rsidR="00A434B5" w:rsidRPr="00120F0A">
        <w:rPr>
          <w:rFonts w:cs="Arial"/>
          <w:color w:val="000000" w:themeColor="text1"/>
          <w:spacing w:val="-1"/>
          <w:sz w:val="26"/>
          <w:szCs w:val="26"/>
          <w:lang w:val="es-MX"/>
        </w:rPr>
        <w:t>en</w:t>
      </w:r>
      <w:r w:rsidR="00A434B5" w:rsidRPr="00120F0A">
        <w:rPr>
          <w:rFonts w:cs="Arial"/>
          <w:color w:val="000000" w:themeColor="text1"/>
          <w:spacing w:val="14"/>
          <w:sz w:val="26"/>
          <w:szCs w:val="26"/>
          <w:lang w:val="es-MX"/>
        </w:rPr>
        <w:t xml:space="preserve"> </w:t>
      </w:r>
      <w:r w:rsidR="00A434B5" w:rsidRPr="00120F0A">
        <w:rPr>
          <w:rFonts w:cs="Arial"/>
          <w:color w:val="000000" w:themeColor="text1"/>
          <w:spacing w:val="-1"/>
          <w:sz w:val="26"/>
          <w:szCs w:val="26"/>
          <w:lang w:val="es-MX"/>
        </w:rPr>
        <w:t>esta</w:t>
      </w:r>
      <w:r w:rsidR="00A434B5" w:rsidRPr="00120F0A">
        <w:rPr>
          <w:rFonts w:cs="Arial"/>
          <w:color w:val="000000" w:themeColor="text1"/>
          <w:spacing w:val="-8"/>
          <w:sz w:val="26"/>
          <w:szCs w:val="26"/>
          <w:lang w:val="es-MX"/>
        </w:rPr>
        <w:t xml:space="preserve"> </w:t>
      </w:r>
      <w:r w:rsidR="00A434B5" w:rsidRPr="00120F0A">
        <w:rPr>
          <w:rFonts w:cs="Arial"/>
          <w:color w:val="000000" w:themeColor="text1"/>
          <w:sz w:val="26"/>
          <w:szCs w:val="26"/>
          <w:lang w:val="es-MX"/>
        </w:rPr>
        <w:t>resolución.</w:t>
      </w:r>
    </w:p>
    <w:p w14:paraId="09F0623D" w14:textId="77777777" w:rsidR="003931AF" w:rsidRPr="003F6B95" w:rsidRDefault="003931AF" w:rsidP="00070BFC">
      <w:pPr>
        <w:pStyle w:val="corte4fondo"/>
        <w:ind w:firstLine="0"/>
        <w:rPr>
          <w:rFonts w:cs="Arial"/>
          <w:sz w:val="26"/>
          <w:szCs w:val="26"/>
          <w:lang w:val="es-ES"/>
        </w:rPr>
      </w:pPr>
    </w:p>
    <w:p w14:paraId="1E560A34" w14:textId="3FA616F1" w:rsidR="00D754A5" w:rsidRDefault="005B2912" w:rsidP="00E45822">
      <w:pPr>
        <w:pStyle w:val="corte4fondo"/>
        <w:ind w:firstLine="0"/>
        <w:rPr>
          <w:rFonts w:cs="Arial"/>
          <w:sz w:val="26"/>
          <w:szCs w:val="26"/>
          <w:lang w:val="es-ES"/>
        </w:rPr>
      </w:pPr>
      <w:r w:rsidRPr="003F6B95">
        <w:rPr>
          <w:rFonts w:cs="Arial"/>
          <w:b/>
          <w:sz w:val="26"/>
          <w:szCs w:val="26"/>
          <w:lang w:val="es-ES"/>
        </w:rPr>
        <w:t>Notifíquese;</w:t>
      </w:r>
      <w:r w:rsidRPr="003F6B95">
        <w:rPr>
          <w:rFonts w:cs="Arial"/>
          <w:sz w:val="26"/>
          <w:szCs w:val="26"/>
          <w:lang w:val="es-ES"/>
        </w:rPr>
        <w:t xml:space="preserve"> </w:t>
      </w:r>
      <w:r w:rsidR="0007677B">
        <w:rPr>
          <w:rFonts w:cs="Arial"/>
          <w:sz w:val="26"/>
          <w:szCs w:val="26"/>
          <w:lang w:val="es-ES"/>
        </w:rPr>
        <w:t xml:space="preserve">y </w:t>
      </w:r>
      <w:r w:rsidRPr="003F6B95">
        <w:rPr>
          <w:rFonts w:cs="Arial"/>
          <w:sz w:val="26"/>
          <w:szCs w:val="26"/>
          <w:lang w:val="es-ES"/>
        </w:rPr>
        <w:t>en su oportunidad archívese el toca</w:t>
      </w:r>
      <w:r w:rsidR="0007677B">
        <w:rPr>
          <w:rFonts w:cs="Arial"/>
          <w:sz w:val="26"/>
          <w:szCs w:val="26"/>
          <w:lang w:val="es-ES"/>
        </w:rPr>
        <w:t xml:space="preserve"> como asunto concluido</w:t>
      </w:r>
      <w:r w:rsidRPr="003F6B95">
        <w:rPr>
          <w:rFonts w:cs="Arial"/>
          <w:sz w:val="26"/>
          <w:szCs w:val="26"/>
          <w:lang w:val="es-ES"/>
        </w:rPr>
        <w:t>.</w:t>
      </w:r>
    </w:p>
    <w:p w14:paraId="6BBE34AF" w14:textId="5246EF51" w:rsidR="005246C3" w:rsidRDefault="005246C3" w:rsidP="002830AE">
      <w:pPr>
        <w:pStyle w:val="corte4fondo"/>
        <w:ind w:right="51" w:firstLine="0"/>
        <w:rPr>
          <w:rFonts w:cs="Arial"/>
          <w:sz w:val="26"/>
          <w:szCs w:val="26"/>
          <w:highlight w:val="yellow"/>
          <w:lang w:val="es-MX"/>
        </w:rPr>
      </w:pPr>
    </w:p>
    <w:p w14:paraId="12A896C4" w14:textId="7C1FD00E" w:rsidR="0049343F" w:rsidRPr="0049343F" w:rsidRDefault="0049343F" w:rsidP="000A4E6D">
      <w:pPr>
        <w:pStyle w:val="corte4fondo"/>
        <w:ind w:firstLine="0"/>
        <w:rPr>
          <w:rFonts w:cs="Arial"/>
          <w:sz w:val="26"/>
          <w:szCs w:val="26"/>
          <w:lang w:val="es-ES"/>
        </w:rPr>
      </w:pPr>
      <w:r w:rsidRPr="0049343F">
        <w:rPr>
          <w:rFonts w:cs="Arial"/>
          <w:sz w:val="26"/>
          <w:szCs w:val="26"/>
        </w:rPr>
        <w:t>Así lo resolvió la Primera Sala de la Suprema Corte de Justicia de la Nación, por mayoría de cuatro votos de l</w:t>
      </w:r>
      <w:r w:rsidR="00533727">
        <w:rPr>
          <w:rFonts w:cs="Arial"/>
          <w:sz w:val="26"/>
          <w:szCs w:val="26"/>
        </w:rPr>
        <w:t>o</w:t>
      </w:r>
      <w:r w:rsidRPr="0049343F">
        <w:rPr>
          <w:rFonts w:cs="Arial"/>
          <w:sz w:val="26"/>
          <w:szCs w:val="26"/>
        </w:rPr>
        <w:t>s señor</w:t>
      </w:r>
      <w:r w:rsidR="00533727">
        <w:rPr>
          <w:rFonts w:cs="Arial"/>
          <w:sz w:val="26"/>
          <w:szCs w:val="26"/>
        </w:rPr>
        <w:t>e</w:t>
      </w:r>
      <w:r w:rsidRPr="0049343F">
        <w:rPr>
          <w:rFonts w:cs="Arial"/>
          <w:sz w:val="26"/>
          <w:szCs w:val="26"/>
        </w:rPr>
        <w:t>s Ministr</w:t>
      </w:r>
      <w:r w:rsidR="00533727">
        <w:rPr>
          <w:rFonts w:cs="Arial"/>
          <w:sz w:val="26"/>
          <w:szCs w:val="26"/>
        </w:rPr>
        <w:t>o</w:t>
      </w:r>
      <w:r w:rsidRPr="0049343F">
        <w:rPr>
          <w:rFonts w:cs="Arial"/>
          <w:sz w:val="26"/>
          <w:szCs w:val="26"/>
        </w:rPr>
        <w:t>s: Jorge Mario Pardo Rebolledo, Juan Luis González Alcántara Carrancá</w:t>
      </w:r>
      <w:r w:rsidR="00BD6BFB">
        <w:rPr>
          <w:rFonts w:cs="Arial"/>
          <w:sz w:val="26"/>
          <w:szCs w:val="26"/>
        </w:rPr>
        <w:t xml:space="preserve"> </w:t>
      </w:r>
      <w:r w:rsidR="00BD6BFB" w:rsidRPr="0049343F">
        <w:rPr>
          <w:rFonts w:cs="Arial"/>
          <w:sz w:val="26"/>
          <w:szCs w:val="26"/>
        </w:rPr>
        <w:t>(quien</w:t>
      </w:r>
      <w:r w:rsidR="00EA0F5B">
        <w:rPr>
          <w:rFonts w:cs="Arial"/>
          <w:sz w:val="26"/>
          <w:szCs w:val="26"/>
        </w:rPr>
        <w:t>es</w:t>
      </w:r>
      <w:r w:rsidR="00BD6BFB" w:rsidRPr="0049343F">
        <w:rPr>
          <w:rFonts w:cs="Arial"/>
          <w:sz w:val="26"/>
          <w:szCs w:val="26"/>
        </w:rPr>
        <w:t xml:space="preserve"> se reserv</w:t>
      </w:r>
      <w:r w:rsidR="00EA0F5B">
        <w:rPr>
          <w:rFonts w:cs="Arial"/>
          <w:sz w:val="26"/>
          <w:szCs w:val="26"/>
        </w:rPr>
        <w:t>aron</w:t>
      </w:r>
      <w:r w:rsidR="00BD6BFB" w:rsidRPr="0049343F">
        <w:rPr>
          <w:rFonts w:cs="Arial"/>
          <w:sz w:val="26"/>
          <w:szCs w:val="26"/>
        </w:rPr>
        <w:t xml:space="preserve"> su derecho a formular voto concurrente)</w:t>
      </w:r>
      <w:r w:rsidRPr="0049343F">
        <w:rPr>
          <w:rFonts w:cs="Arial"/>
          <w:sz w:val="26"/>
          <w:szCs w:val="26"/>
        </w:rPr>
        <w:t xml:space="preserve">, Alfredo Gutiérrez Ortiz Mena (Ponente), y </w:t>
      </w:r>
      <w:r w:rsidR="00EA0F5B">
        <w:rPr>
          <w:rFonts w:cs="Arial"/>
          <w:sz w:val="26"/>
          <w:szCs w:val="26"/>
        </w:rPr>
        <w:t xml:space="preserve">la </w:t>
      </w:r>
      <w:r w:rsidR="00A33F85">
        <w:rPr>
          <w:rFonts w:cs="Arial"/>
          <w:sz w:val="26"/>
          <w:szCs w:val="26"/>
        </w:rPr>
        <w:t>M</w:t>
      </w:r>
      <w:r w:rsidR="00A64F7A">
        <w:rPr>
          <w:rFonts w:cs="Arial"/>
          <w:sz w:val="26"/>
          <w:szCs w:val="26"/>
        </w:rPr>
        <w:t>i</w:t>
      </w:r>
      <w:r w:rsidR="00A33F85">
        <w:rPr>
          <w:rFonts w:cs="Arial"/>
          <w:sz w:val="26"/>
          <w:szCs w:val="26"/>
        </w:rPr>
        <w:t>n</w:t>
      </w:r>
      <w:r w:rsidR="00A64F7A">
        <w:rPr>
          <w:rFonts w:cs="Arial"/>
          <w:sz w:val="26"/>
          <w:szCs w:val="26"/>
        </w:rPr>
        <w:t>i</w:t>
      </w:r>
      <w:r w:rsidR="00A33F85">
        <w:rPr>
          <w:rFonts w:cs="Arial"/>
          <w:sz w:val="26"/>
          <w:szCs w:val="26"/>
        </w:rPr>
        <w:t>stra</w:t>
      </w:r>
      <w:r w:rsidR="00A64F7A">
        <w:rPr>
          <w:rFonts w:cs="Arial"/>
          <w:sz w:val="26"/>
          <w:szCs w:val="26"/>
        </w:rPr>
        <w:t xml:space="preserve"> </w:t>
      </w:r>
      <w:r w:rsidRPr="0049343F">
        <w:rPr>
          <w:rFonts w:cs="Arial"/>
          <w:sz w:val="26"/>
          <w:szCs w:val="26"/>
        </w:rPr>
        <w:t>Loretta Ortiz Ahlf (Presidenta). En contra del emitido por la Ministra Ana Margarita Ríos Farjat (quien se reservó su derecho a formular voto particular)</w:t>
      </w:r>
      <w:r w:rsidR="00EC44C4">
        <w:rPr>
          <w:rFonts w:cs="Arial"/>
          <w:sz w:val="26"/>
          <w:szCs w:val="26"/>
        </w:rPr>
        <w:t>.</w:t>
      </w:r>
    </w:p>
    <w:p w14:paraId="68AC88E2" w14:textId="77777777" w:rsidR="0049343F" w:rsidRPr="0049343F" w:rsidRDefault="0049343F" w:rsidP="0049343F">
      <w:pPr>
        <w:pStyle w:val="corte4fondo"/>
        <w:ind w:firstLine="0"/>
        <w:rPr>
          <w:rFonts w:cs="Arial"/>
          <w:sz w:val="26"/>
          <w:szCs w:val="26"/>
        </w:rPr>
      </w:pPr>
    </w:p>
    <w:p w14:paraId="3E0C4255" w14:textId="77777777" w:rsidR="0049343F" w:rsidRPr="0049343F" w:rsidRDefault="0049343F" w:rsidP="000A4E6D">
      <w:pPr>
        <w:pStyle w:val="corte4fondo"/>
        <w:ind w:firstLine="0"/>
        <w:rPr>
          <w:rFonts w:cs="Arial"/>
          <w:sz w:val="26"/>
          <w:szCs w:val="26"/>
        </w:rPr>
      </w:pPr>
      <w:r w:rsidRPr="0049343F">
        <w:rPr>
          <w:rFonts w:cs="Arial"/>
          <w:sz w:val="26"/>
          <w:szCs w:val="26"/>
        </w:rPr>
        <w:t>Firma la Ministra Presidenta de la Primera Sala y el Ministro Ponente, con el Secretario de Acuerdos, que autoriza y da fe.</w:t>
      </w:r>
    </w:p>
    <w:p w14:paraId="1C74C7C1" w14:textId="77777777" w:rsidR="00F46DD0" w:rsidRDefault="00F46DD0" w:rsidP="000A4E6D">
      <w:pPr>
        <w:pStyle w:val="corte4fondo"/>
        <w:ind w:firstLine="0"/>
        <w:jc w:val="center"/>
        <w:rPr>
          <w:rFonts w:cs="Arial"/>
          <w:b/>
          <w:bCs/>
          <w:sz w:val="26"/>
          <w:szCs w:val="26"/>
          <w:lang w:val="pt-BR"/>
        </w:rPr>
      </w:pPr>
    </w:p>
    <w:p w14:paraId="0ED4F061" w14:textId="493F4CDE" w:rsidR="0049343F" w:rsidRPr="0049343F" w:rsidRDefault="0049343F" w:rsidP="000A4E6D">
      <w:pPr>
        <w:pStyle w:val="corte4fondo"/>
        <w:ind w:firstLine="0"/>
        <w:jc w:val="center"/>
        <w:rPr>
          <w:rFonts w:cs="Arial"/>
          <w:b/>
          <w:bCs/>
          <w:sz w:val="26"/>
          <w:szCs w:val="26"/>
          <w:lang w:val="pt-BR"/>
        </w:rPr>
      </w:pPr>
      <w:r w:rsidRPr="0049343F">
        <w:rPr>
          <w:rFonts w:cs="Arial"/>
          <w:b/>
          <w:bCs/>
          <w:sz w:val="26"/>
          <w:szCs w:val="26"/>
          <w:lang w:val="pt-BR"/>
        </w:rPr>
        <w:t>PRESIDENTA DE LA PRIMERA SALA</w:t>
      </w:r>
    </w:p>
    <w:p w14:paraId="1A167FD3" w14:textId="77777777" w:rsidR="0049343F" w:rsidRPr="0049343F" w:rsidRDefault="0049343F" w:rsidP="000A4E6D">
      <w:pPr>
        <w:pStyle w:val="corte4fondo"/>
        <w:ind w:firstLine="0"/>
        <w:jc w:val="center"/>
        <w:rPr>
          <w:rFonts w:cs="Arial"/>
          <w:b/>
          <w:bCs/>
          <w:sz w:val="26"/>
          <w:szCs w:val="26"/>
          <w:lang w:val="pt-BR"/>
        </w:rPr>
      </w:pPr>
    </w:p>
    <w:p w14:paraId="6C32792C" w14:textId="77777777" w:rsidR="0049343F" w:rsidRPr="0049343F" w:rsidRDefault="0049343F" w:rsidP="000A4E6D">
      <w:pPr>
        <w:pStyle w:val="corte4fondo"/>
        <w:ind w:firstLine="0"/>
        <w:jc w:val="center"/>
        <w:rPr>
          <w:rFonts w:cs="Arial"/>
          <w:b/>
          <w:bCs/>
          <w:sz w:val="26"/>
          <w:szCs w:val="26"/>
          <w:lang w:val="pt-BR"/>
        </w:rPr>
      </w:pPr>
    </w:p>
    <w:p w14:paraId="675F7DAD" w14:textId="77777777" w:rsidR="0049343F" w:rsidRPr="0049343F" w:rsidRDefault="0049343F" w:rsidP="000A4E6D">
      <w:pPr>
        <w:pStyle w:val="corte4fondo"/>
        <w:ind w:firstLine="0"/>
        <w:jc w:val="center"/>
        <w:rPr>
          <w:rFonts w:cs="Arial"/>
          <w:b/>
          <w:bCs/>
          <w:sz w:val="26"/>
          <w:szCs w:val="26"/>
          <w:lang w:val="pt-BR"/>
        </w:rPr>
      </w:pPr>
    </w:p>
    <w:p w14:paraId="556536E1" w14:textId="77777777" w:rsidR="0049343F" w:rsidRPr="0049343F" w:rsidRDefault="0049343F" w:rsidP="000A4E6D">
      <w:pPr>
        <w:pStyle w:val="corte4fondo"/>
        <w:ind w:firstLine="0"/>
        <w:jc w:val="center"/>
        <w:rPr>
          <w:rFonts w:cs="Arial"/>
          <w:b/>
          <w:bCs/>
          <w:sz w:val="26"/>
          <w:szCs w:val="26"/>
          <w:lang w:val="pt-BR"/>
        </w:rPr>
      </w:pPr>
      <w:r w:rsidRPr="0049343F">
        <w:rPr>
          <w:rFonts w:cs="Arial"/>
          <w:b/>
          <w:bCs/>
          <w:sz w:val="26"/>
          <w:szCs w:val="26"/>
          <w:lang w:val="pt-BR"/>
        </w:rPr>
        <w:t>MINISTRA LORETTA ORTIZ AHLF</w:t>
      </w:r>
    </w:p>
    <w:p w14:paraId="26F73832" w14:textId="77777777" w:rsidR="0049343F" w:rsidRPr="0049343F" w:rsidRDefault="0049343F" w:rsidP="000A4E6D">
      <w:pPr>
        <w:pStyle w:val="corte4fondo"/>
        <w:ind w:firstLine="0"/>
        <w:jc w:val="center"/>
        <w:rPr>
          <w:rFonts w:cs="Arial"/>
          <w:b/>
          <w:bCs/>
          <w:sz w:val="26"/>
          <w:szCs w:val="26"/>
          <w:lang w:val="pt-BR"/>
        </w:rPr>
      </w:pPr>
    </w:p>
    <w:p w14:paraId="7533A390" w14:textId="77777777" w:rsidR="0049343F" w:rsidRPr="0049343F" w:rsidRDefault="0049343F" w:rsidP="000A4E6D">
      <w:pPr>
        <w:pStyle w:val="corte4fondo"/>
        <w:ind w:firstLine="0"/>
        <w:jc w:val="center"/>
        <w:rPr>
          <w:rFonts w:cs="Arial"/>
          <w:b/>
          <w:bCs/>
          <w:sz w:val="26"/>
          <w:szCs w:val="26"/>
          <w:lang w:val="pt-BR"/>
        </w:rPr>
      </w:pPr>
    </w:p>
    <w:p w14:paraId="5916BD81" w14:textId="77777777" w:rsidR="0049343F" w:rsidRPr="0049343F" w:rsidRDefault="0049343F" w:rsidP="000A4E6D">
      <w:pPr>
        <w:pStyle w:val="corte4fondo"/>
        <w:ind w:firstLine="0"/>
        <w:jc w:val="center"/>
        <w:rPr>
          <w:rFonts w:cs="Arial"/>
          <w:b/>
          <w:bCs/>
          <w:sz w:val="26"/>
          <w:szCs w:val="26"/>
          <w:lang w:val="pt-BR"/>
        </w:rPr>
      </w:pPr>
      <w:r w:rsidRPr="0049343F">
        <w:rPr>
          <w:rFonts w:cs="Arial"/>
          <w:b/>
          <w:bCs/>
          <w:sz w:val="26"/>
          <w:szCs w:val="26"/>
          <w:lang w:val="pt-BR"/>
        </w:rPr>
        <w:t>PONENTE</w:t>
      </w:r>
    </w:p>
    <w:p w14:paraId="5870D0CF" w14:textId="77777777" w:rsidR="0049343F" w:rsidRPr="0049343F" w:rsidRDefault="0049343F" w:rsidP="000A4E6D">
      <w:pPr>
        <w:pStyle w:val="corte4fondo"/>
        <w:ind w:firstLine="0"/>
        <w:jc w:val="center"/>
        <w:rPr>
          <w:rFonts w:cs="Arial"/>
          <w:b/>
          <w:bCs/>
          <w:sz w:val="26"/>
          <w:szCs w:val="26"/>
          <w:lang w:val="pt-BR"/>
        </w:rPr>
      </w:pPr>
    </w:p>
    <w:p w14:paraId="7B0771F5" w14:textId="77777777" w:rsidR="0049343F" w:rsidRPr="0049343F" w:rsidRDefault="0049343F" w:rsidP="000A4E6D">
      <w:pPr>
        <w:pStyle w:val="corte4fondo"/>
        <w:ind w:firstLine="0"/>
        <w:jc w:val="center"/>
        <w:rPr>
          <w:rFonts w:cs="Arial"/>
          <w:b/>
          <w:bCs/>
          <w:sz w:val="26"/>
          <w:szCs w:val="26"/>
          <w:lang w:val="pt-BR"/>
        </w:rPr>
      </w:pPr>
    </w:p>
    <w:p w14:paraId="67ABBF42" w14:textId="77777777" w:rsidR="0049343F" w:rsidRPr="0049343F" w:rsidRDefault="0049343F" w:rsidP="000A4E6D">
      <w:pPr>
        <w:pStyle w:val="corte4fondo"/>
        <w:ind w:firstLine="0"/>
        <w:jc w:val="center"/>
        <w:rPr>
          <w:rFonts w:cs="Arial"/>
          <w:b/>
          <w:bCs/>
          <w:sz w:val="26"/>
          <w:szCs w:val="26"/>
          <w:lang w:val="pt-BR"/>
        </w:rPr>
      </w:pPr>
    </w:p>
    <w:p w14:paraId="42D53F89" w14:textId="77777777" w:rsidR="0049343F" w:rsidRPr="0049343F" w:rsidRDefault="0049343F" w:rsidP="000A4E6D">
      <w:pPr>
        <w:pStyle w:val="corte4fondo"/>
        <w:ind w:firstLine="0"/>
        <w:jc w:val="center"/>
        <w:rPr>
          <w:rFonts w:cs="Arial"/>
          <w:b/>
          <w:bCs/>
          <w:sz w:val="26"/>
          <w:szCs w:val="26"/>
          <w:lang w:val="pt-BR"/>
        </w:rPr>
      </w:pPr>
      <w:r w:rsidRPr="0049343F">
        <w:rPr>
          <w:rFonts w:cs="Arial"/>
          <w:b/>
          <w:bCs/>
          <w:sz w:val="26"/>
          <w:szCs w:val="26"/>
          <w:lang w:val="pt-BR"/>
        </w:rPr>
        <w:t>MINISTRO ALFREDO GUTIÉRREZ ORTIZ MENA</w:t>
      </w:r>
    </w:p>
    <w:p w14:paraId="09F34E94" w14:textId="77777777" w:rsidR="0049343F" w:rsidRPr="0049343F" w:rsidRDefault="0049343F" w:rsidP="000A4E6D">
      <w:pPr>
        <w:pStyle w:val="corte4fondo"/>
        <w:ind w:firstLine="0"/>
        <w:jc w:val="center"/>
        <w:rPr>
          <w:rFonts w:cs="Arial"/>
          <w:b/>
          <w:bCs/>
          <w:sz w:val="26"/>
          <w:szCs w:val="26"/>
        </w:rPr>
      </w:pPr>
    </w:p>
    <w:p w14:paraId="561A3524" w14:textId="77777777" w:rsidR="0049343F" w:rsidRPr="0049343F" w:rsidRDefault="0049343F" w:rsidP="000A4E6D">
      <w:pPr>
        <w:pStyle w:val="corte4fondo"/>
        <w:ind w:firstLine="0"/>
        <w:jc w:val="center"/>
        <w:rPr>
          <w:rFonts w:cs="Arial"/>
          <w:b/>
          <w:bCs/>
          <w:sz w:val="26"/>
          <w:szCs w:val="26"/>
        </w:rPr>
      </w:pPr>
    </w:p>
    <w:p w14:paraId="46759AD1" w14:textId="77777777" w:rsidR="0049343F" w:rsidRPr="0049343F" w:rsidRDefault="0049343F" w:rsidP="000A4E6D">
      <w:pPr>
        <w:pStyle w:val="corte4fondo"/>
        <w:ind w:firstLine="0"/>
        <w:jc w:val="center"/>
        <w:rPr>
          <w:rFonts w:cs="Arial"/>
          <w:b/>
          <w:bCs/>
          <w:sz w:val="26"/>
          <w:szCs w:val="26"/>
        </w:rPr>
      </w:pPr>
      <w:r w:rsidRPr="0049343F">
        <w:rPr>
          <w:rFonts w:cs="Arial"/>
          <w:b/>
          <w:bCs/>
          <w:sz w:val="26"/>
          <w:szCs w:val="26"/>
        </w:rPr>
        <w:t>SECRETARIO DE ACUERDOS DE LA PRIMERA SALA</w:t>
      </w:r>
    </w:p>
    <w:p w14:paraId="28C11D9E" w14:textId="77777777" w:rsidR="0049343F" w:rsidRPr="0049343F" w:rsidRDefault="0049343F" w:rsidP="000A4E6D">
      <w:pPr>
        <w:pStyle w:val="corte4fondo"/>
        <w:ind w:firstLine="0"/>
        <w:jc w:val="center"/>
        <w:rPr>
          <w:rFonts w:cs="Arial"/>
          <w:b/>
          <w:bCs/>
          <w:sz w:val="26"/>
          <w:szCs w:val="26"/>
        </w:rPr>
      </w:pPr>
    </w:p>
    <w:p w14:paraId="1399FA23" w14:textId="77777777" w:rsidR="0049343F" w:rsidRPr="0049343F" w:rsidRDefault="0049343F" w:rsidP="000A4E6D">
      <w:pPr>
        <w:pStyle w:val="corte4fondo"/>
        <w:ind w:firstLine="0"/>
        <w:jc w:val="center"/>
        <w:rPr>
          <w:rFonts w:cs="Arial"/>
          <w:b/>
          <w:bCs/>
          <w:sz w:val="26"/>
          <w:szCs w:val="26"/>
        </w:rPr>
      </w:pPr>
    </w:p>
    <w:p w14:paraId="151DCBFC" w14:textId="77777777" w:rsidR="0049343F" w:rsidRPr="0049343F" w:rsidRDefault="0049343F" w:rsidP="000A4E6D">
      <w:pPr>
        <w:pStyle w:val="corte4fondo"/>
        <w:ind w:firstLine="0"/>
        <w:jc w:val="center"/>
        <w:rPr>
          <w:rFonts w:cs="Arial"/>
          <w:b/>
          <w:bCs/>
          <w:sz w:val="26"/>
          <w:szCs w:val="26"/>
        </w:rPr>
      </w:pPr>
    </w:p>
    <w:p w14:paraId="015A1736" w14:textId="33275006" w:rsidR="0082029C" w:rsidRDefault="0049343F" w:rsidP="000A4E6D">
      <w:pPr>
        <w:pStyle w:val="corte4fondo"/>
        <w:ind w:right="51" w:firstLine="0"/>
        <w:jc w:val="center"/>
        <w:rPr>
          <w:rFonts w:cs="Arial"/>
          <w:b/>
          <w:sz w:val="26"/>
          <w:szCs w:val="26"/>
          <w:lang w:val="es-MX"/>
        </w:rPr>
      </w:pPr>
      <w:r w:rsidRPr="000A4E6D">
        <w:rPr>
          <w:rFonts w:cs="Arial"/>
          <w:b/>
          <w:sz w:val="26"/>
          <w:szCs w:val="26"/>
          <w:lang w:val="es-MX"/>
        </w:rPr>
        <w:t>MAESTRO RAÚL MENDIOLA PIZAÑA</w:t>
      </w:r>
    </w:p>
    <w:p w14:paraId="7F66338D" w14:textId="77777777" w:rsidR="00292FD5" w:rsidRDefault="00292FD5" w:rsidP="000A4E6D">
      <w:pPr>
        <w:pStyle w:val="corte4fondo"/>
        <w:ind w:right="51" w:firstLine="0"/>
        <w:jc w:val="center"/>
        <w:rPr>
          <w:rFonts w:cs="Arial"/>
          <w:b/>
          <w:sz w:val="26"/>
          <w:szCs w:val="26"/>
          <w:lang w:val="es-MX"/>
        </w:rPr>
      </w:pPr>
    </w:p>
    <w:p w14:paraId="10EEFC85" w14:textId="1E6429B9" w:rsidR="00292FD5" w:rsidRPr="000A4E6D" w:rsidRDefault="00E74F3D" w:rsidP="00E74F3D">
      <w:pPr>
        <w:pStyle w:val="corte4fondo"/>
        <w:spacing w:line="240" w:lineRule="auto"/>
        <w:ind w:right="51" w:firstLine="0"/>
        <w:rPr>
          <w:rFonts w:cs="Arial"/>
          <w:sz w:val="26"/>
          <w:szCs w:val="26"/>
          <w:lang w:val="es-MX"/>
        </w:rPr>
      </w:pPr>
      <w:r w:rsidRPr="004E5A09">
        <w:rPr>
          <w:sz w:val="24"/>
          <w:szCs w:val="24"/>
        </w:rPr>
        <w:t>En términos de lo previsto en los artículos 113 y 116 de la Ley General de Transparencia y Acceso a la Información Pública,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r>
        <w:rPr>
          <w:sz w:val="24"/>
          <w:szCs w:val="24"/>
        </w:rPr>
        <w:t>.</w:t>
      </w:r>
    </w:p>
    <w:sectPr w:rsidR="00292FD5" w:rsidRPr="000A4E6D" w:rsidSect="0077673C">
      <w:pgSz w:w="12240" w:h="20160"/>
      <w:pgMar w:top="2381" w:right="1701" w:bottom="181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AE3BA" w14:textId="77777777" w:rsidR="00A90EC6" w:rsidRDefault="00A90EC6" w:rsidP="00E728E7">
      <w:r>
        <w:separator/>
      </w:r>
    </w:p>
  </w:endnote>
  <w:endnote w:type="continuationSeparator" w:id="0">
    <w:p w14:paraId="34E40E66" w14:textId="77777777" w:rsidR="00A90EC6" w:rsidRDefault="00A90EC6" w:rsidP="00E728E7">
      <w:r>
        <w:continuationSeparator/>
      </w:r>
    </w:p>
  </w:endnote>
  <w:endnote w:type="continuationNotice" w:id="1">
    <w:p w14:paraId="78AECCBC" w14:textId="77777777" w:rsidR="00A90EC6" w:rsidRDefault="00A90E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B5D48" w14:textId="57675E50" w:rsidR="000B5907" w:rsidRPr="0015534A" w:rsidRDefault="002013A1">
    <w:pPr>
      <w:pStyle w:val="Piedepgina"/>
      <w:rPr>
        <w:rFonts w:ascii="Arial" w:hAnsi="Arial" w:cs="Arial"/>
        <w:b/>
        <w:bCs/>
        <w:color w:val="0070C0"/>
        <w:sz w:val="28"/>
        <w:szCs w:val="28"/>
      </w:rPr>
    </w:pPr>
    <w:r w:rsidRPr="0015534A">
      <w:rPr>
        <w:rFonts w:ascii="Arial" w:hAnsi="Arial" w:cs="Arial"/>
        <w:b/>
        <w:bCs/>
        <w:color w:val="0070C0"/>
        <w:sz w:val="28"/>
        <w:szCs w:val="28"/>
      </w:rPr>
      <w:fldChar w:fldCharType="begin"/>
    </w:r>
    <w:r w:rsidRPr="0015534A">
      <w:rPr>
        <w:rFonts w:ascii="Arial" w:hAnsi="Arial" w:cs="Arial"/>
        <w:b/>
        <w:bCs/>
        <w:color w:val="0070C0"/>
        <w:sz w:val="28"/>
        <w:szCs w:val="28"/>
      </w:rPr>
      <w:instrText xml:space="preserve"> PAGE   \* MERGEFORMAT </w:instrText>
    </w:r>
    <w:r w:rsidRPr="0015534A">
      <w:rPr>
        <w:rFonts w:ascii="Arial" w:hAnsi="Arial" w:cs="Arial"/>
        <w:b/>
        <w:bCs/>
        <w:color w:val="0070C0"/>
        <w:sz w:val="28"/>
        <w:szCs w:val="28"/>
      </w:rPr>
      <w:fldChar w:fldCharType="separate"/>
    </w:r>
    <w:r w:rsidRPr="0015534A">
      <w:rPr>
        <w:rFonts w:ascii="Arial" w:hAnsi="Arial" w:cs="Arial"/>
        <w:b/>
        <w:bCs/>
        <w:color w:val="0070C0"/>
        <w:sz w:val="28"/>
        <w:szCs w:val="28"/>
      </w:rPr>
      <w:t>2</w:t>
    </w:r>
    <w:r w:rsidRPr="0015534A">
      <w:rPr>
        <w:rFonts w:ascii="Arial" w:hAnsi="Arial" w:cs="Arial"/>
        <w:b/>
        <w:bCs/>
        <w:color w:val="0070C0"/>
        <w:sz w:val="28"/>
        <w:szCs w:val="28"/>
      </w:rPr>
      <w:fldChar w:fldCharType="end"/>
    </w:r>
  </w:p>
  <w:p w14:paraId="339A0764" w14:textId="371A697C" w:rsidR="00063843" w:rsidRDefault="00063843">
    <w:pPr>
      <w:pStyle w:val="Piedepgina"/>
      <w:rPr>
        <w:rFonts w:ascii="Arial" w:hAnsi="Arial" w:cs="Arial"/>
        <w:b/>
        <w:bCs/>
        <w:color w:val="0070C0"/>
      </w:rPr>
    </w:pPr>
  </w:p>
  <w:p w14:paraId="0B4D91F1" w14:textId="77777777" w:rsidR="00063843" w:rsidRPr="002013A1" w:rsidRDefault="00063843">
    <w:pPr>
      <w:pStyle w:val="Piedepgina"/>
      <w:rPr>
        <w:rFonts w:ascii="Arial" w:hAnsi="Arial" w:cs="Arial"/>
        <w:b/>
        <w:bCs/>
        <w:color w:val="0070C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27FF3" w14:textId="77777777" w:rsidR="00063843" w:rsidRDefault="00063843" w:rsidP="004658B9">
    <w:pPr>
      <w:pStyle w:val="Piedepgina"/>
      <w:jc w:val="right"/>
      <w:rPr>
        <w:rFonts w:ascii="Arial" w:hAnsi="Arial" w:cs="Arial"/>
        <w:b/>
        <w:color w:val="0070C0"/>
      </w:rPr>
    </w:pPr>
  </w:p>
  <w:p w14:paraId="1AB4806E" w14:textId="77777777" w:rsidR="00063843" w:rsidRDefault="00063843" w:rsidP="004658B9">
    <w:pPr>
      <w:pStyle w:val="Piedepgina"/>
      <w:jc w:val="right"/>
      <w:rPr>
        <w:rFonts w:ascii="Arial" w:hAnsi="Arial" w:cs="Arial"/>
        <w:b/>
        <w:color w:val="0070C0"/>
      </w:rPr>
    </w:pPr>
  </w:p>
  <w:p w14:paraId="4F5D7F65" w14:textId="19AFC698" w:rsidR="000B5907" w:rsidRPr="00CA1B03" w:rsidRDefault="004658B9" w:rsidP="00A05649">
    <w:pPr>
      <w:pStyle w:val="Piedepgina"/>
      <w:jc w:val="center"/>
      <w:rPr>
        <w:rFonts w:ascii="Arial" w:hAnsi="Arial" w:cs="Arial"/>
        <w:b/>
        <w:color w:val="000000" w:themeColor="text1"/>
      </w:rPr>
    </w:pPr>
    <w:r w:rsidRPr="00CA1B03">
      <w:rPr>
        <w:rFonts w:ascii="Arial" w:hAnsi="Arial" w:cs="Arial"/>
        <w:b/>
        <w:color w:val="000000" w:themeColor="text1"/>
      </w:rPr>
      <w:fldChar w:fldCharType="begin"/>
    </w:r>
    <w:r w:rsidRPr="00CA1B03">
      <w:rPr>
        <w:rFonts w:ascii="Arial" w:hAnsi="Arial" w:cs="Arial"/>
        <w:b/>
        <w:color w:val="000000" w:themeColor="text1"/>
      </w:rPr>
      <w:instrText xml:space="preserve"> PAGE   \* MERGEFORMAT </w:instrText>
    </w:r>
    <w:r w:rsidRPr="00CA1B03">
      <w:rPr>
        <w:rFonts w:ascii="Arial" w:hAnsi="Arial" w:cs="Arial"/>
        <w:b/>
        <w:color w:val="000000" w:themeColor="text1"/>
      </w:rPr>
      <w:fldChar w:fldCharType="separate"/>
    </w:r>
    <w:r w:rsidRPr="00CA1B03">
      <w:rPr>
        <w:rFonts w:ascii="Arial" w:hAnsi="Arial" w:cs="Arial"/>
        <w:b/>
        <w:color w:val="000000" w:themeColor="text1"/>
      </w:rPr>
      <w:t>3</w:t>
    </w:r>
    <w:r w:rsidRPr="00CA1B03">
      <w:rPr>
        <w:rFonts w:ascii="Arial" w:hAnsi="Arial" w:cs="Arial"/>
        <w:b/>
        <w:color w:val="000000" w:themeColor="text1"/>
      </w:rPr>
      <w:fldChar w:fldCharType="end"/>
    </w:r>
  </w:p>
  <w:p w14:paraId="6C17F771" w14:textId="77777777" w:rsidR="00063843" w:rsidRPr="004658B9" w:rsidRDefault="00063843" w:rsidP="00063843">
    <w:pPr>
      <w:pStyle w:val="Piedepgina"/>
      <w:rPr>
        <w:b/>
        <w:color w:val="0070C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7B6A4" w14:textId="77777777" w:rsidR="00A90EC6" w:rsidRDefault="00A90EC6" w:rsidP="00E728E7">
      <w:r>
        <w:separator/>
      </w:r>
    </w:p>
  </w:footnote>
  <w:footnote w:type="continuationSeparator" w:id="0">
    <w:p w14:paraId="58E54F32" w14:textId="77777777" w:rsidR="00A90EC6" w:rsidRDefault="00A90EC6" w:rsidP="00E728E7">
      <w:r>
        <w:continuationSeparator/>
      </w:r>
    </w:p>
  </w:footnote>
  <w:footnote w:type="continuationNotice" w:id="1">
    <w:p w14:paraId="01295CA8" w14:textId="77777777" w:rsidR="00A90EC6" w:rsidRDefault="00A90EC6"/>
  </w:footnote>
  <w:footnote w:id="2">
    <w:p w14:paraId="4C94C7FA" w14:textId="64E2B8EC" w:rsidR="008F1AF4" w:rsidRPr="000A53F8" w:rsidRDefault="008F1AF4"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00210E9A" w:rsidRPr="000A53F8">
        <w:rPr>
          <w:rFonts w:asciiTheme="minorBidi" w:hAnsiTheme="minorBidi" w:cstheme="minorBidi"/>
          <w:color w:val="000000" w:themeColor="text1"/>
          <w:sz w:val="18"/>
          <w:szCs w:val="18"/>
        </w:rPr>
        <w:t xml:space="preserve">Los presentes hechos se retomaron </w:t>
      </w:r>
      <w:r w:rsidR="00F5016C" w:rsidRPr="000A53F8">
        <w:rPr>
          <w:rFonts w:asciiTheme="minorBidi" w:hAnsiTheme="minorBidi" w:cstheme="minorBidi"/>
          <w:color w:val="000000" w:themeColor="text1"/>
          <w:sz w:val="18"/>
          <w:szCs w:val="18"/>
        </w:rPr>
        <w:t>d</w:t>
      </w:r>
      <w:r w:rsidR="00D02767" w:rsidRPr="000A53F8">
        <w:rPr>
          <w:rFonts w:asciiTheme="minorBidi" w:hAnsiTheme="minorBidi" w:cstheme="minorBidi"/>
          <w:color w:val="000000" w:themeColor="text1"/>
          <w:sz w:val="18"/>
          <w:szCs w:val="18"/>
        </w:rPr>
        <w:t xml:space="preserve">el escrito de demanda civil presentado el </w:t>
      </w:r>
      <w:r w:rsidR="00F5016C" w:rsidRPr="000A53F8">
        <w:rPr>
          <w:rFonts w:asciiTheme="minorBidi" w:hAnsiTheme="minorBidi" w:cstheme="minorBidi"/>
          <w:color w:val="000000" w:themeColor="text1"/>
          <w:sz w:val="18"/>
          <w:szCs w:val="18"/>
        </w:rPr>
        <w:t>24 de noviembre de 2017</w:t>
      </w:r>
      <w:r w:rsidR="00D02767" w:rsidRPr="000A53F8">
        <w:rPr>
          <w:rFonts w:asciiTheme="minorBidi" w:hAnsiTheme="minorBidi" w:cstheme="minorBidi"/>
          <w:color w:val="000000" w:themeColor="text1"/>
          <w:sz w:val="18"/>
          <w:szCs w:val="18"/>
        </w:rPr>
        <w:t xml:space="preserve">. </w:t>
      </w:r>
    </w:p>
  </w:footnote>
  <w:footnote w:id="3">
    <w:p w14:paraId="42E5874B" w14:textId="7E1C4E39" w:rsidR="003F3333" w:rsidRPr="000A53F8" w:rsidRDefault="003F3333" w:rsidP="00FD3784">
      <w:pPr>
        <w:pStyle w:val="Textonotapie"/>
        <w:tabs>
          <w:tab w:val="left" w:pos="284"/>
        </w:tabs>
        <w:jc w:val="both"/>
        <w:rPr>
          <w:rFonts w:asciiTheme="minorBidi" w:hAnsiTheme="minorBidi" w:cstheme="minorBidi"/>
          <w:color w:val="000000" w:themeColor="text1"/>
          <w:sz w:val="18"/>
          <w:szCs w:val="18"/>
          <w:lang w:val="es-ES"/>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Pr="000A53F8">
        <w:rPr>
          <w:rFonts w:asciiTheme="minorBidi" w:hAnsiTheme="minorBidi" w:cstheme="minorBidi"/>
          <w:color w:val="000000" w:themeColor="text1"/>
          <w:sz w:val="18"/>
          <w:szCs w:val="18"/>
          <w:lang w:val="es-ES"/>
        </w:rPr>
        <w:t xml:space="preserve">Quien se identificaba pública y socialmente </w:t>
      </w:r>
      <w:r w:rsidR="00127A77" w:rsidRPr="000A53F8">
        <w:rPr>
          <w:rFonts w:asciiTheme="minorBidi" w:hAnsiTheme="minorBidi" w:cstheme="minorBidi"/>
          <w:color w:val="000000" w:themeColor="text1"/>
          <w:sz w:val="18"/>
          <w:szCs w:val="18"/>
          <w:lang w:val="es-ES"/>
        </w:rPr>
        <w:t xml:space="preserve">como </w:t>
      </w:r>
      <w:r w:rsidR="00127A77" w:rsidRPr="00C42F8B">
        <w:rPr>
          <w:rFonts w:asciiTheme="minorBidi" w:hAnsiTheme="minorBidi" w:cstheme="minorBidi"/>
          <w:color w:val="C00000"/>
          <w:sz w:val="18"/>
          <w:szCs w:val="18"/>
          <w:lang w:val="es-ES"/>
        </w:rPr>
        <w:t>AF</w:t>
      </w:r>
      <w:r w:rsidR="00127A77" w:rsidRPr="000A53F8">
        <w:rPr>
          <w:rFonts w:asciiTheme="minorBidi" w:hAnsiTheme="minorBidi" w:cstheme="minorBidi"/>
          <w:color w:val="000000" w:themeColor="text1"/>
          <w:sz w:val="18"/>
          <w:szCs w:val="18"/>
          <w:lang w:val="es-ES"/>
        </w:rPr>
        <w:t>.</w:t>
      </w:r>
    </w:p>
  </w:footnote>
  <w:footnote w:id="4">
    <w:p w14:paraId="3BC97400" w14:textId="77777777" w:rsidR="005E3B5D" w:rsidRPr="000A53F8" w:rsidRDefault="005E3B5D"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La Asamblea General de la Organización de las Naciones Unidas designó el 25 de noviembre como Día Internacional de la Eliminación de la Violencia contra la Mujer, mediante la Resolución A/RES/54/134 de 7 de febrero de 2000. </w:t>
      </w:r>
      <w:r w:rsidRPr="000A53F8">
        <w:rPr>
          <w:rFonts w:asciiTheme="minorBidi" w:hAnsiTheme="minorBidi" w:cstheme="minorBidi"/>
          <w:i/>
          <w:iCs/>
          <w:color w:val="000000" w:themeColor="text1"/>
          <w:sz w:val="18"/>
          <w:szCs w:val="18"/>
        </w:rPr>
        <w:t>Vid</w:t>
      </w:r>
      <w:r w:rsidRPr="000A53F8">
        <w:rPr>
          <w:rFonts w:asciiTheme="minorBidi" w:hAnsiTheme="minorBidi" w:cstheme="minorBidi"/>
          <w:color w:val="000000" w:themeColor="text1"/>
          <w:sz w:val="18"/>
          <w:szCs w:val="18"/>
        </w:rPr>
        <w:t xml:space="preserve">., Organización de las Naciones Unidas, Asamblea General. “Resolución aprobada por la Asamblea General [sobre la base del informe de la Tercera Comisión (A/54/598 y Corr.1 y 2)], 7 de febrero de 2000, A/RES/54/134; p. 3. </w:t>
      </w:r>
    </w:p>
  </w:footnote>
  <w:footnote w:id="5">
    <w:p w14:paraId="09530A2F" w14:textId="72D8E046" w:rsidR="00C851A1" w:rsidRPr="000A53F8" w:rsidRDefault="00C851A1"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000E306F" w:rsidRPr="000A53F8">
        <w:rPr>
          <w:rFonts w:asciiTheme="minorBidi" w:hAnsiTheme="minorBidi" w:cstheme="minorBidi"/>
          <w:color w:val="000000" w:themeColor="text1"/>
          <w:sz w:val="18"/>
          <w:szCs w:val="18"/>
        </w:rPr>
        <w:t>Artículo 73.</w:t>
      </w:r>
      <w:r w:rsidR="00901FF4" w:rsidRPr="000A53F8">
        <w:rPr>
          <w:rFonts w:asciiTheme="minorBidi" w:hAnsiTheme="minorBidi" w:cstheme="minorBidi"/>
          <w:color w:val="000000" w:themeColor="text1"/>
          <w:sz w:val="18"/>
          <w:szCs w:val="18"/>
        </w:rPr>
        <w:t xml:space="preserve"> </w:t>
      </w:r>
      <w:r w:rsidR="000E306F" w:rsidRPr="000A53F8">
        <w:rPr>
          <w:rFonts w:asciiTheme="minorBidi" w:hAnsiTheme="minorBidi" w:cstheme="minorBidi"/>
          <w:color w:val="000000" w:themeColor="text1"/>
          <w:sz w:val="18"/>
          <w:szCs w:val="18"/>
        </w:rPr>
        <w:t>En el procedimiento de queja se podrán avenir los intereses a solicitud de la parte peticionaria y la parte presuntamente responsable de prácticas discriminatorias, mediante una audiencia de conciliación, misma que se celebrará en las instalaciones del Consejo.</w:t>
      </w:r>
    </w:p>
    <w:p w14:paraId="2B6E81A7" w14:textId="04F7F9FB" w:rsidR="000E306F" w:rsidRPr="000A53F8" w:rsidRDefault="000E306F" w:rsidP="00FD3784">
      <w:pPr>
        <w:pStyle w:val="Textonotapie"/>
        <w:tabs>
          <w:tab w:val="left" w:pos="284"/>
        </w:tabs>
        <w:jc w:val="both"/>
        <w:rPr>
          <w:rFonts w:asciiTheme="minorBidi" w:hAnsiTheme="minorBidi" w:cstheme="minorBidi"/>
          <w:color w:val="000000" w:themeColor="text1"/>
          <w:sz w:val="18"/>
          <w:szCs w:val="18"/>
        </w:rPr>
      </w:pPr>
      <w:r w:rsidRPr="000A53F8">
        <w:rPr>
          <w:rFonts w:asciiTheme="minorBidi" w:hAnsiTheme="minorBidi" w:cstheme="minorBidi"/>
          <w:color w:val="000000" w:themeColor="text1"/>
          <w:sz w:val="18"/>
          <w:szCs w:val="18"/>
        </w:rPr>
        <w:t>Artículo 74.</w:t>
      </w:r>
      <w:r w:rsidR="00901FF4" w:rsidRPr="000A53F8">
        <w:rPr>
          <w:rFonts w:asciiTheme="minorBidi" w:hAnsiTheme="minorBidi" w:cstheme="minorBidi"/>
          <w:color w:val="000000" w:themeColor="text1"/>
          <w:sz w:val="18"/>
          <w:szCs w:val="18"/>
        </w:rPr>
        <w:t xml:space="preserve"> </w:t>
      </w:r>
      <w:r w:rsidRPr="000A53F8">
        <w:rPr>
          <w:rFonts w:asciiTheme="minorBidi" w:hAnsiTheme="minorBidi" w:cstheme="minorBidi"/>
          <w:color w:val="000000" w:themeColor="text1"/>
          <w:sz w:val="18"/>
          <w:szCs w:val="18"/>
        </w:rPr>
        <w:t>Para iniciar con el procedimiento de conciliación, dicha propuesta se deberá hacer del conocimiento de las partes, citándoles para que concurran a una audiencia de conciliación, la cual deberá llevarse a cabo dentro de los quince días hábiles siguientes a aquél en que se les notificó su celebración. La audiencia se celebrará en las instalaciones y con el personal del Consejo.</w:t>
      </w:r>
    </w:p>
    <w:p w14:paraId="2E2CFA94" w14:textId="014062A6" w:rsidR="000E306F" w:rsidRPr="000A53F8" w:rsidRDefault="000E306F" w:rsidP="00FD3784">
      <w:pPr>
        <w:pStyle w:val="Textonotapie"/>
        <w:tabs>
          <w:tab w:val="left" w:pos="284"/>
        </w:tabs>
        <w:jc w:val="both"/>
        <w:rPr>
          <w:rFonts w:asciiTheme="minorBidi" w:hAnsiTheme="minorBidi" w:cstheme="minorBidi"/>
          <w:color w:val="000000" w:themeColor="text1"/>
          <w:sz w:val="18"/>
          <w:szCs w:val="18"/>
        </w:rPr>
      </w:pPr>
      <w:r w:rsidRPr="000A53F8">
        <w:rPr>
          <w:rFonts w:asciiTheme="minorBidi" w:hAnsiTheme="minorBidi" w:cstheme="minorBidi"/>
          <w:color w:val="000000" w:themeColor="text1"/>
          <w:sz w:val="18"/>
          <w:szCs w:val="18"/>
        </w:rPr>
        <w:t>En caso de no comparecer la parte responsable de las presuntas conductas discriminatorias, a la audiencia de conciliación a que se refiere el párrafo anterior, se tendrán por ciertos los hechos discriminatorios imputados en su contra, salvo prueba en contrario.</w:t>
      </w:r>
    </w:p>
  </w:footnote>
  <w:footnote w:id="6">
    <w:p w14:paraId="5EC2D78A" w14:textId="5F086F26" w:rsidR="00635FC6" w:rsidRPr="000A53F8" w:rsidRDefault="00635FC6"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El </w:t>
      </w:r>
      <w:r w:rsidR="00856B57" w:rsidRPr="000A53F8">
        <w:rPr>
          <w:rFonts w:asciiTheme="minorBidi" w:hAnsiTheme="minorBidi" w:cstheme="minorBidi"/>
          <w:color w:val="000000" w:themeColor="text1"/>
          <w:sz w:val="18"/>
          <w:szCs w:val="18"/>
        </w:rPr>
        <w:t xml:space="preserve">28 </w:t>
      </w:r>
      <w:r w:rsidRPr="000A53F8">
        <w:rPr>
          <w:rFonts w:asciiTheme="minorBidi" w:hAnsiTheme="minorBidi" w:cstheme="minorBidi"/>
          <w:color w:val="000000" w:themeColor="text1"/>
          <w:sz w:val="18"/>
          <w:szCs w:val="18"/>
        </w:rPr>
        <w:t>de abril d</w:t>
      </w:r>
      <w:r w:rsidR="00856B57" w:rsidRPr="000A53F8">
        <w:rPr>
          <w:rFonts w:asciiTheme="minorBidi" w:hAnsiTheme="minorBidi" w:cstheme="minorBidi"/>
          <w:color w:val="000000" w:themeColor="text1"/>
          <w:sz w:val="18"/>
          <w:szCs w:val="18"/>
        </w:rPr>
        <w:t>e 2016</w:t>
      </w:r>
      <w:r w:rsidRPr="000A53F8">
        <w:rPr>
          <w:rFonts w:asciiTheme="minorBidi" w:hAnsiTheme="minorBidi" w:cstheme="minorBidi"/>
          <w:color w:val="000000" w:themeColor="text1"/>
          <w:sz w:val="18"/>
          <w:szCs w:val="18"/>
        </w:rPr>
        <w:t>, la parte responsable manifestó que “ha considerado y evaluado que la solicitud sobre la petición económica no es posible de realizar, toda vez que es excesiva y durante el desarrollo de este procedimiento a mi representada se le ha generado un detrimento considerable económico”.</w:t>
      </w:r>
    </w:p>
  </w:footnote>
  <w:footnote w:id="7">
    <w:p w14:paraId="32C959B5" w14:textId="772634CC" w:rsidR="000505F3" w:rsidRPr="000A53F8" w:rsidRDefault="000505F3"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00E117A4" w:rsidRPr="000A53F8">
        <w:rPr>
          <w:rFonts w:asciiTheme="minorBidi" w:hAnsiTheme="minorBidi" w:cstheme="minorBidi"/>
          <w:color w:val="000000" w:themeColor="text1"/>
          <w:sz w:val="18"/>
          <w:szCs w:val="18"/>
        </w:rPr>
        <w:t>Hecho diez del escrito de demanda civil.</w:t>
      </w:r>
    </w:p>
  </w:footnote>
  <w:footnote w:id="8">
    <w:p w14:paraId="5C1BD7A6" w14:textId="060DF982" w:rsidR="0061400C" w:rsidRPr="005229E1" w:rsidRDefault="00CD3BAA" w:rsidP="00FD3784">
      <w:pPr>
        <w:pStyle w:val="Textonotapie"/>
        <w:tabs>
          <w:tab w:val="left" w:pos="284"/>
        </w:tabs>
        <w:jc w:val="both"/>
        <w:rPr>
          <w:rFonts w:asciiTheme="minorBidi" w:hAnsiTheme="minorBidi" w:cstheme="minorBidi"/>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El 2 de marzo de 2018</w:t>
      </w:r>
      <w:r w:rsidRPr="005229E1">
        <w:rPr>
          <w:rFonts w:asciiTheme="minorBidi" w:hAnsiTheme="minorBidi" w:cstheme="minorBidi"/>
          <w:sz w:val="18"/>
          <w:szCs w:val="18"/>
        </w:rPr>
        <w:t xml:space="preserve">, Reforma 222 y Danhos presentaron su escrito de contestación. Posteriormente, el 18 de junio de 2018, Protección Privada 2010 formuló su contestación de demanda. </w:t>
      </w:r>
    </w:p>
  </w:footnote>
  <w:footnote w:id="9">
    <w:p w14:paraId="7157AD15" w14:textId="5E380205" w:rsidR="0007635E" w:rsidRPr="000A53F8" w:rsidRDefault="0007635E"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El recurso de apelación </w:t>
      </w:r>
      <w:r w:rsidR="00636DAC" w:rsidRPr="000A53F8">
        <w:rPr>
          <w:rFonts w:asciiTheme="minorBidi" w:hAnsiTheme="minorBidi" w:cstheme="minorBidi"/>
          <w:color w:val="000000" w:themeColor="text1"/>
          <w:sz w:val="18"/>
          <w:szCs w:val="18"/>
        </w:rPr>
        <w:t xml:space="preserve">se turnó </w:t>
      </w:r>
      <w:r w:rsidRPr="000A53F8">
        <w:rPr>
          <w:rFonts w:asciiTheme="minorBidi" w:hAnsiTheme="minorBidi" w:cstheme="minorBidi"/>
          <w:color w:val="000000" w:themeColor="text1"/>
          <w:sz w:val="18"/>
          <w:szCs w:val="18"/>
        </w:rPr>
        <w:t>a la Cuarta Sala Civil del Tribunal Superior de Justicia de la Ciudad de México, quien lo registró bajo el número de toca 255/2019.</w:t>
      </w:r>
    </w:p>
  </w:footnote>
  <w:footnote w:id="10">
    <w:p w14:paraId="5738CAC6" w14:textId="228A9537" w:rsidR="008921CC" w:rsidRPr="000A53F8" w:rsidRDefault="008921CC"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Artículo 1916. Por daño moral se entiende la afectación que una persona sufre en sus sentimientos, afectos, creencias, decoro, honor, reputación, vida privada, configuración y aspectos físicos, o bien en la consideración que de sí misma tienen los demás. Se presumirá que hubo daño moral cuando se vulnere o menoscabe ilegítimamente la libertad o la integridad física o psíquica de las personas.</w:t>
      </w:r>
      <w:r w:rsidR="00F40A8B">
        <w:rPr>
          <w:rFonts w:asciiTheme="minorBidi" w:hAnsiTheme="minorBidi" w:cstheme="minorBidi"/>
          <w:color w:val="000000" w:themeColor="text1"/>
          <w:sz w:val="18"/>
          <w:szCs w:val="18"/>
        </w:rPr>
        <w:t xml:space="preserve"> (…)</w:t>
      </w:r>
    </w:p>
  </w:footnote>
  <w:footnote w:id="11">
    <w:p w14:paraId="1A4D471A" w14:textId="4C73EC24" w:rsidR="00082612" w:rsidRPr="000A53F8" w:rsidRDefault="00082612"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La sala de apelación consideró parcialmente fundadas las excepciones de cosa juzgada refleja y falta de acción, pues </w:t>
      </w:r>
      <w:r w:rsidRPr="000A53F8">
        <w:rPr>
          <w:rFonts w:asciiTheme="minorBidi" w:hAnsiTheme="minorBidi" w:cstheme="minorBidi"/>
          <w:color w:val="ED0000"/>
          <w:sz w:val="18"/>
          <w:szCs w:val="18"/>
        </w:rPr>
        <w:t xml:space="preserve">LNGB </w:t>
      </w:r>
      <w:r w:rsidRPr="000A53F8">
        <w:rPr>
          <w:rFonts w:asciiTheme="minorBidi" w:hAnsiTheme="minorBidi" w:cstheme="minorBidi"/>
          <w:color w:val="000000" w:themeColor="text1"/>
          <w:sz w:val="18"/>
          <w:szCs w:val="18"/>
        </w:rPr>
        <w:t xml:space="preserve">no probó el hecho ilícito constitutivo de un acto discriminatorio y </w:t>
      </w:r>
      <w:r w:rsidRPr="000A53F8">
        <w:rPr>
          <w:rFonts w:asciiTheme="minorBidi" w:hAnsiTheme="minorBidi" w:cstheme="minorBidi"/>
          <w:color w:val="ED0000"/>
          <w:sz w:val="18"/>
          <w:szCs w:val="18"/>
        </w:rPr>
        <w:t xml:space="preserve">JMDF </w:t>
      </w:r>
      <w:r w:rsidRPr="000A53F8">
        <w:rPr>
          <w:rFonts w:asciiTheme="minorBidi" w:hAnsiTheme="minorBidi" w:cstheme="minorBidi"/>
          <w:color w:val="000000" w:themeColor="text1"/>
          <w:sz w:val="18"/>
          <w:szCs w:val="18"/>
        </w:rPr>
        <w:t xml:space="preserve">no probó la existencia del daño derivado del acto discriminatorio. Además, determinó que lo relativo a las medidas de satisfacción y de no repetición constituyen cosa juzgada, de conformidad con el artículo 78 de la Ley para Prevenir y Eliminar la Discriminación del Distrito Federal. </w:t>
      </w:r>
      <w:r w:rsidRPr="000A53F8">
        <w:rPr>
          <w:rFonts w:asciiTheme="minorBidi" w:hAnsiTheme="minorBidi" w:cstheme="minorBidi"/>
          <w:i/>
          <w:iCs/>
          <w:color w:val="000000" w:themeColor="text1"/>
          <w:sz w:val="18"/>
          <w:szCs w:val="18"/>
        </w:rPr>
        <w:t>Cfr</w:t>
      </w:r>
      <w:r w:rsidRPr="000A53F8">
        <w:rPr>
          <w:rFonts w:asciiTheme="minorBidi" w:hAnsiTheme="minorBidi" w:cstheme="minorBidi"/>
          <w:color w:val="000000" w:themeColor="text1"/>
          <w:sz w:val="18"/>
          <w:szCs w:val="18"/>
        </w:rPr>
        <w:t>. Sentencia de apelación 255/2019, fojas 117 y 118.</w:t>
      </w:r>
    </w:p>
  </w:footnote>
  <w:footnote w:id="12">
    <w:p w14:paraId="21AD76CE" w14:textId="70B922DD" w:rsidR="00082612" w:rsidRPr="000A53F8" w:rsidRDefault="00082612"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La sala determinó </w:t>
      </w:r>
      <w:r w:rsidRPr="005229E1">
        <w:rPr>
          <w:rFonts w:asciiTheme="minorBidi" w:hAnsiTheme="minorBidi" w:cstheme="minorBidi"/>
          <w:sz w:val="18"/>
          <w:szCs w:val="18"/>
        </w:rPr>
        <w:t>que Dan</w:t>
      </w:r>
      <w:r w:rsidR="00211CA5" w:rsidRPr="005229E1">
        <w:rPr>
          <w:rFonts w:asciiTheme="minorBidi" w:hAnsiTheme="minorBidi" w:cstheme="minorBidi"/>
          <w:sz w:val="18"/>
          <w:szCs w:val="18"/>
        </w:rPr>
        <w:t>h</w:t>
      </w:r>
      <w:r w:rsidRPr="005229E1">
        <w:rPr>
          <w:rFonts w:asciiTheme="minorBidi" w:hAnsiTheme="minorBidi" w:cstheme="minorBidi"/>
          <w:sz w:val="18"/>
          <w:szCs w:val="18"/>
        </w:rPr>
        <w:t>os carec</w:t>
      </w:r>
      <w:r w:rsidR="004D1DE8" w:rsidRPr="005229E1">
        <w:rPr>
          <w:rFonts w:asciiTheme="minorBidi" w:hAnsiTheme="minorBidi" w:cstheme="minorBidi"/>
          <w:sz w:val="18"/>
          <w:szCs w:val="18"/>
        </w:rPr>
        <w:t>ía</w:t>
      </w:r>
      <w:r w:rsidRPr="005229E1">
        <w:rPr>
          <w:rFonts w:asciiTheme="minorBidi" w:hAnsiTheme="minorBidi" w:cstheme="minorBidi"/>
          <w:sz w:val="18"/>
          <w:szCs w:val="18"/>
        </w:rPr>
        <w:t xml:space="preserve"> </w:t>
      </w:r>
      <w:r w:rsidRPr="000A53F8">
        <w:rPr>
          <w:rFonts w:asciiTheme="minorBidi" w:hAnsiTheme="minorBidi" w:cstheme="minorBidi"/>
          <w:color w:val="000000" w:themeColor="text1"/>
          <w:sz w:val="18"/>
          <w:szCs w:val="18"/>
        </w:rPr>
        <w:t>de legitimidad pasiva en la causa y, por ello, las actoras debían pagar las costas de la primera instancia. Asimismo, determinó que</w:t>
      </w:r>
      <w:r w:rsidR="004D1DE8" w:rsidRPr="000A53F8">
        <w:rPr>
          <w:rFonts w:asciiTheme="minorBidi" w:hAnsiTheme="minorBidi" w:cstheme="minorBidi"/>
          <w:color w:val="000000" w:themeColor="text1"/>
          <w:sz w:val="18"/>
          <w:szCs w:val="18"/>
        </w:rPr>
        <w:t>,</w:t>
      </w:r>
      <w:r w:rsidRPr="000A53F8">
        <w:rPr>
          <w:rFonts w:asciiTheme="minorBidi" w:hAnsiTheme="minorBidi" w:cstheme="minorBidi"/>
          <w:color w:val="000000" w:themeColor="text1"/>
          <w:sz w:val="18"/>
          <w:szCs w:val="18"/>
        </w:rPr>
        <w:t xml:space="preserve"> al no haber obtenido resolución favorable en ninguna de las instancias, </w:t>
      </w:r>
      <w:r w:rsidRPr="000A53F8">
        <w:rPr>
          <w:rFonts w:asciiTheme="minorBidi" w:hAnsiTheme="minorBidi" w:cstheme="minorBidi"/>
          <w:color w:val="ED0000"/>
          <w:sz w:val="18"/>
          <w:szCs w:val="18"/>
        </w:rPr>
        <w:t xml:space="preserve">LNGB </w:t>
      </w:r>
      <w:r w:rsidRPr="000A53F8">
        <w:rPr>
          <w:rFonts w:asciiTheme="minorBidi" w:hAnsiTheme="minorBidi" w:cstheme="minorBidi"/>
          <w:color w:val="000000" w:themeColor="text1"/>
          <w:sz w:val="18"/>
          <w:szCs w:val="18"/>
        </w:rPr>
        <w:t xml:space="preserve">debía pagar a la parte demandada los gastos y costas generados en ambas instancias. </w:t>
      </w:r>
      <w:r w:rsidRPr="000A53F8">
        <w:rPr>
          <w:rFonts w:asciiTheme="minorBidi" w:hAnsiTheme="minorBidi" w:cstheme="minorBidi"/>
          <w:i/>
          <w:iCs/>
          <w:color w:val="000000" w:themeColor="text1"/>
          <w:sz w:val="18"/>
          <w:szCs w:val="18"/>
        </w:rPr>
        <w:t>Ibidem</w:t>
      </w:r>
      <w:r w:rsidRPr="000A53F8">
        <w:rPr>
          <w:rFonts w:asciiTheme="minorBidi" w:hAnsiTheme="minorBidi" w:cstheme="minorBidi"/>
          <w:color w:val="000000" w:themeColor="text1"/>
          <w:sz w:val="18"/>
          <w:szCs w:val="18"/>
        </w:rPr>
        <w:t>, fojas 131</w:t>
      </w:r>
      <w:r w:rsidR="00B602EC" w:rsidRPr="000A53F8">
        <w:rPr>
          <w:rFonts w:asciiTheme="minorBidi" w:hAnsiTheme="minorBidi" w:cstheme="minorBidi"/>
          <w:color w:val="000000" w:themeColor="text1"/>
          <w:sz w:val="18"/>
          <w:szCs w:val="18"/>
        </w:rPr>
        <w:t xml:space="preserve"> a </w:t>
      </w:r>
      <w:r w:rsidRPr="000A53F8">
        <w:rPr>
          <w:rFonts w:asciiTheme="minorBidi" w:hAnsiTheme="minorBidi" w:cstheme="minorBidi"/>
          <w:color w:val="000000" w:themeColor="text1"/>
          <w:sz w:val="18"/>
          <w:szCs w:val="18"/>
        </w:rPr>
        <w:t xml:space="preserve">134. </w:t>
      </w:r>
    </w:p>
  </w:footnote>
  <w:footnote w:id="13">
    <w:p w14:paraId="375C35AF" w14:textId="53F0B5E0" w:rsidR="007D37E6" w:rsidRPr="000A53F8" w:rsidRDefault="007D37E6" w:rsidP="00FD3784">
      <w:pPr>
        <w:pStyle w:val="Textonotapie"/>
        <w:tabs>
          <w:tab w:val="left" w:pos="284"/>
        </w:tabs>
        <w:jc w:val="both"/>
        <w:rPr>
          <w:rFonts w:asciiTheme="minorBidi" w:hAnsiTheme="minorBidi" w:cstheme="minorBidi"/>
          <w:color w:val="000000" w:themeColor="text1"/>
          <w:sz w:val="18"/>
          <w:szCs w:val="18"/>
          <w:lang w:val="es-ES"/>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Pr="000A53F8">
        <w:rPr>
          <w:rFonts w:asciiTheme="minorBidi" w:hAnsiTheme="minorBidi" w:cstheme="minorBidi"/>
          <w:color w:val="000000" w:themeColor="text1"/>
          <w:sz w:val="18"/>
          <w:szCs w:val="18"/>
          <w:lang w:val="es-ES"/>
        </w:rPr>
        <w:t xml:space="preserve">La </w:t>
      </w:r>
      <w:r w:rsidR="004D1DE8" w:rsidRPr="000A53F8">
        <w:rPr>
          <w:rFonts w:asciiTheme="minorBidi" w:hAnsiTheme="minorBidi" w:cstheme="minorBidi"/>
          <w:color w:val="000000" w:themeColor="text1"/>
          <w:sz w:val="18"/>
          <w:szCs w:val="18"/>
          <w:lang w:val="es-ES"/>
        </w:rPr>
        <w:t>s</w:t>
      </w:r>
      <w:r w:rsidRPr="000A53F8">
        <w:rPr>
          <w:rFonts w:asciiTheme="minorBidi" w:hAnsiTheme="minorBidi" w:cstheme="minorBidi"/>
          <w:color w:val="000000" w:themeColor="text1"/>
          <w:sz w:val="18"/>
          <w:szCs w:val="18"/>
          <w:lang w:val="es-ES"/>
        </w:rPr>
        <w:t>ala fundamentó esta consideración en los artículos 327</w:t>
      </w:r>
      <w:r w:rsidR="00B55340" w:rsidRPr="000A53F8">
        <w:rPr>
          <w:rFonts w:asciiTheme="minorBidi" w:hAnsiTheme="minorBidi" w:cstheme="minorBidi"/>
          <w:color w:val="000000" w:themeColor="text1"/>
          <w:sz w:val="18"/>
          <w:szCs w:val="18"/>
          <w:lang w:val="es-ES"/>
        </w:rPr>
        <w:t>,</w:t>
      </w:r>
      <w:r w:rsidRPr="000A53F8">
        <w:rPr>
          <w:rFonts w:asciiTheme="minorBidi" w:hAnsiTheme="minorBidi" w:cstheme="minorBidi"/>
          <w:color w:val="000000" w:themeColor="text1"/>
          <w:sz w:val="18"/>
          <w:szCs w:val="18"/>
          <w:lang w:val="es-ES"/>
        </w:rPr>
        <w:t xml:space="preserve"> fracción V</w:t>
      </w:r>
      <w:r w:rsidR="00B55340" w:rsidRPr="000A53F8">
        <w:rPr>
          <w:rFonts w:asciiTheme="minorBidi" w:hAnsiTheme="minorBidi" w:cstheme="minorBidi"/>
          <w:color w:val="000000" w:themeColor="text1"/>
          <w:sz w:val="18"/>
          <w:szCs w:val="18"/>
          <w:lang w:val="es-ES"/>
        </w:rPr>
        <w:t>,</w:t>
      </w:r>
      <w:r w:rsidRPr="000A53F8">
        <w:rPr>
          <w:rFonts w:asciiTheme="minorBidi" w:hAnsiTheme="minorBidi" w:cstheme="minorBidi"/>
          <w:color w:val="000000" w:themeColor="text1"/>
          <w:sz w:val="18"/>
          <w:szCs w:val="18"/>
          <w:lang w:val="es-ES"/>
        </w:rPr>
        <w:t xml:space="preserve"> y 403 del Código de Procedimientos Civiles para el Distrito Federal</w:t>
      </w:r>
      <w:r w:rsidR="00952842" w:rsidRPr="000A53F8">
        <w:rPr>
          <w:rFonts w:asciiTheme="minorBidi" w:hAnsiTheme="minorBidi" w:cstheme="minorBidi"/>
          <w:color w:val="000000" w:themeColor="text1"/>
          <w:sz w:val="18"/>
          <w:szCs w:val="18"/>
          <w:lang w:val="es-ES"/>
        </w:rPr>
        <w:t xml:space="preserve">, así como </w:t>
      </w:r>
      <w:r w:rsidRPr="000A53F8">
        <w:rPr>
          <w:rFonts w:asciiTheme="minorBidi" w:hAnsiTheme="minorBidi" w:cstheme="minorBidi"/>
          <w:color w:val="000000" w:themeColor="text1"/>
          <w:sz w:val="18"/>
          <w:szCs w:val="18"/>
          <w:lang w:val="es-ES"/>
        </w:rPr>
        <w:t>en el artículo 78 de la Ley para Prevenir y Eliminar la Discriminación en la Ciudad de México.</w:t>
      </w:r>
    </w:p>
  </w:footnote>
  <w:footnote w:id="14">
    <w:p w14:paraId="56450081" w14:textId="77777777" w:rsidR="007D37E6" w:rsidRPr="000A53F8" w:rsidRDefault="007D37E6"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Sentencia de apelación 255/2019, foja 52.</w:t>
      </w:r>
    </w:p>
  </w:footnote>
  <w:footnote w:id="15">
    <w:p w14:paraId="1EFD3BB7" w14:textId="3EDBC825" w:rsidR="007D37E6" w:rsidRPr="000A53F8" w:rsidRDefault="007D37E6" w:rsidP="00FD3784">
      <w:pPr>
        <w:pStyle w:val="Textonotapie"/>
        <w:tabs>
          <w:tab w:val="left" w:pos="284"/>
        </w:tabs>
        <w:jc w:val="both"/>
        <w:rPr>
          <w:rFonts w:asciiTheme="minorBidi" w:hAnsiTheme="minorBidi" w:cstheme="minorBidi"/>
          <w:color w:val="000000" w:themeColor="text1"/>
          <w:sz w:val="18"/>
          <w:szCs w:val="18"/>
          <w:lang w:val="es-ES"/>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Pr="000A53F8">
        <w:rPr>
          <w:rFonts w:asciiTheme="minorBidi" w:hAnsiTheme="minorBidi" w:cstheme="minorBidi"/>
          <w:color w:val="000000" w:themeColor="text1"/>
          <w:sz w:val="18"/>
          <w:szCs w:val="18"/>
          <w:lang w:val="es-ES"/>
        </w:rPr>
        <w:t xml:space="preserve">La </w:t>
      </w:r>
      <w:r w:rsidR="007E5A90" w:rsidRPr="000A53F8">
        <w:rPr>
          <w:rFonts w:asciiTheme="minorBidi" w:hAnsiTheme="minorBidi" w:cstheme="minorBidi"/>
          <w:color w:val="000000" w:themeColor="text1"/>
          <w:sz w:val="18"/>
          <w:szCs w:val="18"/>
          <w:lang w:val="es-ES"/>
        </w:rPr>
        <w:t>s</w:t>
      </w:r>
      <w:r w:rsidRPr="000A53F8">
        <w:rPr>
          <w:rFonts w:asciiTheme="minorBidi" w:hAnsiTheme="minorBidi" w:cstheme="minorBidi"/>
          <w:color w:val="000000" w:themeColor="text1"/>
          <w:sz w:val="18"/>
          <w:szCs w:val="18"/>
          <w:lang w:val="es-ES"/>
        </w:rPr>
        <w:t xml:space="preserve">ala fundamentó esta consideración en el artículo 1916 del Código Civil para </w:t>
      </w:r>
      <w:r w:rsidR="00453DDD" w:rsidRPr="000A53F8">
        <w:rPr>
          <w:rFonts w:asciiTheme="minorBidi" w:hAnsiTheme="minorBidi" w:cstheme="minorBidi"/>
          <w:color w:val="000000" w:themeColor="text1"/>
          <w:sz w:val="18"/>
          <w:szCs w:val="18"/>
          <w:lang w:val="es-ES"/>
        </w:rPr>
        <w:t>el Distrito Federal</w:t>
      </w:r>
      <w:r w:rsidRPr="000A53F8">
        <w:rPr>
          <w:rFonts w:asciiTheme="minorBidi" w:hAnsiTheme="minorBidi" w:cstheme="minorBidi"/>
          <w:color w:val="000000" w:themeColor="text1"/>
          <w:sz w:val="18"/>
          <w:szCs w:val="18"/>
          <w:lang w:val="es-ES"/>
        </w:rPr>
        <w:t xml:space="preserve">. </w:t>
      </w:r>
    </w:p>
  </w:footnote>
  <w:footnote w:id="16">
    <w:p w14:paraId="58526533" w14:textId="1124BC5A" w:rsidR="007D37E6" w:rsidRPr="000A53F8" w:rsidRDefault="007D37E6" w:rsidP="00FD3784">
      <w:pPr>
        <w:pStyle w:val="Textonotapie"/>
        <w:tabs>
          <w:tab w:val="left" w:pos="284"/>
        </w:tabs>
        <w:jc w:val="both"/>
        <w:rPr>
          <w:rFonts w:asciiTheme="minorBidi" w:hAnsiTheme="minorBidi" w:cstheme="minorBidi"/>
          <w:color w:val="000000" w:themeColor="text1"/>
          <w:sz w:val="18"/>
          <w:szCs w:val="18"/>
          <w:lang w:val="es-ES"/>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00DC44DF" w:rsidRPr="000A53F8">
        <w:rPr>
          <w:rFonts w:asciiTheme="minorBidi" w:hAnsiTheme="minorBidi" w:cstheme="minorBidi"/>
          <w:color w:val="000000" w:themeColor="text1"/>
          <w:sz w:val="18"/>
          <w:szCs w:val="18"/>
        </w:rPr>
        <w:t>Sentencia de apelación 255/2019</w:t>
      </w:r>
      <w:r w:rsidRPr="000A53F8">
        <w:rPr>
          <w:rFonts w:asciiTheme="minorBidi" w:hAnsiTheme="minorBidi" w:cstheme="minorBidi"/>
          <w:color w:val="000000" w:themeColor="text1"/>
          <w:sz w:val="18"/>
          <w:szCs w:val="18"/>
        </w:rPr>
        <w:t>, fojas 79</w:t>
      </w:r>
      <w:r w:rsidR="00B602EC" w:rsidRPr="000A53F8">
        <w:rPr>
          <w:rFonts w:asciiTheme="minorBidi" w:hAnsiTheme="minorBidi" w:cstheme="minorBidi"/>
          <w:color w:val="000000" w:themeColor="text1"/>
          <w:sz w:val="18"/>
          <w:szCs w:val="18"/>
        </w:rPr>
        <w:t xml:space="preserve"> y </w:t>
      </w:r>
      <w:r w:rsidRPr="000A53F8">
        <w:rPr>
          <w:rFonts w:asciiTheme="minorBidi" w:hAnsiTheme="minorBidi" w:cstheme="minorBidi"/>
          <w:color w:val="000000" w:themeColor="text1"/>
          <w:sz w:val="18"/>
          <w:szCs w:val="18"/>
        </w:rPr>
        <w:t>80.</w:t>
      </w:r>
    </w:p>
  </w:footnote>
  <w:footnote w:id="17">
    <w:p w14:paraId="60F6A8AE" w14:textId="77777777" w:rsidR="00D93DE7" w:rsidRPr="000A53F8" w:rsidRDefault="00D93DE7" w:rsidP="00FD3784">
      <w:pPr>
        <w:pStyle w:val="Textonotapie"/>
        <w:tabs>
          <w:tab w:val="left" w:pos="284"/>
        </w:tabs>
        <w:jc w:val="both"/>
        <w:rPr>
          <w:rFonts w:asciiTheme="minorBidi" w:hAnsiTheme="minorBidi" w:cstheme="minorBidi"/>
          <w:color w:val="000000" w:themeColor="text1"/>
          <w:sz w:val="18"/>
          <w:szCs w:val="18"/>
          <w:lang w:val="es-ES"/>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Pr="000A53F8">
        <w:rPr>
          <w:rFonts w:asciiTheme="minorBidi" w:hAnsiTheme="minorBidi" w:cstheme="minorBidi"/>
          <w:i/>
          <w:iCs/>
          <w:color w:val="000000" w:themeColor="text1"/>
          <w:sz w:val="18"/>
          <w:szCs w:val="18"/>
        </w:rPr>
        <w:t>Ibidem</w:t>
      </w:r>
      <w:r w:rsidRPr="000A53F8">
        <w:rPr>
          <w:rFonts w:asciiTheme="minorBidi" w:hAnsiTheme="minorBidi" w:cstheme="minorBidi"/>
          <w:color w:val="000000" w:themeColor="text1"/>
          <w:sz w:val="18"/>
          <w:szCs w:val="18"/>
        </w:rPr>
        <w:t xml:space="preserve">, fojas 79 a 81. </w:t>
      </w:r>
    </w:p>
  </w:footnote>
  <w:footnote w:id="18">
    <w:p w14:paraId="6ABF2307" w14:textId="77777777" w:rsidR="00D93DE7" w:rsidRPr="000A53F8" w:rsidRDefault="00D93DE7" w:rsidP="00FD3784">
      <w:pPr>
        <w:pStyle w:val="Textonotapie"/>
        <w:tabs>
          <w:tab w:val="left" w:pos="284"/>
        </w:tabs>
        <w:jc w:val="both"/>
        <w:rPr>
          <w:rFonts w:asciiTheme="minorBidi" w:hAnsiTheme="minorBidi" w:cstheme="minorBidi"/>
          <w:color w:val="000000" w:themeColor="text1"/>
          <w:sz w:val="18"/>
          <w:szCs w:val="18"/>
          <w:lang w:val="es-ES"/>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Pr="000A53F8">
        <w:rPr>
          <w:rFonts w:asciiTheme="minorBidi" w:hAnsiTheme="minorBidi" w:cstheme="minorBidi"/>
          <w:i/>
          <w:iCs/>
          <w:color w:val="000000" w:themeColor="text1"/>
          <w:sz w:val="18"/>
          <w:szCs w:val="18"/>
        </w:rPr>
        <w:t>Ibidem</w:t>
      </w:r>
      <w:r w:rsidRPr="000A53F8">
        <w:rPr>
          <w:rFonts w:asciiTheme="minorBidi" w:hAnsiTheme="minorBidi" w:cstheme="minorBidi"/>
          <w:color w:val="000000" w:themeColor="text1"/>
          <w:sz w:val="18"/>
          <w:szCs w:val="18"/>
        </w:rPr>
        <w:t>, fojas 82 a 92.</w:t>
      </w:r>
    </w:p>
  </w:footnote>
  <w:footnote w:id="19">
    <w:p w14:paraId="51DE46D6" w14:textId="77777777" w:rsidR="00D93DE7" w:rsidRPr="000A53F8" w:rsidRDefault="00D93DE7" w:rsidP="00FD3784">
      <w:pPr>
        <w:pStyle w:val="Textonotapie"/>
        <w:tabs>
          <w:tab w:val="left" w:pos="284"/>
        </w:tabs>
        <w:jc w:val="both"/>
        <w:rPr>
          <w:rFonts w:asciiTheme="minorBidi" w:hAnsiTheme="minorBidi" w:cstheme="minorBidi"/>
          <w:color w:val="000000" w:themeColor="text1"/>
          <w:sz w:val="18"/>
          <w:szCs w:val="18"/>
          <w:lang w:val="es-ES"/>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Pr="000A53F8">
        <w:rPr>
          <w:rFonts w:asciiTheme="minorBidi" w:hAnsiTheme="minorBidi" w:cstheme="minorBidi"/>
          <w:i/>
          <w:iCs/>
          <w:color w:val="000000" w:themeColor="text1"/>
          <w:sz w:val="18"/>
          <w:szCs w:val="18"/>
        </w:rPr>
        <w:t>Ibidem</w:t>
      </w:r>
      <w:r w:rsidRPr="000A53F8">
        <w:rPr>
          <w:rFonts w:asciiTheme="minorBidi" w:hAnsiTheme="minorBidi" w:cstheme="minorBidi"/>
          <w:color w:val="000000" w:themeColor="text1"/>
          <w:sz w:val="18"/>
          <w:szCs w:val="18"/>
        </w:rPr>
        <w:t>, fojas 104 a 106.</w:t>
      </w:r>
    </w:p>
  </w:footnote>
  <w:footnote w:id="20">
    <w:p w14:paraId="5750505D" w14:textId="2DE1E699" w:rsidR="00D93DE7" w:rsidRPr="000A53F8" w:rsidRDefault="00D93DE7" w:rsidP="00FD3784">
      <w:pPr>
        <w:pStyle w:val="Textonotapie"/>
        <w:tabs>
          <w:tab w:val="left" w:pos="284"/>
        </w:tabs>
        <w:jc w:val="both"/>
        <w:rPr>
          <w:rFonts w:asciiTheme="minorBidi" w:hAnsiTheme="minorBidi" w:cstheme="minorBidi"/>
          <w:color w:val="000000" w:themeColor="text1"/>
          <w:sz w:val="18"/>
          <w:szCs w:val="18"/>
          <w:lang w:val="es-ES"/>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00B602EC" w:rsidRPr="000A53F8">
        <w:rPr>
          <w:rFonts w:asciiTheme="minorBidi" w:hAnsiTheme="minorBidi" w:cstheme="minorBidi"/>
          <w:i/>
          <w:iCs/>
          <w:color w:val="000000" w:themeColor="text1"/>
          <w:sz w:val="18"/>
          <w:szCs w:val="18"/>
        </w:rPr>
        <w:t>Ídem</w:t>
      </w:r>
      <w:r w:rsidR="00B602EC" w:rsidRPr="000A53F8">
        <w:rPr>
          <w:rFonts w:asciiTheme="minorBidi" w:hAnsiTheme="minorBidi" w:cstheme="minorBidi"/>
          <w:color w:val="000000" w:themeColor="text1"/>
          <w:sz w:val="18"/>
          <w:szCs w:val="18"/>
        </w:rPr>
        <w:t>.</w:t>
      </w:r>
    </w:p>
  </w:footnote>
  <w:footnote w:id="21">
    <w:p w14:paraId="093AA717" w14:textId="77777777" w:rsidR="00D93DE7" w:rsidRPr="000A53F8" w:rsidRDefault="00D93DE7" w:rsidP="00FD3784">
      <w:pPr>
        <w:pStyle w:val="Textonotapie"/>
        <w:tabs>
          <w:tab w:val="left" w:pos="284"/>
        </w:tabs>
        <w:jc w:val="both"/>
        <w:rPr>
          <w:rFonts w:asciiTheme="minorBidi" w:hAnsiTheme="minorBidi" w:cstheme="minorBidi"/>
          <w:color w:val="000000" w:themeColor="text1"/>
          <w:sz w:val="18"/>
          <w:szCs w:val="18"/>
          <w:lang w:val="es-ES"/>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Pr="000A53F8">
        <w:rPr>
          <w:rFonts w:asciiTheme="minorBidi" w:hAnsiTheme="minorBidi" w:cstheme="minorBidi"/>
          <w:i/>
          <w:iCs/>
          <w:color w:val="000000" w:themeColor="text1"/>
          <w:sz w:val="18"/>
          <w:szCs w:val="18"/>
        </w:rPr>
        <w:t>Ibidem</w:t>
      </w:r>
      <w:r w:rsidRPr="000A53F8">
        <w:rPr>
          <w:rFonts w:asciiTheme="minorBidi" w:hAnsiTheme="minorBidi" w:cstheme="minorBidi"/>
          <w:color w:val="000000" w:themeColor="text1"/>
          <w:sz w:val="18"/>
          <w:szCs w:val="18"/>
        </w:rPr>
        <w:t>, fojas 111 y 112.</w:t>
      </w:r>
    </w:p>
  </w:footnote>
  <w:footnote w:id="22">
    <w:p w14:paraId="5DA209B7" w14:textId="4E5857BE" w:rsidR="00CD34E2" w:rsidRPr="000A53F8" w:rsidRDefault="00CD34E2"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La demanda de amparo fue turnada al Octavo Tribunal Colegiado en Materia Civil del Primer Circuito. Por auto del magistrado presidente de </w:t>
      </w:r>
      <w:r w:rsidR="00D326D0" w:rsidRPr="000A53F8">
        <w:rPr>
          <w:rFonts w:asciiTheme="minorBidi" w:hAnsiTheme="minorBidi" w:cstheme="minorBidi"/>
          <w:color w:val="000000" w:themeColor="text1"/>
          <w:sz w:val="18"/>
          <w:szCs w:val="18"/>
        </w:rPr>
        <w:t xml:space="preserve">29 </w:t>
      </w:r>
      <w:r w:rsidRPr="000A53F8">
        <w:rPr>
          <w:rFonts w:asciiTheme="minorBidi" w:hAnsiTheme="minorBidi" w:cstheme="minorBidi"/>
          <w:color w:val="000000" w:themeColor="text1"/>
          <w:sz w:val="18"/>
          <w:szCs w:val="18"/>
        </w:rPr>
        <w:t xml:space="preserve">de agosto </w:t>
      </w:r>
      <w:r w:rsidR="00D326D0" w:rsidRPr="000A53F8">
        <w:rPr>
          <w:rFonts w:asciiTheme="minorBidi" w:hAnsiTheme="minorBidi" w:cstheme="minorBidi"/>
          <w:color w:val="000000" w:themeColor="text1"/>
          <w:sz w:val="18"/>
          <w:szCs w:val="18"/>
        </w:rPr>
        <w:t>de 2019</w:t>
      </w:r>
      <w:r w:rsidRPr="000A53F8">
        <w:rPr>
          <w:rFonts w:asciiTheme="minorBidi" w:hAnsiTheme="minorBidi" w:cstheme="minorBidi"/>
          <w:color w:val="000000" w:themeColor="text1"/>
          <w:sz w:val="18"/>
          <w:szCs w:val="18"/>
        </w:rPr>
        <w:t xml:space="preserve">, la demanda se </w:t>
      </w:r>
      <w:r w:rsidRPr="005229E1">
        <w:rPr>
          <w:rFonts w:asciiTheme="minorBidi" w:hAnsiTheme="minorBidi" w:cstheme="minorBidi"/>
          <w:sz w:val="18"/>
          <w:szCs w:val="18"/>
        </w:rPr>
        <w:t>registró con el número de expediente 658/2019 —</w:t>
      </w:r>
      <w:r w:rsidR="00E56929" w:rsidRPr="005229E1">
        <w:rPr>
          <w:rFonts w:asciiTheme="minorBidi" w:hAnsiTheme="minorBidi" w:cstheme="minorBidi"/>
          <w:sz w:val="18"/>
          <w:szCs w:val="18"/>
        </w:rPr>
        <w:t>r</w:t>
      </w:r>
      <w:r w:rsidRPr="005229E1">
        <w:rPr>
          <w:rFonts w:asciiTheme="minorBidi" w:hAnsiTheme="minorBidi" w:cstheme="minorBidi"/>
          <w:sz w:val="18"/>
          <w:szCs w:val="18"/>
        </w:rPr>
        <w:t>elacionado con los juicios de amparo 657/2019 y 659/2019, promovidos por Reforma 222 y Protección Privada 2010, respectivamente, en los que se reclamó la misma sentencia</w:t>
      </w:r>
      <w:r w:rsidRPr="000A53F8">
        <w:rPr>
          <w:rFonts w:asciiTheme="minorBidi" w:hAnsiTheme="minorBidi" w:cstheme="minorBidi"/>
          <w:color w:val="000000" w:themeColor="text1"/>
          <w:sz w:val="18"/>
          <w:szCs w:val="18"/>
        </w:rPr>
        <w:t xml:space="preserve">— y se admitió a trámite. </w:t>
      </w:r>
    </w:p>
  </w:footnote>
  <w:footnote w:id="23">
    <w:p w14:paraId="2C5BAAF1" w14:textId="3EE4FCFF" w:rsidR="00CD34E2" w:rsidRPr="000A53F8" w:rsidRDefault="00CD34E2"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El escrito de solicitud fue asignado con el número de expediente 622/2019. El </w:t>
      </w:r>
      <w:r w:rsidR="004A3DAC" w:rsidRPr="000A53F8">
        <w:rPr>
          <w:rFonts w:asciiTheme="minorBidi" w:hAnsiTheme="minorBidi" w:cstheme="minorBidi"/>
          <w:color w:val="000000" w:themeColor="text1"/>
          <w:sz w:val="18"/>
          <w:szCs w:val="18"/>
        </w:rPr>
        <w:t xml:space="preserve">30 </w:t>
      </w:r>
      <w:r w:rsidRPr="000A53F8">
        <w:rPr>
          <w:rFonts w:asciiTheme="minorBidi" w:hAnsiTheme="minorBidi" w:cstheme="minorBidi"/>
          <w:color w:val="000000" w:themeColor="text1"/>
          <w:sz w:val="18"/>
          <w:szCs w:val="18"/>
        </w:rPr>
        <w:t xml:space="preserve">de septiembre </w:t>
      </w:r>
      <w:r w:rsidR="004A3DAC" w:rsidRPr="000A53F8">
        <w:rPr>
          <w:rFonts w:asciiTheme="minorBidi" w:hAnsiTheme="minorBidi" w:cstheme="minorBidi"/>
          <w:color w:val="000000" w:themeColor="text1"/>
          <w:sz w:val="18"/>
          <w:szCs w:val="18"/>
        </w:rPr>
        <w:t>de 2019</w:t>
      </w:r>
      <w:r w:rsidRPr="000A53F8">
        <w:rPr>
          <w:rFonts w:asciiTheme="minorBidi" w:hAnsiTheme="minorBidi" w:cstheme="minorBidi"/>
          <w:color w:val="000000" w:themeColor="text1"/>
          <w:sz w:val="18"/>
          <w:szCs w:val="18"/>
        </w:rPr>
        <w:t xml:space="preserve">, el </w:t>
      </w:r>
      <w:r w:rsidR="004A3DAC" w:rsidRPr="000A53F8">
        <w:rPr>
          <w:rFonts w:asciiTheme="minorBidi" w:hAnsiTheme="minorBidi" w:cstheme="minorBidi"/>
          <w:color w:val="000000" w:themeColor="text1"/>
          <w:sz w:val="18"/>
          <w:szCs w:val="18"/>
        </w:rPr>
        <w:t>p</w:t>
      </w:r>
      <w:r w:rsidRPr="000A53F8">
        <w:rPr>
          <w:rFonts w:asciiTheme="minorBidi" w:hAnsiTheme="minorBidi" w:cstheme="minorBidi"/>
          <w:color w:val="000000" w:themeColor="text1"/>
          <w:sz w:val="18"/>
          <w:szCs w:val="18"/>
        </w:rPr>
        <w:t xml:space="preserve">residente de la Primera Sala acordó la recepción del </w:t>
      </w:r>
      <w:r w:rsidR="004A3DAC" w:rsidRPr="000A53F8">
        <w:rPr>
          <w:rFonts w:asciiTheme="minorBidi" w:hAnsiTheme="minorBidi" w:cstheme="minorBidi"/>
          <w:color w:val="000000" w:themeColor="text1"/>
          <w:sz w:val="18"/>
          <w:szCs w:val="18"/>
        </w:rPr>
        <w:t>escrito, lo sometió a consideración de la ministra y los ministros pertenecien</w:t>
      </w:r>
      <w:r w:rsidRPr="000A53F8">
        <w:rPr>
          <w:rFonts w:asciiTheme="minorBidi" w:hAnsiTheme="minorBidi" w:cstheme="minorBidi"/>
          <w:color w:val="000000" w:themeColor="text1"/>
          <w:sz w:val="18"/>
          <w:szCs w:val="18"/>
        </w:rPr>
        <w:t xml:space="preserve">tes a este órgano a fin de que determinaran si alguno considera hacerla suya y, ordenó que, en caso de que no se hayan resuelto los asuntos, se suspenda su resolución hasta que haya una determinación respecto a la solicitud. </w:t>
      </w:r>
    </w:p>
  </w:footnote>
  <w:footnote w:id="24">
    <w:p w14:paraId="26AFFBFF" w14:textId="10378C49" w:rsidR="00051AF8" w:rsidRPr="000A53F8" w:rsidRDefault="00CD34E2"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004A3DAC" w:rsidRPr="000A53F8">
        <w:rPr>
          <w:rFonts w:asciiTheme="minorBidi" w:hAnsiTheme="minorBidi" w:cstheme="minorBidi"/>
          <w:color w:val="000000" w:themeColor="text1"/>
          <w:sz w:val="18"/>
          <w:szCs w:val="18"/>
        </w:rPr>
        <w:t>Votos a favor d</w:t>
      </w:r>
      <w:r w:rsidRPr="000A53F8">
        <w:rPr>
          <w:rFonts w:asciiTheme="minorBidi" w:hAnsiTheme="minorBidi" w:cstheme="minorBidi"/>
          <w:color w:val="000000" w:themeColor="text1"/>
          <w:sz w:val="18"/>
          <w:szCs w:val="18"/>
        </w:rPr>
        <w:t xml:space="preserve">e las </w:t>
      </w:r>
      <w:r w:rsidR="00602B2B" w:rsidRPr="000A53F8">
        <w:rPr>
          <w:rFonts w:asciiTheme="minorBidi" w:hAnsiTheme="minorBidi" w:cstheme="minorBidi"/>
          <w:color w:val="000000" w:themeColor="text1"/>
          <w:sz w:val="18"/>
          <w:szCs w:val="18"/>
        </w:rPr>
        <w:t>m</w:t>
      </w:r>
      <w:r w:rsidRPr="000A53F8">
        <w:rPr>
          <w:rFonts w:asciiTheme="minorBidi" w:hAnsiTheme="minorBidi" w:cstheme="minorBidi"/>
          <w:color w:val="000000" w:themeColor="text1"/>
          <w:sz w:val="18"/>
          <w:szCs w:val="18"/>
        </w:rPr>
        <w:t xml:space="preserve">inistras Norma Lucía Piña Hernández, Ana Margarita Ríos Farjat y de los </w:t>
      </w:r>
      <w:r w:rsidR="00602B2B" w:rsidRPr="000A53F8">
        <w:rPr>
          <w:rFonts w:asciiTheme="minorBidi" w:hAnsiTheme="minorBidi" w:cstheme="minorBidi"/>
          <w:color w:val="000000" w:themeColor="text1"/>
          <w:sz w:val="18"/>
          <w:szCs w:val="18"/>
        </w:rPr>
        <w:t>m</w:t>
      </w:r>
      <w:r w:rsidRPr="000A53F8">
        <w:rPr>
          <w:rFonts w:asciiTheme="minorBidi" w:hAnsiTheme="minorBidi" w:cstheme="minorBidi"/>
          <w:color w:val="000000" w:themeColor="text1"/>
          <w:sz w:val="18"/>
          <w:szCs w:val="18"/>
        </w:rPr>
        <w:t xml:space="preserve">inistros Alfredo Gutiérrez Ortiz Mena y Juan Luis González Alcántara Carrancá (ponente), en contra del voto emitido por el </w:t>
      </w:r>
      <w:r w:rsidR="00602B2B" w:rsidRPr="000A53F8">
        <w:rPr>
          <w:rFonts w:asciiTheme="minorBidi" w:hAnsiTheme="minorBidi" w:cstheme="minorBidi"/>
          <w:color w:val="000000" w:themeColor="text1"/>
          <w:sz w:val="18"/>
          <w:szCs w:val="18"/>
        </w:rPr>
        <w:t>m</w:t>
      </w:r>
      <w:r w:rsidRPr="000A53F8">
        <w:rPr>
          <w:rFonts w:asciiTheme="minorBidi" w:hAnsiTheme="minorBidi" w:cstheme="minorBidi"/>
          <w:color w:val="000000" w:themeColor="text1"/>
          <w:sz w:val="18"/>
          <w:szCs w:val="18"/>
        </w:rPr>
        <w:t>inistro Jorge Mario Pardo Rebolledo.</w:t>
      </w:r>
    </w:p>
  </w:footnote>
  <w:footnote w:id="25">
    <w:p w14:paraId="788DCB05" w14:textId="417AB9AE" w:rsidR="0006268B" w:rsidRPr="002F3DC4" w:rsidRDefault="0006268B">
      <w:pPr>
        <w:pStyle w:val="Textonotapie"/>
        <w:rPr>
          <w:rFonts w:asciiTheme="minorBidi" w:hAnsiTheme="minorBidi" w:cstheme="minorBidi"/>
          <w:sz w:val="18"/>
          <w:szCs w:val="18"/>
        </w:rPr>
      </w:pPr>
      <w:r w:rsidRPr="002F3DC4">
        <w:rPr>
          <w:rStyle w:val="Refdenotaalpie"/>
          <w:rFonts w:asciiTheme="minorBidi" w:hAnsiTheme="minorBidi" w:cstheme="minorBidi"/>
          <w:sz w:val="18"/>
          <w:szCs w:val="18"/>
        </w:rPr>
        <w:footnoteRef/>
      </w:r>
      <w:r w:rsidRPr="002F3DC4">
        <w:rPr>
          <w:rFonts w:asciiTheme="minorBidi" w:hAnsiTheme="minorBidi" w:cstheme="minorBidi"/>
          <w:sz w:val="18"/>
          <w:szCs w:val="18"/>
        </w:rPr>
        <w:t xml:space="preserve"> </w:t>
      </w:r>
      <w:r w:rsidRPr="002F3DC4">
        <w:rPr>
          <w:rFonts w:asciiTheme="minorBidi" w:hAnsiTheme="minorBidi" w:cstheme="minorBidi"/>
          <w:color w:val="000000" w:themeColor="text1"/>
          <w:sz w:val="18"/>
          <w:szCs w:val="18"/>
        </w:rPr>
        <w:t>Vigente al momento de la tramitación del presente asunto.</w:t>
      </w:r>
    </w:p>
  </w:footnote>
  <w:footnote w:id="26">
    <w:p w14:paraId="69638950" w14:textId="502E6165" w:rsidR="004B16E6" w:rsidRDefault="004B16E6"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00657BA5" w:rsidRPr="000A53F8">
        <w:rPr>
          <w:rFonts w:asciiTheme="minorBidi" w:hAnsiTheme="minorBidi" w:cstheme="minorBidi"/>
          <w:color w:val="000000" w:themeColor="text1"/>
          <w:sz w:val="18"/>
          <w:szCs w:val="18"/>
        </w:rPr>
        <w:t xml:space="preserve">Por ser inhábiles, se </w:t>
      </w:r>
      <w:r w:rsidRPr="000A53F8">
        <w:rPr>
          <w:rFonts w:asciiTheme="minorBidi" w:hAnsiTheme="minorBidi" w:cstheme="minorBidi"/>
          <w:color w:val="000000" w:themeColor="text1"/>
          <w:sz w:val="18"/>
          <w:szCs w:val="18"/>
        </w:rPr>
        <w:t xml:space="preserve">deben descontar del cómputo los días 6, 7, 9, 13 y 14 de julio; el periodo comprendido entre el 15 y el 31 de julio, así como los días 1, 2, 3, 4, 10 y 11 de agosto, todos de </w:t>
      </w:r>
      <w:r w:rsidR="007A6332" w:rsidRPr="000A53F8">
        <w:rPr>
          <w:rFonts w:asciiTheme="minorBidi" w:hAnsiTheme="minorBidi" w:cstheme="minorBidi"/>
          <w:color w:val="000000" w:themeColor="text1"/>
          <w:sz w:val="18"/>
          <w:szCs w:val="18"/>
        </w:rPr>
        <w:t>2019</w:t>
      </w:r>
      <w:r w:rsidRPr="000A53F8">
        <w:rPr>
          <w:rFonts w:asciiTheme="minorBidi" w:hAnsiTheme="minorBidi" w:cstheme="minorBidi"/>
          <w:color w:val="000000" w:themeColor="text1"/>
          <w:sz w:val="18"/>
          <w:szCs w:val="18"/>
        </w:rPr>
        <w:t>. Cabe señalar que el día 9 de agosto se considera inhábil</w:t>
      </w:r>
      <w:r w:rsidR="0093561C" w:rsidRPr="000A53F8">
        <w:rPr>
          <w:rFonts w:asciiTheme="minorBidi" w:hAnsiTheme="minorBidi" w:cstheme="minorBidi"/>
          <w:color w:val="000000" w:themeColor="text1"/>
          <w:sz w:val="18"/>
          <w:szCs w:val="18"/>
        </w:rPr>
        <w:t>,</w:t>
      </w:r>
      <w:r w:rsidRPr="000A53F8">
        <w:rPr>
          <w:rFonts w:asciiTheme="minorBidi" w:hAnsiTheme="minorBidi" w:cstheme="minorBidi"/>
          <w:color w:val="000000" w:themeColor="text1"/>
          <w:sz w:val="18"/>
          <w:szCs w:val="18"/>
        </w:rPr>
        <w:t xml:space="preserve"> conforme a la certificación realizada por la sala responsable en términos del artículo 178, fracción I, de la Ley de Amparo.</w:t>
      </w:r>
      <w:r w:rsidR="00FE19EA">
        <w:rPr>
          <w:rFonts w:asciiTheme="minorBidi" w:hAnsiTheme="minorBidi" w:cstheme="minorBidi"/>
          <w:color w:val="000000" w:themeColor="text1"/>
          <w:sz w:val="18"/>
          <w:szCs w:val="18"/>
        </w:rPr>
        <w:t xml:space="preserve"> </w:t>
      </w:r>
    </w:p>
    <w:p w14:paraId="4BC466D2" w14:textId="77777777" w:rsidR="00FE19EA" w:rsidRDefault="00FE19EA" w:rsidP="00FD3784">
      <w:pPr>
        <w:pStyle w:val="Textonotapie"/>
        <w:tabs>
          <w:tab w:val="left" w:pos="284"/>
        </w:tabs>
        <w:jc w:val="both"/>
        <w:rPr>
          <w:rFonts w:asciiTheme="minorBidi" w:hAnsiTheme="minorBidi" w:cstheme="minorBidi"/>
          <w:color w:val="000000" w:themeColor="text1"/>
          <w:sz w:val="18"/>
          <w:szCs w:val="18"/>
        </w:rPr>
      </w:pPr>
    </w:p>
    <w:p w14:paraId="270A2A72" w14:textId="77777777" w:rsidR="00FE19EA" w:rsidRPr="000A53F8" w:rsidRDefault="00FE19EA" w:rsidP="00FD3784">
      <w:pPr>
        <w:pStyle w:val="Textonotapie"/>
        <w:tabs>
          <w:tab w:val="left" w:pos="284"/>
        </w:tabs>
        <w:jc w:val="both"/>
        <w:rPr>
          <w:rFonts w:asciiTheme="minorBidi" w:hAnsiTheme="minorBidi" w:cstheme="minorBidi"/>
          <w:color w:val="000000" w:themeColor="text1"/>
          <w:sz w:val="18"/>
          <w:szCs w:val="18"/>
        </w:rPr>
      </w:pPr>
    </w:p>
  </w:footnote>
  <w:footnote w:id="27">
    <w:p w14:paraId="4975FA67" w14:textId="78B6747E" w:rsidR="00CC147A" w:rsidRPr="000A53F8" w:rsidRDefault="00CC147A" w:rsidP="00FD3784">
      <w:pPr>
        <w:pStyle w:val="Textonotapie"/>
        <w:tabs>
          <w:tab w:val="left" w:pos="284"/>
        </w:tabs>
        <w:jc w:val="both"/>
        <w:rPr>
          <w:rFonts w:asciiTheme="minorBidi" w:hAnsiTheme="minorBidi" w:cstheme="minorBidi"/>
          <w:color w:val="000000" w:themeColor="text1"/>
          <w:sz w:val="18"/>
          <w:szCs w:val="18"/>
          <w:lang w:val="es-ES"/>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00DC44DF" w:rsidRPr="000A53F8">
        <w:rPr>
          <w:rFonts w:asciiTheme="minorBidi" w:hAnsiTheme="minorBidi" w:cstheme="minorBidi"/>
          <w:color w:val="000000" w:themeColor="text1"/>
          <w:sz w:val="18"/>
          <w:szCs w:val="18"/>
        </w:rPr>
        <w:t>Sentencia de apelación 255/2019</w:t>
      </w:r>
      <w:r w:rsidRPr="000A53F8">
        <w:rPr>
          <w:rFonts w:asciiTheme="minorBidi" w:hAnsiTheme="minorBidi" w:cstheme="minorBidi"/>
          <w:color w:val="000000" w:themeColor="text1"/>
          <w:sz w:val="18"/>
          <w:szCs w:val="18"/>
        </w:rPr>
        <w:t>, fojas 111 y 112.</w:t>
      </w:r>
    </w:p>
  </w:footnote>
  <w:footnote w:id="28">
    <w:p w14:paraId="37F2D968" w14:textId="49769605" w:rsidR="0031303C" w:rsidRPr="000A53F8" w:rsidRDefault="00324B3A"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Artículo 171. Al reclamarse la sentencia definitiva, laudo o resolución que ponga fin al juicio, deberán hacerse valer las violaciones a las leyes del procedimiento, siempre y cuando el quejoso las haya impugnado durante la tramitación del juicio, mediante el recurso o medio de defensa que, en su caso, señale la ley ordinaria respectiva y la violación procesal trascienda al resultado del fallo. (…).</w:t>
      </w:r>
      <w:r w:rsidR="00E3531A">
        <w:rPr>
          <w:rFonts w:asciiTheme="minorBidi" w:hAnsiTheme="minorBidi" w:cstheme="minorBidi"/>
          <w:color w:val="000000" w:themeColor="text1"/>
          <w:sz w:val="18"/>
          <w:szCs w:val="18"/>
        </w:rPr>
        <w:t xml:space="preserve"> </w:t>
      </w:r>
    </w:p>
  </w:footnote>
  <w:footnote w:id="29">
    <w:p w14:paraId="77EBC05C" w14:textId="6F0EF214" w:rsidR="00324B3A" w:rsidRPr="000A53F8" w:rsidRDefault="00324B3A"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00320AE9" w:rsidRPr="000A53F8">
        <w:rPr>
          <w:rFonts w:asciiTheme="minorBidi" w:hAnsiTheme="minorBidi" w:cstheme="minorBidi"/>
          <w:i/>
          <w:iCs/>
          <w:color w:val="000000" w:themeColor="text1"/>
          <w:sz w:val="18"/>
          <w:szCs w:val="18"/>
        </w:rPr>
        <w:t>Vid</w:t>
      </w:r>
      <w:r w:rsidR="00320AE9" w:rsidRPr="000A53F8">
        <w:rPr>
          <w:rFonts w:asciiTheme="minorBidi" w:hAnsiTheme="minorBidi" w:cstheme="minorBidi"/>
          <w:color w:val="000000" w:themeColor="text1"/>
          <w:sz w:val="18"/>
          <w:szCs w:val="18"/>
        </w:rPr>
        <w:t xml:space="preserve">., </w:t>
      </w:r>
      <w:r w:rsidR="006F61E0" w:rsidRPr="000A53F8">
        <w:rPr>
          <w:rFonts w:asciiTheme="minorBidi" w:hAnsiTheme="minorBidi" w:cstheme="minorBidi"/>
          <w:color w:val="000000" w:themeColor="text1"/>
          <w:sz w:val="18"/>
          <w:szCs w:val="18"/>
        </w:rPr>
        <w:t xml:space="preserve">la jurisprudencia de rubro: “VIOLACIONES PROCESALES. EL ARTÍCULO 171 DE LA LEY DE AMPARO, QUE IMPONE SU PREPARACIÓN ANTES DE ACUDIR AL JUICIO DE AMPARO DIRECTO, NO ES IRRACIONAL NI VULNERA LOS DERECHOS FUNDAMENTALES DEL QUEJOSO.”. Registro digital: 2022019; Instancia: Primera Sala; Décima Época; Materia(s): Común, Constitucional; Tesis: 1a./J. 25/2020 (10a.); Fuente: Gaceta del Semanario Judicial de la Federación; Libro 77, </w:t>
      </w:r>
      <w:r w:rsidR="00A03494" w:rsidRPr="000A53F8">
        <w:rPr>
          <w:rFonts w:asciiTheme="minorBidi" w:hAnsiTheme="minorBidi" w:cstheme="minorBidi"/>
          <w:color w:val="000000" w:themeColor="text1"/>
          <w:sz w:val="18"/>
          <w:szCs w:val="18"/>
        </w:rPr>
        <w:t>agosto</w:t>
      </w:r>
      <w:r w:rsidR="006F61E0" w:rsidRPr="000A53F8">
        <w:rPr>
          <w:rFonts w:asciiTheme="minorBidi" w:hAnsiTheme="minorBidi" w:cstheme="minorBidi"/>
          <w:color w:val="000000" w:themeColor="text1"/>
          <w:sz w:val="18"/>
          <w:szCs w:val="18"/>
        </w:rPr>
        <w:t xml:space="preserve"> de 2020, Tomo III, página 2201; Tipo: Jurisprudencia.</w:t>
      </w:r>
    </w:p>
  </w:footnote>
  <w:footnote w:id="30">
    <w:p w14:paraId="516E3C6B" w14:textId="757CA7B6" w:rsidR="00AB048C" w:rsidRDefault="00AB048C"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00605A8B" w:rsidRPr="000A53F8">
        <w:rPr>
          <w:rFonts w:asciiTheme="minorBidi" w:hAnsiTheme="minorBidi" w:cstheme="minorBidi"/>
          <w:color w:val="000000" w:themeColor="text1"/>
          <w:sz w:val="18"/>
          <w:szCs w:val="18"/>
        </w:rPr>
        <w:t>Juicio ordinario civil 1137/2017, tomo I, foja 217.</w:t>
      </w:r>
    </w:p>
    <w:p w14:paraId="1A3027FD" w14:textId="77777777" w:rsidR="00E3531A" w:rsidRPr="000A53F8" w:rsidRDefault="00E3531A" w:rsidP="00FD3784">
      <w:pPr>
        <w:pStyle w:val="Textonotapie"/>
        <w:tabs>
          <w:tab w:val="left" w:pos="284"/>
        </w:tabs>
        <w:jc w:val="both"/>
        <w:rPr>
          <w:rFonts w:asciiTheme="minorBidi" w:hAnsiTheme="minorBidi" w:cstheme="minorBidi"/>
          <w:color w:val="000000" w:themeColor="text1"/>
          <w:sz w:val="18"/>
          <w:szCs w:val="18"/>
        </w:rPr>
      </w:pPr>
    </w:p>
  </w:footnote>
  <w:footnote w:id="31">
    <w:p w14:paraId="29B8D76B" w14:textId="00E82692" w:rsidR="00B84009" w:rsidRPr="000A53F8" w:rsidRDefault="00B84009" w:rsidP="00FD3784">
      <w:pPr>
        <w:pStyle w:val="Estilo"/>
        <w:tabs>
          <w:tab w:val="left" w:pos="284"/>
        </w:tabs>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Artículo 688. El recurso de apelación tiene por objeto que, el Tribunal confirme, revoque o modifique la resolución del Juez.</w:t>
      </w:r>
      <w:r w:rsidR="003D123D">
        <w:rPr>
          <w:rFonts w:asciiTheme="minorBidi" w:hAnsiTheme="minorBidi" w:cstheme="minorBidi"/>
          <w:color w:val="000000" w:themeColor="text1"/>
          <w:sz w:val="18"/>
          <w:szCs w:val="18"/>
        </w:rPr>
        <w:t xml:space="preserve"> (</w:t>
      </w:r>
      <w:r w:rsidR="00883343">
        <w:rPr>
          <w:rFonts w:asciiTheme="minorBidi" w:hAnsiTheme="minorBidi" w:cstheme="minorBidi"/>
          <w:color w:val="000000" w:themeColor="text1"/>
          <w:sz w:val="18"/>
          <w:szCs w:val="18"/>
        </w:rPr>
        <w:t>…)</w:t>
      </w:r>
    </w:p>
    <w:p w14:paraId="3774F173" w14:textId="543BD062" w:rsidR="00B84009" w:rsidRPr="000A53F8" w:rsidRDefault="00B84009" w:rsidP="00FD3784">
      <w:pPr>
        <w:pStyle w:val="Estilo"/>
        <w:tabs>
          <w:tab w:val="left" w:pos="284"/>
        </w:tabs>
        <w:rPr>
          <w:rFonts w:asciiTheme="minorBidi" w:hAnsiTheme="minorBidi" w:cstheme="minorBidi"/>
          <w:color w:val="000000" w:themeColor="text1"/>
          <w:sz w:val="18"/>
          <w:szCs w:val="18"/>
        </w:rPr>
      </w:pPr>
      <w:r w:rsidRPr="000A53F8">
        <w:rPr>
          <w:rFonts w:asciiTheme="minorBidi" w:hAnsiTheme="minorBidi" w:cstheme="minorBidi"/>
          <w:color w:val="000000" w:themeColor="text1"/>
          <w:sz w:val="18"/>
          <w:szCs w:val="18"/>
        </w:rPr>
        <w:t>Artículo 691. La apelación debe interponerse por escrito y procede sólo contra aquellas resoluciones que no permitan su revocación o regularización.</w:t>
      </w:r>
    </w:p>
    <w:p w14:paraId="67B18300" w14:textId="4C30A13D" w:rsidR="00B84009" w:rsidRPr="000A53F8" w:rsidRDefault="00B84009" w:rsidP="00FD3784">
      <w:pPr>
        <w:pStyle w:val="Estilo"/>
        <w:tabs>
          <w:tab w:val="left" w:pos="284"/>
        </w:tabs>
        <w:rPr>
          <w:rFonts w:asciiTheme="minorBidi" w:hAnsiTheme="minorBidi" w:cstheme="minorBidi"/>
          <w:color w:val="000000" w:themeColor="text1"/>
          <w:sz w:val="18"/>
          <w:szCs w:val="18"/>
        </w:rPr>
      </w:pPr>
      <w:r w:rsidRPr="000A53F8">
        <w:rPr>
          <w:rFonts w:asciiTheme="minorBidi" w:hAnsiTheme="minorBidi" w:cstheme="minorBidi"/>
          <w:color w:val="000000" w:themeColor="text1"/>
          <w:sz w:val="18"/>
          <w:szCs w:val="18"/>
        </w:rPr>
        <w:t>Los autos e interlocutorias serán apelables cuando lo fuere la sentencia definitiva.</w:t>
      </w:r>
    </w:p>
    <w:p w14:paraId="767D41F0" w14:textId="255AF48E" w:rsidR="00B84009" w:rsidRPr="000A53F8" w:rsidRDefault="00B84009" w:rsidP="00FD3784">
      <w:pPr>
        <w:pStyle w:val="Estilo"/>
        <w:tabs>
          <w:tab w:val="left" w:pos="284"/>
        </w:tabs>
        <w:rPr>
          <w:rFonts w:asciiTheme="minorBidi" w:hAnsiTheme="minorBidi" w:cstheme="minorBidi"/>
          <w:color w:val="000000" w:themeColor="text1"/>
          <w:sz w:val="18"/>
          <w:szCs w:val="18"/>
        </w:rPr>
      </w:pPr>
      <w:r w:rsidRPr="000A53F8">
        <w:rPr>
          <w:rFonts w:asciiTheme="minorBidi" w:hAnsiTheme="minorBidi" w:cstheme="minorBidi"/>
          <w:color w:val="000000" w:themeColor="text1"/>
          <w:sz w:val="18"/>
          <w:szCs w:val="18"/>
        </w:rPr>
        <w:t>Artículo 692 Bis. Además de los casos determinados expresamente en la ley, en la forma y términos que se establecen en este capítulo, se tramitarán de inmediato, en efecto devolutivo los supuestos previstos en las fracciones I a VI, y en ambos efectos la hipótesis prevista en la fracción VII, según proceda, las apelaciones que se interpongan contra: (…)</w:t>
      </w:r>
    </w:p>
    <w:p w14:paraId="6CB835E6" w14:textId="60E9C369" w:rsidR="00B84009" w:rsidRPr="000A53F8" w:rsidRDefault="00B84009" w:rsidP="00FD3784">
      <w:pPr>
        <w:pStyle w:val="Estilo"/>
        <w:tabs>
          <w:tab w:val="left" w:pos="284"/>
        </w:tabs>
        <w:rPr>
          <w:rFonts w:asciiTheme="minorBidi" w:hAnsiTheme="minorBidi" w:cstheme="minorBidi"/>
          <w:b/>
          <w:bCs/>
          <w:color w:val="000000" w:themeColor="text1"/>
          <w:sz w:val="18"/>
          <w:szCs w:val="18"/>
          <w:u w:val="single"/>
        </w:rPr>
      </w:pPr>
      <w:r w:rsidRPr="000A53F8">
        <w:rPr>
          <w:rFonts w:asciiTheme="minorBidi" w:hAnsiTheme="minorBidi" w:cstheme="minorBidi"/>
          <w:color w:val="000000" w:themeColor="text1"/>
          <w:sz w:val="18"/>
          <w:szCs w:val="18"/>
        </w:rPr>
        <w:t xml:space="preserve">III. El auto que tenga por contestada la demanda o reconvención, así como el que haga la declaración de rebeldía en ambos casos; (…). </w:t>
      </w:r>
    </w:p>
  </w:footnote>
  <w:footnote w:id="32">
    <w:p w14:paraId="6E52FA94" w14:textId="70D4A356" w:rsidR="00AB048C" w:rsidRPr="000A53F8" w:rsidRDefault="00AB048C"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Juicio ordinario civil 1137/2017, tomo I, foja 2</w:t>
      </w:r>
      <w:r w:rsidR="00326B7C" w:rsidRPr="000A53F8">
        <w:rPr>
          <w:rFonts w:asciiTheme="minorBidi" w:hAnsiTheme="minorBidi" w:cstheme="minorBidi"/>
          <w:color w:val="000000" w:themeColor="text1"/>
          <w:sz w:val="18"/>
          <w:szCs w:val="18"/>
        </w:rPr>
        <w:t>32 y ss</w:t>
      </w:r>
      <w:r w:rsidRPr="000A53F8">
        <w:rPr>
          <w:rFonts w:asciiTheme="minorBidi" w:hAnsiTheme="minorBidi" w:cstheme="minorBidi"/>
          <w:color w:val="000000" w:themeColor="text1"/>
          <w:sz w:val="18"/>
          <w:szCs w:val="18"/>
        </w:rPr>
        <w:t>.</w:t>
      </w:r>
    </w:p>
  </w:footnote>
  <w:footnote w:id="33">
    <w:p w14:paraId="0A018880" w14:textId="5F029BF6" w:rsidR="002372B8" w:rsidRPr="000A53F8" w:rsidRDefault="00ED264B"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002372B8" w:rsidRPr="000A53F8">
        <w:rPr>
          <w:rFonts w:asciiTheme="minorBidi" w:hAnsiTheme="minorBidi" w:cstheme="minorBidi"/>
          <w:color w:val="000000" w:themeColor="text1"/>
          <w:sz w:val="18"/>
          <w:szCs w:val="18"/>
        </w:rPr>
        <w:t>Artículo 684. Los autos que no fueren apelables y los decretos pueden ser revocados por el juez que los dicta, o por el que lo substituya en el conocimiento del negocio, sea por la interposición del recurso de revocación o por la regularización del procedimiento que se decrete de oficio o a petición de parte, previa vista a la contraria por tres días, para subsanar toda omisión que exista en el procedimiento o para el solo efecto de apegarse al procedimiento.</w:t>
      </w:r>
    </w:p>
    <w:p w14:paraId="07197177" w14:textId="2C7F2164" w:rsidR="00ED264B" w:rsidRPr="000A53F8" w:rsidRDefault="002372B8" w:rsidP="00FD3784">
      <w:pPr>
        <w:pStyle w:val="Textonotapie"/>
        <w:tabs>
          <w:tab w:val="left" w:pos="284"/>
        </w:tabs>
        <w:jc w:val="both"/>
        <w:rPr>
          <w:rFonts w:asciiTheme="minorBidi" w:hAnsiTheme="minorBidi" w:cstheme="minorBidi"/>
          <w:color w:val="000000" w:themeColor="text1"/>
          <w:sz w:val="18"/>
          <w:szCs w:val="18"/>
        </w:rPr>
      </w:pPr>
      <w:r w:rsidRPr="000A53F8">
        <w:rPr>
          <w:rFonts w:asciiTheme="minorBidi" w:hAnsiTheme="minorBidi" w:cstheme="minorBidi"/>
          <w:color w:val="000000" w:themeColor="text1"/>
          <w:sz w:val="18"/>
          <w:szCs w:val="18"/>
        </w:rPr>
        <w:t>Artículo 685. En los juicios en que la sentencia definitiva sea apelable, la revocación es procedente únicamente contra determinaciones de trámite, en los términos del artículo 79, fracción I de este código. (…).</w:t>
      </w:r>
    </w:p>
  </w:footnote>
  <w:footnote w:id="34">
    <w:p w14:paraId="5619CB6D" w14:textId="77777777" w:rsidR="00136C01" w:rsidRPr="005229E1" w:rsidRDefault="00136C01" w:rsidP="00FD3784">
      <w:pPr>
        <w:pStyle w:val="corte4fondo"/>
        <w:tabs>
          <w:tab w:val="left" w:pos="0"/>
          <w:tab w:val="left" w:pos="284"/>
        </w:tabs>
        <w:spacing w:line="240" w:lineRule="auto"/>
        <w:ind w:right="51" w:firstLine="0"/>
        <w:rPr>
          <w:rFonts w:asciiTheme="minorBidi" w:hAnsiTheme="minorBidi" w:cstheme="minorBidi"/>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Se </w:t>
      </w:r>
      <w:r w:rsidRPr="005229E1">
        <w:rPr>
          <w:rFonts w:asciiTheme="minorBidi" w:hAnsiTheme="minorBidi" w:cstheme="minorBidi"/>
          <w:sz w:val="18"/>
          <w:szCs w:val="18"/>
        </w:rPr>
        <w:t xml:space="preserve">destaca que, en la sentencia de apelación, la sala sostuvo que “tomando en consideración que la codemandada Dahnos, S.A. de C.V. al dar contestación a la demanda incoada en su contra manifestó que su denominación correcta lo era precisamente esa: Danhos, S.A. de C.V., circunstancia que quedó demostrada con la copia certificada del primer testimonio de la escritura pública número 61,608 de fecha once de diciembre de dos mil seis, pasada ante la fe del Licenciado Mildred M. Novelo Rivas, Notario Público número veintisiete del entonces Distrito Federal, en consecuencia, deberá tenerse como el nombre completo y correcto de la citada co-enjuiciada el de Danhos, S.A. de C.V. </w:t>
      </w:r>
    </w:p>
    <w:p w14:paraId="369E00F2" w14:textId="302DC7B1" w:rsidR="00136C01" w:rsidRPr="005229E1" w:rsidRDefault="00136C01" w:rsidP="00FD3784">
      <w:pPr>
        <w:pStyle w:val="corte4fondo"/>
        <w:tabs>
          <w:tab w:val="left" w:pos="0"/>
          <w:tab w:val="left" w:pos="284"/>
        </w:tabs>
        <w:spacing w:line="240" w:lineRule="auto"/>
        <w:ind w:right="51" w:firstLine="0"/>
        <w:rPr>
          <w:rFonts w:asciiTheme="minorBidi" w:hAnsiTheme="minorBidi" w:cstheme="minorBidi"/>
          <w:sz w:val="18"/>
          <w:szCs w:val="18"/>
        </w:rPr>
      </w:pPr>
      <w:r w:rsidRPr="005229E1">
        <w:rPr>
          <w:rFonts w:asciiTheme="minorBidi" w:hAnsiTheme="minorBidi" w:cstheme="minorBidi"/>
          <w:sz w:val="18"/>
          <w:szCs w:val="18"/>
        </w:rPr>
        <w:t xml:space="preserve">Motivos por los cuales, deberá instruirse a la C. Secretaria de Acuerdos de esta Sala, Licenciada Claudia Alondra Alcántara Islas, que ordene al personal a su cargo que se precise en las bases de datos con que cuenta este tribunal de alzada, así como en el libro de gobierno y en la carátula de </w:t>
      </w:r>
      <w:r w:rsidR="00310CC9" w:rsidRPr="005229E1">
        <w:rPr>
          <w:rFonts w:asciiTheme="minorBidi" w:hAnsiTheme="minorBidi" w:cstheme="minorBidi"/>
          <w:sz w:val="18"/>
          <w:szCs w:val="18"/>
        </w:rPr>
        <w:t>e</w:t>
      </w:r>
      <w:r w:rsidRPr="005229E1">
        <w:rPr>
          <w:rFonts w:asciiTheme="minorBidi" w:hAnsiTheme="minorBidi" w:cstheme="minorBidi"/>
          <w:sz w:val="18"/>
          <w:szCs w:val="18"/>
        </w:rPr>
        <w:t xml:space="preserve">ste toca el nombre completo y correcto de la citada codemandada, ya que no es Grupo Danhos, S.A. de C.V., sino Danhos, S.A. de C.V. (…)”. </w:t>
      </w:r>
    </w:p>
    <w:p w14:paraId="6486B1B1" w14:textId="7332FB51" w:rsidR="00136C01" w:rsidRPr="000A53F8" w:rsidRDefault="00136C01" w:rsidP="00FD3784">
      <w:pPr>
        <w:pStyle w:val="corte4fondo"/>
        <w:tabs>
          <w:tab w:val="left" w:pos="0"/>
          <w:tab w:val="left" w:pos="284"/>
        </w:tabs>
        <w:spacing w:line="240" w:lineRule="auto"/>
        <w:ind w:right="51" w:firstLine="0"/>
        <w:rPr>
          <w:rFonts w:asciiTheme="minorBidi" w:hAnsiTheme="minorBidi" w:cstheme="minorBidi"/>
          <w:color w:val="000000" w:themeColor="text1"/>
          <w:sz w:val="18"/>
          <w:szCs w:val="18"/>
        </w:rPr>
      </w:pPr>
      <w:r w:rsidRPr="005229E1">
        <w:rPr>
          <w:rFonts w:asciiTheme="minorBidi" w:hAnsiTheme="minorBidi" w:cstheme="minorBidi"/>
          <w:sz w:val="18"/>
          <w:szCs w:val="18"/>
        </w:rPr>
        <w:t xml:space="preserve">Al respecto, esta Primera Sala advierte que la persona moral Danhos no combatió dicha determinación mediante juicio de amparo directo o en la adhesión de los amparos directos tramitados </w:t>
      </w:r>
      <w:r w:rsidRPr="000A53F8">
        <w:rPr>
          <w:rFonts w:asciiTheme="minorBidi" w:hAnsiTheme="minorBidi" w:cstheme="minorBidi"/>
          <w:color w:val="000000" w:themeColor="text1"/>
          <w:sz w:val="18"/>
          <w:szCs w:val="18"/>
        </w:rPr>
        <w:t>por las actoras y codemandadas, respectivamente.</w:t>
      </w:r>
      <w:r w:rsidR="00043B4E" w:rsidRPr="000A53F8">
        <w:rPr>
          <w:rFonts w:asciiTheme="minorBidi" w:hAnsiTheme="minorBidi" w:cstheme="minorBidi"/>
          <w:color w:val="000000" w:themeColor="text1"/>
          <w:sz w:val="18"/>
          <w:szCs w:val="18"/>
        </w:rPr>
        <w:t xml:space="preserve"> </w:t>
      </w:r>
    </w:p>
  </w:footnote>
  <w:footnote w:id="35">
    <w:p w14:paraId="6F4D9B2B" w14:textId="0AD72A71" w:rsidR="002B0D26" w:rsidRPr="005229E1" w:rsidRDefault="002B0D26" w:rsidP="00FD3784">
      <w:pPr>
        <w:pStyle w:val="Textonotapie"/>
        <w:tabs>
          <w:tab w:val="left" w:pos="284"/>
        </w:tabs>
        <w:jc w:val="both"/>
        <w:rPr>
          <w:rFonts w:asciiTheme="minorBidi" w:hAnsiTheme="minorBidi" w:cstheme="minorBidi"/>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En adelante, “</w:t>
      </w:r>
      <w:r w:rsidRPr="005229E1">
        <w:rPr>
          <w:rFonts w:asciiTheme="minorBidi" w:hAnsiTheme="minorBidi" w:cstheme="minorBidi"/>
          <w:sz w:val="18"/>
          <w:szCs w:val="18"/>
        </w:rPr>
        <w:t>Concentradora Fibra Danhos”.</w:t>
      </w:r>
    </w:p>
  </w:footnote>
  <w:footnote w:id="36">
    <w:p w14:paraId="742382B4" w14:textId="1E0D4105" w:rsidR="00EB3B93" w:rsidRPr="000A53F8" w:rsidRDefault="00EB3B93"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Página 42 de la demanda de amparo.</w:t>
      </w:r>
    </w:p>
  </w:footnote>
  <w:footnote w:id="37">
    <w:p w14:paraId="737C89E4" w14:textId="1001D4E1" w:rsidR="009D6937" w:rsidRPr="000A53F8" w:rsidRDefault="009D6937"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00F45B23" w:rsidRPr="000A53F8">
        <w:rPr>
          <w:rFonts w:asciiTheme="minorBidi" w:hAnsiTheme="minorBidi" w:cstheme="minorBidi"/>
          <w:i/>
          <w:iCs/>
          <w:color w:val="000000" w:themeColor="text1"/>
          <w:sz w:val="18"/>
          <w:szCs w:val="18"/>
        </w:rPr>
        <w:t>Vid</w:t>
      </w:r>
      <w:r w:rsidR="00F45B23" w:rsidRPr="000A53F8">
        <w:rPr>
          <w:rFonts w:asciiTheme="minorBidi" w:hAnsiTheme="minorBidi" w:cstheme="minorBidi"/>
          <w:color w:val="000000" w:themeColor="text1"/>
          <w:sz w:val="18"/>
          <w:szCs w:val="18"/>
        </w:rPr>
        <w:t>., la tesis de rubro “LITISCONSORCIO PASIVO NECESARIO. ES UN PRESUPUESTO PROCESAL QUE DEBE ANALIZARSE DE OFICIO POR EL JUZGADOR EN CUALQUIER ETAPA DEL JUICIO (LEGISLACIONES DEL ESTADO DE JALISCO Y DEL DISTRITO FEDERAL).”; Registro digital: 176529</w:t>
      </w:r>
      <w:r w:rsidR="00D145AD" w:rsidRPr="000A53F8">
        <w:rPr>
          <w:rFonts w:asciiTheme="minorBidi" w:hAnsiTheme="minorBidi" w:cstheme="minorBidi"/>
          <w:color w:val="000000" w:themeColor="text1"/>
          <w:sz w:val="18"/>
          <w:szCs w:val="18"/>
        </w:rPr>
        <w:t xml:space="preserve">; </w:t>
      </w:r>
      <w:r w:rsidR="00F45B23" w:rsidRPr="000A53F8">
        <w:rPr>
          <w:rFonts w:asciiTheme="minorBidi" w:hAnsiTheme="minorBidi" w:cstheme="minorBidi"/>
          <w:color w:val="000000" w:themeColor="text1"/>
          <w:sz w:val="18"/>
          <w:szCs w:val="18"/>
        </w:rPr>
        <w:t>Instancia: Primera Sala</w:t>
      </w:r>
      <w:r w:rsidR="00D145AD" w:rsidRPr="000A53F8">
        <w:rPr>
          <w:rFonts w:asciiTheme="minorBidi" w:hAnsiTheme="minorBidi" w:cstheme="minorBidi"/>
          <w:color w:val="000000" w:themeColor="text1"/>
          <w:sz w:val="18"/>
          <w:szCs w:val="18"/>
        </w:rPr>
        <w:t xml:space="preserve">; </w:t>
      </w:r>
      <w:r w:rsidR="00F45B23" w:rsidRPr="000A53F8">
        <w:rPr>
          <w:rFonts w:asciiTheme="minorBidi" w:hAnsiTheme="minorBidi" w:cstheme="minorBidi"/>
          <w:color w:val="000000" w:themeColor="text1"/>
          <w:sz w:val="18"/>
          <w:szCs w:val="18"/>
        </w:rPr>
        <w:t>Novena Época</w:t>
      </w:r>
      <w:r w:rsidR="00D145AD" w:rsidRPr="000A53F8">
        <w:rPr>
          <w:rFonts w:asciiTheme="minorBidi" w:hAnsiTheme="minorBidi" w:cstheme="minorBidi"/>
          <w:color w:val="000000" w:themeColor="text1"/>
          <w:sz w:val="18"/>
          <w:szCs w:val="18"/>
        </w:rPr>
        <w:t xml:space="preserve">; </w:t>
      </w:r>
      <w:r w:rsidR="00F45B23" w:rsidRPr="000A53F8">
        <w:rPr>
          <w:rFonts w:asciiTheme="minorBidi" w:hAnsiTheme="minorBidi" w:cstheme="minorBidi"/>
          <w:color w:val="000000" w:themeColor="text1"/>
          <w:sz w:val="18"/>
          <w:szCs w:val="18"/>
        </w:rPr>
        <w:t>Materia(s): Civil</w:t>
      </w:r>
      <w:r w:rsidR="00D145AD" w:rsidRPr="000A53F8">
        <w:rPr>
          <w:rFonts w:asciiTheme="minorBidi" w:hAnsiTheme="minorBidi" w:cstheme="minorBidi"/>
          <w:color w:val="000000" w:themeColor="text1"/>
          <w:sz w:val="18"/>
          <w:szCs w:val="18"/>
        </w:rPr>
        <w:t xml:space="preserve">; </w:t>
      </w:r>
      <w:r w:rsidR="00F45B23" w:rsidRPr="000A53F8">
        <w:rPr>
          <w:rFonts w:asciiTheme="minorBidi" w:hAnsiTheme="minorBidi" w:cstheme="minorBidi"/>
          <w:color w:val="000000" w:themeColor="text1"/>
          <w:sz w:val="18"/>
          <w:szCs w:val="18"/>
        </w:rPr>
        <w:t>Tesis: 1a./J. 144/2005</w:t>
      </w:r>
      <w:r w:rsidR="00D145AD" w:rsidRPr="000A53F8">
        <w:rPr>
          <w:rFonts w:asciiTheme="minorBidi" w:hAnsiTheme="minorBidi" w:cstheme="minorBidi"/>
          <w:color w:val="000000" w:themeColor="text1"/>
          <w:sz w:val="18"/>
          <w:szCs w:val="18"/>
        </w:rPr>
        <w:t xml:space="preserve">; </w:t>
      </w:r>
      <w:r w:rsidR="00F45B23" w:rsidRPr="000A53F8">
        <w:rPr>
          <w:rFonts w:asciiTheme="minorBidi" w:hAnsiTheme="minorBidi" w:cstheme="minorBidi"/>
          <w:color w:val="000000" w:themeColor="text1"/>
          <w:sz w:val="18"/>
          <w:szCs w:val="18"/>
        </w:rPr>
        <w:t>Fuente: Semanario Judicial de la Federación y su Gaceta</w:t>
      </w:r>
      <w:r w:rsidR="00D145AD" w:rsidRPr="000A53F8">
        <w:rPr>
          <w:rFonts w:asciiTheme="minorBidi" w:hAnsiTheme="minorBidi" w:cstheme="minorBidi"/>
          <w:color w:val="000000" w:themeColor="text1"/>
          <w:sz w:val="18"/>
          <w:szCs w:val="18"/>
        </w:rPr>
        <w:t xml:space="preserve">; </w:t>
      </w:r>
      <w:r w:rsidR="00F45B23" w:rsidRPr="000A53F8">
        <w:rPr>
          <w:rFonts w:asciiTheme="minorBidi" w:hAnsiTheme="minorBidi" w:cstheme="minorBidi"/>
          <w:color w:val="000000" w:themeColor="text1"/>
          <w:sz w:val="18"/>
          <w:szCs w:val="18"/>
        </w:rPr>
        <w:t xml:space="preserve">Tomo XXII, </w:t>
      </w:r>
      <w:r w:rsidR="007965BE" w:rsidRPr="000A53F8">
        <w:rPr>
          <w:rFonts w:asciiTheme="minorBidi" w:hAnsiTheme="minorBidi" w:cstheme="minorBidi"/>
          <w:color w:val="000000" w:themeColor="text1"/>
          <w:sz w:val="18"/>
          <w:szCs w:val="18"/>
        </w:rPr>
        <w:t>diciembre</w:t>
      </w:r>
      <w:r w:rsidR="00F45B23" w:rsidRPr="000A53F8">
        <w:rPr>
          <w:rFonts w:asciiTheme="minorBidi" w:hAnsiTheme="minorBidi" w:cstheme="minorBidi"/>
          <w:color w:val="000000" w:themeColor="text1"/>
          <w:sz w:val="18"/>
          <w:szCs w:val="18"/>
        </w:rPr>
        <w:t xml:space="preserve"> de 2005, página 190</w:t>
      </w:r>
      <w:r w:rsidR="00D145AD" w:rsidRPr="000A53F8">
        <w:rPr>
          <w:rFonts w:asciiTheme="minorBidi" w:hAnsiTheme="minorBidi" w:cstheme="minorBidi"/>
          <w:color w:val="000000" w:themeColor="text1"/>
          <w:sz w:val="18"/>
          <w:szCs w:val="18"/>
        </w:rPr>
        <w:t xml:space="preserve">; </w:t>
      </w:r>
      <w:r w:rsidR="00F45B23" w:rsidRPr="000A53F8">
        <w:rPr>
          <w:rFonts w:asciiTheme="minorBidi" w:hAnsiTheme="minorBidi" w:cstheme="minorBidi"/>
          <w:color w:val="000000" w:themeColor="text1"/>
          <w:sz w:val="18"/>
          <w:szCs w:val="18"/>
        </w:rPr>
        <w:t>Tipo: Jurisprudencia</w:t>
      </w:r>
      <w:r w:rsidR="00312F66" w:rsidRPr="000A53F8">
        <w:rPr>
          <w:rFonts w:asciiTheme="minorBidi" w:hAnsiTheme="minorBidi" w:cstheme="minorBidi"/>
          <w:color w:val="000000" w:themeColor="text1"/>
          <w:sz w:val="18"/>
          <w:szCs w:val="18"/>
        </w:rPr>
        <w:t xml:space="preserve">; </w:t>
      </w:r>
      <w:r w:rsidR="000A753C" w:rsidRPr="000A53F8">
        <w:rPr>
          <w:rFonts w:asciiTheme="minorBidi" w:hAnsiTheme="minorBidi" w:cstheme="minorBidi"/>
          <w:color w:val="000000" w:themeColor="text1"/>
          <w:sz w:val="18"/>
          <w:szCs w:val="18"/>
        </w:rPr>
        <w:t xml:space="preserve">y la tesis de rubro </w:t>
      </w:r>
      <w:r w:rsidR="00312F66" w:rsidRPr="000A53F8">
        <w:rPr>
          <w:rFonts w:asciiTheme="minorBidi" w:hAnsiTheme="minorBidi" w:cstheme="minorBidi"/>
          <w:color w:val="000000" w:themeColor="text1"/>
          <w:sz w:val="18"/>
          <w:szCs w:val="18"/>
        </w:rPr>
        <w:t>“LITISCONSORCIO PASIVO NECESARIO. DEBE ESTUDIARSE DE OFICIO</w:t>
      </w:r>
      <w:r w:rsidR="000A753C" w:rsidRPr="000A53F8">
        <w:rPr>
          <w:rFonts w:asciiTheme="minorBidi" w:hAnsiTheme="minorBidi" w:cstheme="minorBidi"/>
          <w:color w:val="000000" w:themeColor="text1"/>
          <w:sz w:val="18"/>
          <w:szCs w:val="18"/>
        </w:rPr>
        <w:t>.</w:t>
      </w:r>
      <w:r w:rsidR="00312F66" w:rsidRPr="000A53F8">
        <w:rPr>
          <w:rFonts w:asciiTheme="minorBidi" w:hAnsiTheme="minorBidi" w:cstheme="minorBidi"/>
          <w:color w:val="000000" w:themeColor="text1"/>
          <w:sz w:val="18"/>
          <w:szCs w:val="18"/>
        </w:rPr>
        <w:t>”</w:t>
      </w:r>
      <w:r w:rsidR="000A753C" w:rsidRPr="000A53F8">
        <w:rPr>
          <w:rFonts w:asciiTheme="minorBidi" w:hAnsiTheme="minorBidi" w:cstheme="minorBidi"/>
          <w:color w:val="000000" w:themeColor="text1"/>
          <w:sz w:val="18"/>
          <w:szCs w:val="18"/>
        </w:rPr>
        <w:t xml:space="preserve">; Registro digital: 195672: Instancia: Pleno; Novena Época; Materia(s): Civil; Tesis: P./J. 40/98; Fuente: Semanario Judicial de la Federación y su Gaceta; Tomo VIII, </w:t>
      </w:r>
      <w:r w:rsidR="007965BE" w:rsidRPr="000A53F8">
        <w:rPr>
          <w:rFonts w:asciiTheme="minorBidi" w:hAnsiTheme="minorBidi" w:cstheme="minorBidi"/>
          <w:color w:val="000000" w:themeColor="text1"/>
          <w:sz w:val="18"/>
          <w:szCs w:val="18"/>
        </w:rPr>
        <w:t>agosto</w:t>
      </w:r>
      <w:r w:rsidR="000A753C" w:rsidRPr="000A53F8">
        <w:rPr>
          <w:rFonts w:asciiTheme="minorBidi" w:hAnsiTheme="minorBidi" w:cstheme="minorBidi"/>
          <w:color w:val="000000" w:themeColor="text1"/>
          <w:sz w:val="18"/>
          <w:szCs w:val="18"/>
        </w:rPr>
        <w:t xml:space="preserve"> de 1998, página 63; Tipo: Jurisprudencia.</w:t>
      </w:r>
    </w:p>
  </w:footnote>
  <w:footnote w:id="38">
    <w:p w14:paraId="5F190C21" w14:textId="42B3B7D4" w:rsidR="007A687E" w:rsidRPr="000A53F8" w:rsidRDefault="00E33BA5"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007A687E" w:rsidRPr="000A53F8">
        <w:rPr>
          <w:rFonts w:asciiTheme="minorBidi" w:hAnsiTheme="minorBidi" w:cstheme="minorBidi"/>
          <w:i/>
          <w:iCs/>
          <w:color w:val="000000" w:themeColor="text1"/>
          <w:sz w:val="18"/>
          <w:szCs w:val="18"/>
        </w:rPr>
        <w:t>Vid</w:t>
      </w:r>
      <w:r w:rsidR="007A687E" w:rsidRPr="000A53F8">
        <w:rPr>
          <w:rFonts w:asciiTheme="minorBidi" w:hAnsiTheme="minorBidi" w:cstheme="minorBidi"/>
          <w:color w:val="000000" w:themeColor="text1"/>
          <w:sz w:val="18"/>
          <w:szCs w:val="18"/>
        </w:rPr>
        <w:t xml:space="preserve">., la tesis de rubro “LITISCONSORCIO PASIVO NECESARIO. CUANDO EL TRIBUNAL DE ALZADA ADVIERTA QUE ALGUNA DE LAS PARTES NO FUE LLAMADA AL JUICIO NATURAL, OFICIOSAMENTE DEBE MANDAR REPONER EL PROCEDIMIENTO.”; Registro digital: 2004262; Instancia: Primera Sala; Décima Época; Materia(s): Civil; Tesis: 1a./J. 19/2013 (10a.); Fuente: Semanario Judicial de la Federación y su Gaceta; Libro XXIII, </w:t>
      </w:r>
      <w:r w:rsidR="007965BE" w:rsidRPr="000A53F8">
        <w:rPr>
          <w:rFonts w:asciiTheme="minorBidi" w:hAnsiTheme="minorBidi" w:cstheme="minorBidi"/>
          <w:color w:val="000000" w:themeColor="text1"/>
          <w:sz w:val="18"/>
          <w:szCs w:val="18"/>
        </w:rPr>
        <w:t>agosto</w:t>
      </w:r>
      <w:r w:rsidR="007A687E" w:rsidRPr="000A53F8">
        <w:rPr>
          <w:rFonts w:asciiTheme="minorBidi" w:hAnsiTheme="minorBidi" w:cstheme="minorBidi"/>
          <w:color w:val="000000" w:themeColor="text1"/>
          <w:sz w:val="18"/>
          <w:szCs w:val="18"/>
        </w:rPr>
        <w:t xml:space="preserve"> de 2013, Tomo 1, página 595; Tipo: Jurisprudencia.</w:t>
      </w:r>
    </w:p>
  </w:footnote>
  <w:footnote w:id="39">
    <w:p w14:paraId="12BDF981" w14:textId="57996875" w:rsidR="00AD0E04" w:rsidRPr="000A53F8" w:rsidRDefault="00AD0E04"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Amparo directo 30/2013, resuelto e</w:t>
      </w:r>
      <w:r w:rsidR="007A687E" w:rsidRPr="000A53F8">
        <w:rPr>
          <w:rFonts w:asciiTheme="minorBidi" w:hAnsiTheme="minorBidi" w:cstheme="minorBidi"/>
          <w:color w:val="000000" w:themeColor="text1"/>
          <w:sz w:val="18"/>
          <w:szCs w:val="18"/>
        </w:rPr>
        <w:t xml:space="preserve">n sesión de </w:t>
      </w:r>
      <w:r w:rsidRPr="000A53F8">
        <w:rPr>
          <w:rFonts w:asciiTheme="minorBidi" w:hAnsiTheme="minorBidi" w:cstheme="minorBidi"/>
          <w:color w:val="000000" w:themeColor="text1"/>
          <w:sz w:val="18"/>
          <w:szCs w:val="18"/>
        </w:rPr>
        <w:t>26 de febrero de 2014</w:t>
      </w:r>
      <w:r w:rsidR="007A687E" w:rsidRPr="000A53F8">
        <w:rPr>
          <w:rFonts w:asciiTheme="minorBidi" w:hAnsiTheme="minorBidi" w:cstheme="minorBidi"/>
          <w:color w:val="000000" w:themeColor="text1"/>
          <w:sz w:val="18"/>
          <w:szCs w:val="18"/>
        </w:rPr>
        <w:t>, por u</w:t>
      </w:r>
      <w:r w:rsidRPr="000A53F8">
        <w:rPr>
          <w:rFonts w:asciiTheme="minorBidi" w:hAnsiTheme="minorBidi" w:cstheme="minorBidi"/>
          <w:color w:val="000000" w:themeColor="text1"/>
          <w:sz w:val="18"/>
          <w:szCs w:val="18"/>
        </w:rPr>
        <w:t>nanimidad de cinco votos de la ministra Olga Sánchez Cordero de García Villegas y los ministros Arturo Zaldívar Lelo de Larrea (</w:t>
      </w:r>
      <w:r w:rsidR="00641A1B" w:rsidRPr="000A53F8">
        <w:rPr>
          <w:rFonts w:asciiTheme="minorBidi" w:hAnsiTheme="minorBidi" w:cstheme="minorBidi"/>
          <w:color w:val="000000" w:themeColor="text1"/>
          <w:sz w:val="18"/>
          <w:szCs w:val="18"/>
        </w:rPr>
        <w:t>p</w:t>
      </w:r>
      <w:r w:rsidRPr="000A53F8">
        <w:rPr>
          <w:rFonts w:asciiTheme="minorBidi" w:hAnsiTheme="minorBidi" w:cstheme="minorBidi"/>
          <w:color w:val="000000" w:themeColor="text1"/>
          <w:sz w:val="18"/>
          <w:szCs w:val="18"/>
        </w:rPr>
        <w:t>onente), José Ramón Cossío Díaz, quien se reserva su derecho a formular voto concurrente, Alfredo Gutiérrez Ortiz Mena, y Jorge Mario Pardo Rebolledo (</w:t>
      </w:r>
      <w:r w:rsidR="00641A1B" w:rsidRPr="000A53F8">
        <w:rPr>
          <w:rFonts w:asciiTheme="minorBidi" w:hAnsiTheme="minorBidi" w:cstheme="minorBidi"/>
          <w:color w:val="000000" w:themeColor="text1"/>
          <w:sz w:val="18"/>
          <w:szCs w:val="18"/>
        </w:rPr>
        <w:t>p</w:t>
      </w:r>
      <w:r w:rsidRPr="000A53F8">
        <w:rPr>
          <w:rFonts w:asciiTheme="minorBidi" w:hAnsiTheme="minorBidi" w:cstheme="minorBidi"/>
          <w:color w:val="000000" w:themeColor="text1"/>
          <w:sz w:val="18"/>
          <w:szCs w:val="18"/>
        </w:rPr>
        <w:t>residente)</w:t>
      </w:r>
      <w:r w:rsidR="00641A1B" w:rsidRPr="000A53F8">
        <w:rPr>
          <w:rFonts w:asciiTheme="minorBidi" w:hAnsiTheme="minorBidi" w:cstheme="minorBidi"/>
          <w:color w:val="000000" w:themeColor="text1"/>
          <w:sz w:val="18"/>
          <w:szCs w:val="18"/>
        </w:rPr>
        <w:t>,</w:t>
      </w:r>
      <w:r w:rsidRPr="000A53F8">
        <w:rPr>
          <w:rFonts w:asciiTheme="minorBidi" w:hAnsiTheme="minorBidi" w:cstheme="minorBidi"/>
          <w:color w:val="000000" w:themeColor="text1"/>
          <w:sz w:val="18"/>
          <w:szCs w:val="18"/>
        </w:rPr>
        <w:t xml:space="preserve"> quien se reserva su derecho a formular voto concurrente, p</w:t>
      </w:r>
      <w:r w:rsidR="007A687E" w:rsidRPr="000A53F8">
        <w:rPr>
          <w:rFonts w:asciiTheme="minorBidi" w:hAnsiTheme="minorBidi" w:cstheme="minorBidi"/>
          <w:color w:val="000000" w:themeColor="text1"/>
          <w:sz w:val="18"/>
          <w:szCs w:val="18"/>
        </w:rPr>
        <w:t>p</w:t>
      </w:r>
      <w:r w:rsidRPr="000A53F8">
        <w:rPr>
          <w:rFonts w:asciiTheme="minorBidi" w:hAnsiTheme="minorBidi" w:cstheme="minorBidi"/>
          <w:color w:val="000000" w:themeColor="text1"/>
          <w:sz w:val="18"/>
          <w:szCs w:val="18"/>
        </w:rPr>
        <w:t xml:space="preserve">. 52 </w:t>
      </w:r>
      <w:r w:rsidR="00641A1B" w:rsidRPr="000A53F8">
        <w:rPr>
          <w:rFonts w:asciiTheme="minorBidi" w:hAnsiTheme="minorBidi" w:cstheme="minorBidi"/>
          <w:color w:val="000000" w:themeColor="text1"/>
          <w:sz w:val="18"/>
          <w:szCs w:val="18"/>
        </w:rPr>
        <w:t xml:space="preserve">y </w:t>
      </w:r>
      <w:r w:rsidRPr="000A53F8">
        <w:rPr>
          <w:rFonts w:asciiTheme="minorBidi" w:hAnsiTheme="minorBidi" w:cstheme="minorBidi"/>
          <w:color w:val="000000" w:themeColor="text1"/>
          <w:sz w:val="18"/>
          <w:szCs w:val="18"/>
        </w:rPr>
        <w:t>53.</w:t>
      </w:r>
    </w:p>
  </w:footnote>
  <w:footnote w:id="40">
    <w:p w14:paraId="2F527507" w14:textId="09EC76B2" w:rsidR="00712222" w:rsidRDefault="00712222"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lang w:val="en-US"/>
        </w:rPr>
        <w:t xml:space="preserve"> Sheinman, Hanoch, “Tort Law and Corrective Justice”, en Law and Philosophy, 2003, Vol. 22, No. 1 (2003), págs. </w:t>
      </w:r>
      <w:r w:rsidRPr="000A53F8">
        <w:rPr>
          <w:rFonts w:asciiTheme="minorBidi" w:hAnsiTheme="minorBidi" w:cstheme="minorBidi"/>
          <w:color w:val="000000" w:themeColor="text1"/>
          <w:sz w:val="18"/>
          <w:szCs w:val="18"/>
        </w:rPr>
        <w:t>28</w:t>
      </w:r>
      <w:r w:rsidR="00A8136B" w:rsidRPr="000A53F8">
        <w:rPr>
          <w:rFonts w:asciiTheme="minorBidi" w:hAnsiTheme="minorBidi" w:cstheme="minorBidi"/>
          <w:color w:val="000000" w:themeColor="text1"/>
          <w:sz w:val="18"/>
          <w:szCs w:val="18"/>
        </w:rPr>
        <w:t xml:space="preserve"> y </w:t>
      </w:r>
      <w:r w:rsidRPr="000A53F8">
        <w:rPr>
          <w:rFonts w:asciiTheme="minorBidi" w:hAnsiTheme="minorBidi" w:cstheme="minorBidi"/>
          <w:color w:val="000000" w:themeColor="text1"/>
          <w:sz w:val="18"/>
          <w:szCs w:val="18"/>
        </w:rPr>
        <w:t>29.</w:t>
      </w:r>
    </w:p>
    <w:p w14:paraId="0C45B943" w14:textId="77777777" w:rsidR="000609DC" w:rsidRPr="000A53F8" w:rsidRDefault="000609DC" w:rsidP="00FD3784">
      <w:pPr>
        <w:pStyle w:val="Textonotapie"/>
        <w:tabs>
          <w:tab w:val="left" w:pos="284"/>
        </w:tabs>
        <w:jc w:val="both"/>
        <w:rPr>
          <w:rFonts w:asciiTheme="minorBidi" w:hAnsiTheme="minorBidi" w:cstheme="minorBidi"/>
          <w:color w:val="000000" w:themeColor="text1"/>
          <w:sz w:val="18"/>
          <w:szCs w:val="18"/>
        </w:rPr>
      </w:pPr>
    </w:p>
  </w:footnote>
  <w:footnote w:id="41">
    <w:p w14:paraId="265AC060" w14:textId="7FF036CB" w:rsidR="006973E2" w:rsidRPr="000A53F8" w:rsidRDefault="006973E2"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00284729" w:rsidRPr="000A53F8">
        <w:rPr>
          <w:rFonts w:asciiTheme="minorBidi" w:hAnsiTheme="minorBidi" w:cstheme="minorBidi"/>
          <w:color w:val="000000" w:themeColor="text1"/>
          <w:sz w:val="18"/>
          <w:szCs w:val="18"/>
        </w:rPr>
        <w:t xml:space="preserve">En otras palabras, la jurisprudencia de esta Suprema Corte establece que una premisa de la teoría de la responsabilidad civil es que la persona que causa un daño a otra está obligada a repararlo. </w:t>
      </w:r>
      <w:r w:rsidR="00A8136B" w:rsidRPr="000A53F8">
        <w:rPr>
          <w:rFonts w:asciiTheme="minorBidi" w:hAnsiTheme="minorBidi" w:cstheme="minorBidi"/>
          <w:color w:val="000000" w:themeColor="text1"/>
          <w:sz w:val="18"/>
          <w:szCs w:val="18"/>
        </w:rPr>
        <w:t xml:space="preserve">Amparo directo </w:t>
      </w:r>
      <w:r w:rsidR="002F558F" w:rsidRPr="000A53F8">
        <w:rPr>
          <w:rFonts w:asciiTheme="minorBidi" w:hAnsiTheme="minorBidi" w:cstheme="minorBidi"/>
          <w:color w:val="000000" w:themeColor="text1"/>
          <w:sz w:val="18"/>
          <w:szCs w:val="18"/>
        </w:rPr>
        <w:t xml:space="preserve">3/2021, </w:t>
      </w:r>
      <w:r w:rsidR="00B60360" w:rsidRPr="000A53F8">
        <w:rPr>
          <w:rFonts w:asciiTheme="minorBidi" w:hAnsiTheme="minorBidi" w:cstheme="minorBidi"/>
          <w:color w:val="000000" w:themeColor="text1"/>
          <w:sz w:val="18"/>
          <w:szCs w:val="18"/>
        </w:rPr>
        <w:t xml:space="preserve">resuelto en sesión de 29 de noviembre de 2023, por unanimidad de cinco votos de los ministros y las señoras ministras Loretta Ortiz Ahlf (quien se reservó su derecho a formular voto concurrente), Juan Luis González Alcántara Carrancá (quien se reservó su derecho a formular voto aclaratorio), Ana Margarita Ríos Farjat, Alfredo Gutiérrez Ortiz Mena (ponente) y Presidente Jorge Mario Pardo Rebolledo; </w:t>
      </w:r>
      <w:r w:rsidR="002F558F" w:rsidRPr="000A53F8">
        <w:rPr>
          <w:rFonts w:asciiTheme="minorBidi" w:hAnsiTheme="minorBidi" w:cstheme="minorBidi"/>
          <w:color w:val="000000" w:themeColor="text1"/>
          <w:sz w:val="18"/>
          <w:szCs w:val="18"/>
        </w:rPr>
        <w:t>párr. 89</w:t>
      </w:r>
      <w:r w:rsidR="00284729" w:rsidRPr="000A53F8">
        <w:rPr>
          <w:rFonts w:asciiTheme="minorBidi" w:hAnsiTheme="minorBidi" w:cstheme="minorBidi"/>
          <w:color w:val="000000" w:themeColor="text1"/>
          <w:sz w:val="18"/>
          <w:szCs w:val="18"/>
        </w:rPr>
        <w:t xml:space="preserve"> y 90</w:t>
      </w:r>
      <w:r w:rsidR="002F558F" w:rsidRPr="000A53F8">
        <w:rPr>
          <w:rFonts w:asciiTheme="minorBidi" w:hAnsiTheme="minorBidi" w:cstheme="minorBidi"/>
          <w:color w:val="000000" w:themeColor="text1"/>
          <w:sz w:val="18"/>
          <w:szCs w:val="18"/>
        </w:rPr>
        <w:t>.</w:t>
      </w:r>
    </w:p>
  </w:footnote>
  <w:footnote w:id="42">
    <w:p w14:paraId="2C6203AE" w14:textId="55BBF0AC" w:rsidR="002C1194" w:rsidRPr="000A53F8" w:rsidRDefault="002C1194"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Pr="000A53F8">
        <w:rPr>
          <w:rFonts w:asciiTheme="minorBidi" w:hAnsiTheme="minorBidi" w:cstheme="minorBidi"/>
          <w:bCs/>
          <w:i/>
          <w:iCs/>
          <w:color w:val="000000" w:themeColor="text1"/>
          <w:sz w:val="18"/>
          <w:szCs w:val="18"/>
        </w:rPr>
        <w:t>Vid</w:t>
      </w:r>
      <w:r w:rsidRPr="000A53F8">
        <w:rPr>
          <w:rFonts w:asciiTheme="minorBidi" w:hAnsiTheme="minorBidi" w:cstheme="minorBidi"/>
          <w:bCs/>
          <w:color w:val="000000" w:themeColor="text1"/>
          <w:sz w:val="18"/>
          <w:szCs w:val="18"/>
        </w:rPr>
        <w:t>., por ejemplo, los artículos 1918 a 1928 del Código Civil para el Distrito Federal</w:t>
      </w:r>
      <w:r w:rsidR="00F24610" w:rsidRPr="000A53F8">
        <w:rPr>
          <w:rFonts w:asciiTheme="minorBidi" w:hAnsiTheme="minorBidi" w:cstheme="minorBidi"/>
          <w:bCs/>
          <w:color w:val="000000" w:themeColor="text1"/>
          <w:sz w:val="18"/>
          <w:szCs w:val="18"/>
        </w:rPr>
        <w:t>,</w:t>
      </w:r>
      <w:r w:rsidR="006B0A12" w:rsidRPr="000A53F8">
        <w:rPr>
          <w:rFonts w:asciiTheme="minorBidi" w:hAnsiTheme="minorBidi" w:cstheme="minorBidi"/>
          <w:bCs/>
          <w:color w:val="000000" w:themeColor="text1"/>
          <w:sz w:val="18"/>
          <w:szCs w:val="18"/>
        </w:rPr>
        <w:t xml:space="preserve"> y</w:t>
      </w:r>
      <w:r w:rsidRPr="000A53F8">
        <w:rPr>
          <w:rFonts w:asciiTheme="minorBidi" w:hAnsiTheme="minorBidi" w:cstheme="minorBidi"/>
          <w:bCs/>
          <w:color w:val="000000" w:themeColor="text1"/>
          <w:sz w:val="18"/>
          <w:szCs w:val="18"/>
        </w:rPr>
        <w:t xml:space="preserve"> los artículos 1918 a 1928 del Código Civil Federa</w:t>
      </w:r>
      <w:r w:rsidR="006B0A12" w:rsidRPr="000A53F8">
        <w:rPr>
          <w:rFonts w:asciiTheme="minorBidi" w:hAnsiTheme="minorBidi" w:cstheme="minorBidi"/>
          <w:bCs/>
          <w:color w:val="000000" w:themeColor="text1"/>
          <w:sz w:val="18"/>
          <w:szCs w:val="18"/>
        </w:rPr>
        <w:t>l.</w:t>
      </w:r>
    </w:p>
  </w:footnote>
  <w:footnote w:id="43">
    <w:p w14:paraId="4733E99A" w14:textId="45A98938" w:rsidR="002C1194" w:rsidRPr="000A53F8" w:rsidRDefault="002C1194"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Gilli Saldaña, Marian, La responsabilidad por hecho ajeno, en Papayannis, Diego (coord.)</w:t>
      </w:r>
      <w:r w:rsidR="00602904" w:rsidRPr="000A53F8">
        <w:rPr>
          <w:rFonts w:asciiTheme="minorBidi" w:hAnsiTheme="minorBidi" w:cstheme="minorBidi"/>
          <w:color w:val="000000" w:themeColor="text1"/>
          <w:sz w:val="18"/>
          <w:szCs w:val="18"/>
        </w:rPr>
        <w:t>. 2022.</w:t>
      </w:r>
      <w:r w:rsidRPr="000A53F8">
        <w:rPr>
          <w:rFonts w:asciiTheme="minorBidi" w:hAnsiTheme="minorBidi" w:cstheme="minorBidi"/>
          <w:color w:val="000000" w:themeColor="text1"/>
          <w:sz w:val="18"/>
          <w:szCs w:val="18"/>
        </w:rPr>
        <w:t xml:space="preserve"> Manual de derechos de daños extracontractuales, </w:t>
      </w:r>
      <w:r w:rsidR="00602904" w:rsidRPr="000A53F8">
        <w:rPr>
          <w:rFonts w:asciiTheme="minorBidi" w:hAnsiTheme="minorBidi" w:cstheme="minorBidi"/>
          <w:color w:val="000000" w:themeColor="text1"/>
          <w:sz w:val="18"/>
          <w:szCs w:val="18"/>
        </w:rPr>
        <w:t>Suprema Corte de Justicia de la Nación;</w:t>
      </w:r>
      <w:r w:rsidRPr="000A53F8">
        <w:rPr>
          <w:rFonts w:asciiTheme="minorBidi" w:hAnsiTheme="minorBidi" w:cstheme="minorBidi"/>
          <w:color w:val="000000" w:themeColor="text1"/>
          <w:sz w:val="18"/>
          <w:szCs w:val="18"/>
        </w:rPr>
        <w:t xml:space="preserve"> p</w:t>
      </w:r>
      <w:r w:rsidR="00880765" w:rsidRPr="000A53F8">
        <w:rPr>
          <w:rFonts w:asciiTheme="minorBidi" w:hAnsiTheme="minorBidi" w:cstheme="minorBidi"/>
          <w:color w:val="000000" w:themeColor="text1"/>
          <w:sz w:val="18"/>
          <w:szCs w:val="18"/>
        </w:rPr>
        <w:t>p</w:t>
      </w:r>
      <w:r w:rsidRPr="000A53F8">
        <w:rPr>
          <w:rFonts w:asciiTheme="minorBidi" w:hAnsiTheme="minorBidi" w:cstheme="minorBidi"/>
          <w:color w:val="000000" w:themeColor="text1"/>
          <w:sz w:val="18"/>
          <w:szCs w:val="18"/>
        </w:rPr>
        <w:t>. 380 y 381.</w:t>
      </w:r>
    </w:p>
    <w:p w14:paraId="3BDAC121" w14:textId="3D72FA5D" w:rsidR="007A3EE2" w:rsidRPr="000A53F8" w:rsidRDefault="007A3EE2" w:rsidP="00FD3784">
      <w:pPr>
        <w:pStyle w:val="corte4fondo"/>
        <w:tabs>
          <w:tab w:val="left" w:pos="0"/>
          <w:tab w:val="left" w:pos="284"/>
        </w:tabs>
        <w:spacing w:line="240" w:lineRule="auto"/>
        <w:ind w:right="51" w:firstLine="0"/>
        <w:rPr>
          <w:rFonts w:asciiTheme="minorBidi" w:hAnsiTheme="minorBidi" w:cstheme="minorBidi"/>
          <w:bCs/>
          <w:color w:val="000000" w:themeColor="text1"/>
          <w:sz w:val="18"/>
          <w:szCs w:val="18"/>
        </w:rPr>
      </w:pPr>
      <w:r w:rsidRPr="000A53F8">
        <w:rPr>
          <w:rFonts w:asciiTheme="minorBidi" w:hAnsiTheme="minorBidi" w:cstheme="minorBidi"/>
          <w:bCs/>
          <w:color w:val="000000" w:themeColor="text1"/>
          <w:sz w:val="18"/>
          <w:szCs w:val="18"/>
        </w:rPr>
        <w:t>Sobre este tipo de responsabilidad por actos de terceros, hemos estudiado casos relacionados con responsabilidad médica y de instituciones educativas en las que aconteció abuso escolar, por ejemplo. En tales casos, esta Primera Sala estableció lo siguiente: “(E)n la relación obligatoria a que da lugar la responsabilidad civil, el deudor es el sujeto responsable o persona obligada a indemnizar el daño; por regla general, lo está en primer lugar el autor material del hecho dañoso; pero también existen casos en que se obliga a responder a quien, sin haber tenido una intervención directa en la realización de ese hecho, mantiene con su autor material una determinada relación que, a los ojos del legislador justifica que se le haga responsable de las consecuencias de tal hecho, de suerte que ese tipo de responsabilidad puede generarse por el hecho propio o por un hecho ajeno. Esta última categoría resulta ser particularmente subjetiva, pues reposa sobre la existencia de nexos que unen al civilmente responsable y al responsable primario, de manera que, a falta de una orden expresa de la ley, una persona no podría ser civilmente responsable de otra sin haber realmente aceptado ejercer su autoridad sobre ella, cuya responsabilidad constituye la contrapartida”.</w:t>
      </w:r>
      <w:r w:rsidRPr="000A53F8">
        <w:rPr>
          <w:rFonts w:asciiTheme="minorBidi" w:hAnsiTheme="minorBidi" w:cstheme="minorBidi"/>
          <w:color w:val="000000" w:themeColor="text1"/>
          <w:sz w:val="18"/>
          <w:szCs w:val="18"/>
        </w:rPr>
        <w:t xml:space="preserve"> Amparo directo 13/2017, </w:t>
      </w:r>
      <w:r w:rsidR="00774F2B" w:rsidRPr="000A53F8">
        <w:rPr>
          <w:rFonts w:asciiTheme="minorBidi" w:hAnsiTheme="minorBidi" w:cstheme="minorBidi"/>
          <w:color w:val="000000" w:themeColor="text1"/>
          <w:sz w:val="18"/>
          <w:szCs w:val="18"/>
        </w:rPr>
        <w:t xml:space="preserve">resuelto en sesión </w:t>
      </w:r>
      <w:r w:rsidRPr="000A53F8">
        <w:rPr>
          <w:rFonts w:asciiTheme="minorBidi" w:hAnsiTheme="minorBidi" w:cstheme="minorBidi"/>
          <w:color w:val="000000" w:themeColor="text1"/>
          <w:sz w:val="18"/>
          <w:szCs w:val="18"/>
        </w:rPr>
        <w:t>16 de mayo de 2018</w:t>
      </w:r>
      <w:r w:rsidR="005C7388" w:rsidRPr="000A53F8">
        <w:rPr>
          <w:rFonts w:asciiTheme="minorBidi" w:hAnsiTheme="minorBidi" w:cstheme="minorBidi"/>
          <w:color w:val="000000" w:themeColor="text1"/>
          <w:sz w:val="18"/>
          <w:szCs w:val="18"/>
        </w:rPr>
        <w:t>, por unanimidad de cinco votos de los ministros Arturo Zaldívar Lelo de Larrea, José Ramón Cossío Díaz (ponente), Jorge Mario Pardo Rebolledo, Alfredo Gutiérrez Ortiz Mena y presidenta Norma Lucía Piña Hernández, quienes se reservan el derecho de formular voto concurrente</w:t>
      </w:r>
      <w:r w:rsidRPr="000A53F8">
        <w:rPr>
          <w:rFonts w:asciiTheme="minorBidi" w:hAnsiTheme="minorBidi" w:cstheme="minorBidi"/>
          <w:color w:val="000000" w:themeColor="text1"/>
          <w:sz w:val="18"/>
          <w:szCs w:val="18"/>
        </w:rPr>
        <w:t>, párr. 64 y 65.</w:t>
      </w:r>
    </w:p>
  </w:footnote>
  <w:footnote w:id="44">
    <w:p w14:paraId="3CEDC534" w14:textId="61354701" w:rsidR="004958C6" w:rsidRPr="000A53F8" w:rsidRDefault="004C3551"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004958C6" w:rsidRPr="000A53F8">
        <w:rPr>
          <w:rFonts w:asciiTheme="minorBidi" w:hAnsiTheme="minorBidi" w:cstheme="minorBidi"/>
          <w:color w:val="000000" w:themeColor="text1"/>
          <w:sz w:val="18"/>
          <w:szCs w:val="18"/>
        </w:rPr>
        <w:t xml:space="preserve"> Artículo 1924. Los patrones y los dueños de establecimientos mercantiles están obligados a responder de los daños y perjuicios causados por sus obreros o dependientes, en el ejercicio de sus funciones. Esta responsabilidad cesa si demuestran que en la comisión del daño no se les puede imputar ninguna culpa o negligencia.</w:t>
      </w:r>
    </w:p>
  </w:footnote>
  <w:footnote w:id="45">
    <w:p w14:paraId="57F5CB78" w14:textId="53F1CBE0" w:rsidR="00522984" w:rsidRPr="000A53F8" w:rsidRDefault="00522984" w:rsidP="00FD3784">
      <w:pPr>
        <w:pStyle w:val="corte4fondo"/>
        <w:tabs>
          <w:tab w:val="left" w:pos="0"/>
          <w:tab w:val="left" w:pos="284"/>
        </w:tabs>
        <w:spacing w:line="240" w:lineRule="auto"/>
        <w:ind w:right="51" w:firstLine="0"/>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Artículo 1924. Los patrones y los dueños de establecimientos mercantiles están obligados a responder de los daños y perjuicios causados por sus obreros o dependientes, en el ejercicio de sus funciones. Esta responsabilidad cesa si demuestran que en la comisión del daño no se les puede imputar ninguna culpa o negligencia.</w:t>
      </w:r>
    </w:p>
    <w:p w14:paraId="064C68DD" w14:textId="7E273A65" w:rsidR="00522984" w:rsidRPr="000A53F8" w:rsidRDefault="00522984" w:rsidP="00FD3784">
      <w:pPr>
        <w:pStyle w:val="corte4fondo"/>
        <w:tabs>
          <w:tab w:val="left" w:pos="0"/>
          <w:tab w:val="left" w:pos="284"/>
        </w:tabs>
        <w:spacing w:line="240" w:lineRule="auto"/>
        <w:ind w:right="51" w:firstLine="0"/>
        <w:rPr>
          <w:rFonts w:asciiTheme="minorBidi" w:hAnsiTheme="minorBidi" w:cstheme="minorBidi"/>
          <w:color w:val="000000" w:themeColor="text1"/>
          <w:sz w:val="18"/>
          <w:szCs w:val="18"/>
        </w:rPr>
      </w:pPr>
      <w:r w:rsidRPr="000A53F8">
        <w:rPr>
          <w:rFonts w:asciiTheme="minorBidi" w:hAnsiTheme="minorBidi" w:cstheme="minorBidi"/>
          <w:color w:val="000000" w:themeColor="text1"/>
          <w:sz w:val="18"/>
          <w:szCs w:val="18"/>
        </w:rPr>
        <w:t>Artículo 1926. En los casos previstos por los artículos 1923, 1924 y 1925 el que sufra el daño puede exigir la reparación directamente del responsable, en los términos de este Capítulo.</w:t>
      </w:r>
    </w:p>
  </w:footnote>
  <w:footnote w:id="46">
    <w:p w14:paraId="7DBB8CD0" w14:textId="77777777" w:rsidR="00812A16" w:rsidRPr="000A53F8" w:rsidRDefault="00812A16"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El presente apartado se desarrollará con base en la legislación vigente al momento en que se tramitó el expediente COPRED/DCND/Q-140-2015 ante el COPRED. </w:t>
      </w:r>
    </w:p>
  </w:footnote>
  <w:footnote w:id="47">
    <w:p w14:paraId="1F15F69C" w14:textId="77777777" w:rsidR="00137976" w:rsidRPr="000A53F8" w:rsidRDefault="009C75AB"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Ley para Prevenir y Eliminar la Discriminación de la Ciudad de México (antes Ley para Prevenir y Eliminar la Discriminación del Distrito Federal, reformada su denominación mediante Decreto de catorce de octubre de dos mil veinte)</w:t>
      </w:r>
    </w:p>
    <w:p w14:paraId="28A279A4" w14:textId="1BE5F9B1" w:rsidR="009C75AB" w:rsidRPr="000A53F8" w:rsidRDefault="009C75AB" w:rsidP="00FD3784">
      <w:pPr>
        <w:pStyle w:val="Textonotapie"/>
        <w:tabs>
          <w:tab w:val="left" w:pos="284"/>
        </w:tabs>
        <w:jc w:val="both"/>
        <w:rPr>
          <w:rFonts w:asciiTheme="minorBidi" w:hAnsiTheme="minorBidi" w:cstheme="minorBidi"/>
          <w:color w:val="000000" w:themeColor="text1"/>
          <w:sz w:val="18"/>
          <w:szCs w:val="18"/>
          <w:lang w:val="es-ES"/>
        </w:rPr>
      </w:pPr>
      <w:r w:rsidRPr="000A53F8">
        <w:rPr>
          <w:rFonts w:asciiTheme="minorBidi" w:hAnsiTheme="minorBidi" w:cstheme="minorBidi"/>
          <w:color w:val="000000" w:themeColor="text1"/>
          <w:sz w:val="18"/>
          <w:szCs w:val="18"/>
          <w:lang w:val="es-ES"/>
        </w:rPr>
        <w:t>Artículo 33. El Consejo para Prevenir y Eliminar la Discriminación de la Ciudad de México, en adelante el Consejo, es un organismo descentralizado sectorizado a la Secretaría de Inclusión y Bienestar Social de la Ciudad de México, con personalidad jurídica y patrimonio propios. Para el desarrollo de sus atribuciones, el Consejo gozará de autonomía técnica y de gestión; de igual manera, para llevar a cabo los procedimientos de reclamación o queja establecidos en la presente Ley.</w:t>
      </w:r>
      <w:r w:rsidR="00D75E0C">
        <w:rPr>
          <w:rFonts w:asciiTheme="minorBidi" w:hAnsiTheme="minorBidi" w:cstheme="minorBidi"/>
          <w:color w:val="000000" w:themeColor="text1"/>
          <w:sz w:val="18"/>
          <w:szCs w:val="18"/>
          <w:lang w:val="es-ES"/>
        </w:rPr>
        <w:t xml:space="preserve"> </w:t>
      </w:r>
      <w:r w:rsidR="00C647D4">
        <w:rPr>
          <w:rFonts w:asciiTheme="minorBidi" w:hAnsiTheme="minorBidi" w:cstheme="minorBidi"/>
          <w:color w:val="000000" w:themeColor="text1"/>
          <w:sz w:val="18"/>
          <w:szCs w:val="18"/>
          <w:lang w:val="es-ES"/>
        </w:rPr>
        <w:t>(…)</w:t>
      </w:r>
    </w:p>
  </w:footnote>
  <w:footnote w:id="48">
    <w:p w14:paraId="7C21608A" w14:textId="77777777" w:rsidR="009C75AB" w:rsidRPr="000A53F8" w:rsidRDefault="009C75AB"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Ley para Prevenir y Eliminar la Discriminación del Distrito Federal (reformada mediante decreto publicado el dieciocho de noviembre de dos mil quince)</w:t>
      </w:r>
    </w:p>
    <w:p w14:paraId="278197C7" w14:textId="77777777" w:rsidR="009C75AB" w:rsidRPr="000A53F8" w:rsidRDefault="009C75AB" w:rsidP="00FD3784">
      <w:pPr>
        <w:pStyle w:val="Estilo"/>
        <w:tabs>
          <w:tab w:val="left" w:pos="284"/>
        </w:tabs>
        <w:rPr>
          <w:rFonts w:asciiTheme="minorBidi" w:hAnsiTheme="minorBidi" w:cstheme="minorBidi"/>
          <w:color w:val="000000" w:themeColor="text1"/>
          <w:sz w:val="18"/>
          <w:szCs w:val="18"/>
        </w:rPr>
      </w:pPr>
      <w:r w:rsidRPr="000A53F8">
        <w:rPr>
          <w:rFonts w:asciiTheme="minorBidi" w:hAnsiTheme="minorBidi" w:cstheme="minorBidi"/>
          <w:color w:val="000000" w:themeColor="text1"/>
          <w:sz w:val="18"/>
          <w:szCs w:val="18"/>
        </w:rPr>
        <w:t>Artículo 72. El procedimiento de queja se inicia por denuncia formulada por cualquier persona ante el Consejo de presuntas conductas discriminatorias atribuidas a personas físicas o morales.</w:t>
      </w:r>
    </w:p>
    <w:p w14:paraId="31A87AB2" w14:textId="77777777" w:rsidR="009C75AB" w:rsidRPr="000A53F8" w:rsidRDefault="009C75AB" w:rsidP="00FD3784">
      <w:pPr>
        <w:pStyle w:val="Estilo"/>
        <w:tabs>
          <w:tab w:val="left" w:pos="284"/>
        </w:tabs>
        <w:rPr>
          <w:rFonts w:asciiTheme="minorBidi" w:hAnsiTheme="minorBidi" w:cstheme="minorBidi"/>
          <w:color w:val="000000" w:themeColor="text1"/>
          <w:sz w:val="18"/>
          <w:szCs w:val="18"/>
        </w:rPr>
      </w:pPr>
      <w:r w:rsidRPr="000A53F8">
        <w:rPr>
          <w:rFonts w:asciiTheme="minorBidi" w:hAnsiTheme="minorBidi" w:cstheme="minorBidi"/>
          <w:color w:val="000000" w:themeColor="text1"/>
          <w:sz w:val="18"/>
          <w:szCs w:val="18"/>
        </w:rPr>
        <w:t>Artículo 73. En el procedimiento de queja se podrán avenir los intereses a solicitud de la parte peticionaria y la parte presuntamente responsable de prácticas discriminatorias, mediante una audiencia de conciliación, misma que se celebrará en las instalaciones del Consejo.</w:t>
      </w:r>
    </w:p>
  </w:footnote>
  <w:footnote w:id="49">
    <w:p w14:paraId="2777CA7E" w14:textId="77777777" w:rsidR="009C75AB" w:rsidRPr="000A53F8" w:rsidRDefault="009C75AB"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Ley para Prevenir y Eliminar la Discriminación del Distrito Federal (reformada mediante decreto publicado el dieciocho de noviembre de dos mil quince)</w:t>
      </w:r>
    </w:p>
    <w:p w14:paraId="39A016B8" w14:textId="77777777" w:rsidR="009C75AB" w:rsidRPr="000A53F8" w:rsidRDefault="009C75AB" w:rsidP="00FD3784">
      <w:pPr>
        <w:pStyle w:val="Estilo"/>
        <w:tabs>
          <w:tab w:val="left" w:pos="284"/>
        </w:tabs>
        <w:rPr>
          <w:rFonts w:asciiTheme="minorBidi" w:hAnsiTheme="minorBidi" w:cstheme="minorBidi"/>
          <w:color w:val="000000" w:themeColor="text1"/>
          <w:sz w:val="18"/>
          <w:szCs w:val="18"/>
        </w:rPr>
      </w:pPr>
      <w:r w:rsidRPr="000A53F8">
        <w:rPr>
          <w:rFonts w:asciiTheme="minorBidi" w:hAnsiTheme="minorBidi" w:cstheme="minorBidi"/>
          <w:color w:val="000000" w:themeColor="text1"/>
          <w:sz w:val="18"/>
          <w:szCs w:val="18"/>
        </w:rPr>
        <w:t>Artículo 75. La persona servidora pública que actúe como conciliador, en la audiencia de conciliación, expondrá a las partes un resumen de la queja y de los elementos de juicio que se hayan integrado y les exhortará a resolver sus diferencias, para cuyo efecto propondrá opciones de solución.</w:t>
      </w:r>
    </w:p>
  </w:footnote>
  <w:footnote w:id="50">
    <w:p w14:paraId="4D946D9B" w14:textId="77777777" w:rsidR="009C75AB" w:rsidRPr="000A53F8" w:rsidRDefault="009C75AB" w:rsidP="00FD3784">
      <w:pPr>
        <w:pStyle w:val="Estilo"/>
        <w:tabs>
          <w:tab w:val="left" w:pos="284"/>
        </w:tabs>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Artículo 77. Cuando las partes lleguen a un acuerdo, se celebrará el convenio respectivo, que será revisado por el Consejo; si está apegado a derecho, lo aprobará y, en su caso, dictará el acuerdo correspondiente sin que sea admisible recurso alguno.</w:t>
      </w:r>
    </w:p>
    <w:p w14:paraId="523DA834" w14:textId="77777777" w:rsidR="009C75AB" w:rsidRPr="000A53F8" w:rsidRDefault="009C75AB" w:rsidP="00FD3784">
      <w:pPr>
        <w:pStyle w:val="Estilo"/>
        <w:tabs>
          <w:tab w:val="left" w:pos="284"/>
        </w:tabs>
        <w:rPr>
          <w:rFonts w:asciiTheme="minorBidi" w:hAnsiTheme="minorBidi" w:cstheme="minorBidi"/>
          <w:color w:val="000000" w:themeColor="text1"/>
          <w:sz w:val="18"/>
          <w:szCs w:val="18"/>
        </w:rPr>
      </w:pPr>
      <w:r w:rsidRPr="000A53F8">
        <w:rPr>
          <w:rFonts w:asciiTheme="minorBidi" w:hAnsiTheme="minorBidi" w:cstheme="minorBidi"/>
          <w:color w:val="000000" w:themeColor="text1"/>
          <w:sz w:val="18"/>
          <w:szCs w:val="18"/>
        </w:rPr>
        <w:t>Artículo 78. El convenio suscrito por las partes y aprobado por el Consejo tiene fuerza de cosa juzgada y trae aparejada ejecución, la que podrá promoverse ante los tribunales competentes en la vía de apremio o en juicio ejecutivo, a elección de la parte peticionaria.</w:t>
      </w:r>
    </w:p>
  </w:footnote>
  <w:footnote w:id="51">
    <w:p w14:paraId="226AA504" w14:textId="3C2029FB" w:rsidR="009C75AB" w:rsidRPr="000A53F8" w:rsidRDefault="009C75AB"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00530227" w:rsidRPr="000A53F8">
        <w:rPr>
          <w:rFonts w:asciiTheme="minorBidi" w:hAnsiTheme="minorBidi" w:cstheme="minorBidi"/>
          <w:color w:val="000000" w:themeColor="text1"/>
          <w:sz w:val="18"/>
          <w:szCs w:val="18"/>
        </w:rPr>
        <w:t>Sobre un supuesto equiparable, l</w:t>
      </w:r>
      <w:r w:rsidR="00E00BE4" w:rsidRPr="000A53F8">
        <w:rPr>
          <w:rFonts w:asciiTheme="minorBidi" w:hAnsiTheme="minorBidi" w:cstheme="minorBidi"/>
          <w:color w:val="000000" w:themeColor="text1"/>
          <w:sz w:val="18"/>
          <w:szCs w:val="18"/>
        </w:rPr>
        <w:t>a Corte Interamericana de Derechos Humanos ha realizado u</w:t>
      </w:r>
      <w:r w:rsidRPr="000A53F8">
        <w:rPr>
          <w:rFonts w:asciiTheme="minorBidi" w:hAnsiTheme="minorBidi" w:cstheme="minorBidi"/>
          <w:color w:val="000000" w:themeColor="text1"/>
          <w:sz w:val="18"/>
          <w:szCs w:val="18"/>
        </w:rPr>
        <w:t xml:space="preserve">n razonamiento </w:t>
      </w:r>
      <w:r w:rsidR="00354601" w:rsidRPr="000A53F8">
        <w:rPr>
          <w:rFonts w:asciiTheme="minorBidi" w:hAnsiTheme="minorBidi" w:cstheme="minorBidi"/>
          <w:color w:val="000000" w:themeColor="text1"/>
          <w:sz w:val="18"/>
          <w:szCs w:val="18"/>
        </w:rPr>
        <w:t xml:space="preserve">similar </w:t>
      </w:r>
      <w:r w:rsidR="00E00BE4" w:rsidRPr="000A53F8">
        <w:rPr>
          <w:rFonts w:asciiTheme="minorBidi" w:hAnsiTheme="minorBidi" w:cstheme="minorBidi"/>
          <w:color w:val="000000" w:themeColor="text1"/>
          <w:sz w:val="18"/>
          <w:szCs w:val="18"/>
        </w:rPr>
        <w:t>en el caso Flor Freire vs. Ecuador</w:t>
      </w:r>
      <w:r w:rsidR="00354601" w:rsidRPr="000A53F8">
        <w:rPr>
          <w:rFonts w:asciiTheme="minorBidi" w:hAnsiTheme="minorBidi" w:cstheme="minorBidi"/>
          <w:color w:val="000000" w:themeColor="text1"/>
          <w:sz w:val="18"/>
          <w:szCs w:val="18"/>
        </w:rPr>
        <w:t>, respecto del actuar de los Estados frente a las recomendaciones de la Comisión</w:t>
      </w:r>
      <w:r w:rsidR="006C3FCC" w:rsidRPr="000A53F8">
        <w:rPr>
          <w:rFonts w:asciiTheme="minorBidi" w:hAnsiTheme="minorBidi" w:cstheme="minorBidi"/>
          <w:color w:val="000000" w:themeColor="text1"/>
          <w:sz w:val="18"/>
          <w:szCs w:val="18"/>
        </w:rPr>
        <w:t xml:space="preserve"> o los acuerdos de solución amistosa</w:t>
      </w:r>
      <w:r w:rsidR="00E96A0D" w:rsidRPr="000A53F8">
        <w:rPr>
          <w:rFonts w:asciiTheme="minorBidi" w:hAnsiTheme="minorBidi" w:cstheme="minorBidi"/>
          <w:color w:val="000000" w:themeColor="text1"/>
          <w:sz w:val="18"/>
          <w:szCs w:val="18"/>
        </w:rPr>
        <w:t>.</w:t>
      </w:r>
      <w:r w:rsidR="00E00BE4" w:rsidRPr="000A53F8">
        <w:rPr>
          <w:rFonts w:asciiTheme="minorBidi" w:hAnsiTheme="minorBidi" w:cstheme="minorBidi"/>
          <w:color w:val="000000" w:themeColor="text1"/>
          <w:sz w:val="18"/>
          <w:szCs w:val="18"/>
        </w:rPr>
        <w:t xml:space="preserve"> En </w:t>
      </w:r>
      <w:r w:rsidR="006C3FCC" w:rsidRPr="000A53F8">
        <w:rPr>
          <w:rFonts w:asciiTheme="minorBidi" w:hAnsiTheme="minorBidi" w:cstheme="minorBidi"/>
          <w:color w:val="000000" w:themeColor="text1"/>
          <w:sz w:val="18"/>
          <w:szCs w:val="18"/>
        </w:rPr>
        <w:t>tal</w:t>
      </w:r>
      <w:r w:rsidR="00354601" w:rsidRPr="000A53F8">
        <w:rPr>
          <w:rFonts w:asciiTheme="minorBidi" w:hAnsiTheme="minorBidi" w:cstheme="minorBidi"/>
          <w:color w:val="000000" w:themeColor="text1"/>
          <w:sz w:val="18"/>
          <w:szCs w:val="18"/>
        </w:rPr>
        <w:t xml:space="preserve"> asunto</w:t>
      </w:r>
      <w:r w:rsidR="00E00BE4" w:rsidRPr="000A53F8">
        <w:rPr>
          <w:rFonts w:asciiTheme="minorBidi" w:hAnsiTheme="minorBidi" w:cstheme="minorBidi"/>
          <w:color w:val="000000" w:themeColor="text1"/>
          <w:sz w:val="18"/>
          <w:szCs w:val="18"/>
        </w:rPr>
        <w:t xml:space="preserve">, el Tribunal explicó que </w:t>
      </w:r>
      <w:r w:rsidR="00C12471" w:rsidRPr="000A53F8">
        <w:rPr>
          <w:rFonts w:asciiTheme="minorBidi" w:hAnsiTheme="minorBidi" w:cstheme="minorBidi"/>
          <w:color w:val="000000" w:themeColor="text1"/>
          <w:sz w:val="18"/>
          <w:szCs w:val="18"/>
        </w:rPr>
        <w:t>“</w:t>
      </w:r>
      <w:r w:rsidR="00E00BE4" w:rsidRPr="000A53F8">
        <w:rPr>
          <w:rFonts w:asciiTheme="minorBidi" w:hAnsiTheme="minorBidi" w:cstheme="minorBidi"/>
          <w:color w:val="000000" w:themeColor="text1"/>
          <w:sz w:val="18"/>
          <w:szCs w:val="18"/>
        </w:rPr>
        <w:t>e</w:t>
      </w:r>
      <w:r w:rsidR="00E96A0D" w:rsidRPr="000A53F8">
        <w:rPr>
          <w:rFonts w:asciiTheme="minorBidi" w:hAnsiTheme="minorBidi" w:cstheme="minorBidi"/>
          <w:color w:val="000000" w:themeColor="text1"/>
          <w:sz w:val="18"/>
          <w:szCs w:val="18"/>
        </w:rPr>
        <w:t>l sistema interamericano está diseñado para que, luego de la emisión del Informe de Fondo, el Estado tenga oportunidad de cumplir con las recomendaciones señaladas por la Comisión, antes que el caso sea sometido a la Corte</w:t>
      </w:r>
      <w:r w:rsidR="00C12471" w:rsidRPr="000A53F8">
        <w:rPr>
          <w:rFonts w:asciiTheme="minorBidi" w:hAnsiTheme="minorBidi" w:cstheme="minorBidi"/>
          <w:color w:val="000000" w:themeColor="text1"/>
          <w:sz w:val="18"/>
          <w:szCs w:val="18"/>
        </w:rPr>
        <w:t>”</w:t>
      </w:r>
      <w:r w:rsidR="00E96A0D" w:rsidRPr="000A53F8">
        <w:rPr>
          <w:rFonts w:asciiTheme="minorBidi" w:hAnsiTheme="minorBidi" w:cstheme="minorBidi"/>
          <w:color w:val="000000" w:themeColor="text1"/>
          <w:sz w:val="18"/>
          <w:szCs w:val="18"/>
        </w:rPr>
        <w:t xml:space="preserve">. </w:t>
      </w:r>
      <w:r w:rsidR="00C12471" w:rsidRPr="000A53F8">
        <w:rPr>
          <w:rFonts w:asciiTheme="minorBidi" w:hAnsiTheme="minorBidi" w:cstheme="minorBidi"/>
          <w:color w:val="000000" w:themeColor="text1"/>
          <w:sz w:val="18"/>
          <w:szCs w:val="18"/>
        </w:rPr>
        <w:t>Para la Corte, e</w:t>
      </w:r>
      <w:r w:rsidR="00E96A0D" w:rsidRPr="000A53F8">
        <w:rPr>
          <w:rFonts w:asciiTheme="minorBidi" w:hAnsiTheme="minorBidi" w:cstheme="minorBidi"/>
          <w:color w:val="000000" w:themeColor="text1"/>
          <w:sz w:val="18"/>
          <w:szCs w:val="18"/>
        </w:rPr>
        <w:t>sta oportunidad, al igual que los acuerdos de solución amistosa, contribuye con el propósito de encontrar soluciones justas a los problemas de un caso</w:t>
      </w:r>
      <w:r w:rsidR="00A84E2B" w:rsidRPr="000A53F8">
        <w:rPr>
          <w:rFonts w:asciiTheme="minorBidi" w:hAnsiTheme="minorBidi" w:cstheme="minorBidi"/>
          <w:color w:val="000000" w:themeColor="text1"/>
          <w:sz w:val="18"/>
          <w:szCs w:val="18"/>
        </w:rPr>
        <w:t xml:space="preserve">. </w:t>
      </w:r>
      <w:r w:rsidR="00E96A0D" w:rsidRPr="000A53F8">
        <w:rPr>
          <w:rFonts w:asciiTheme="minorBidi" w:hAnsiTheme="minorBidi" w:cstheme="minorBidi"/>
          <w:color w:val="000000" w:themeColor="text1"/>
          <w:sz w:val="18"/>
          <w:szCs w:val="18"/>
        </w:rPr>
        <w:t>Por</w:t>
      </w:r>
      <w:r w:rsidR="00A84E2B" w:rsidRPr="000A53F8">
        <w:rPr>
          <w:rFonts w:asciiTheme="minorBidi" w:hAnsiTheme="minorBidi" w:cstheme="minorBidi"/>
          <w:color w:val="000000" w:themeColor="text1"/>
          <w:sz w:val="18"/>
          <w:szCs w:val="18"/>
        </w:rPr>
        <w:t xml:space="preserve"> ello, la Corte consideró</w:t>
      </w:r>
      <w:r w:rsidR="00E96A0D" w:rsidRPr="000A53F8">
        <w:rPr>
          <w:rFonts w:asciiTheme="minorBidi" w:hAnsiTheme="minorBidi" w:cstheme="minorBidi"/>
          <w:color w:val="000000" w:themeColor="text1"/>
          <w:sz w:val="18"/>
          <w:szCs w:val="18"/>
        </w:rPr>
        <w:t xml:space="preserve"> que </w:t>
      </w:r>
      <w:r w:rsidR="00A84E2B" w:rsidRPr="000A53F8">
        <w:rPr>
          <w:rFonts w:asciiTheme="minorBidi" w:hAnsiTheme="minorBidi" w:cstheme="minorBidi"/>
          <w:color w:val="000000" w:themeColor="text1"/>
          <w:sz w:val="18"/>
          <w:szCs w:val="18"/>
        </w:rPr>
        <w:t>“</w:t>
      </w:r>
      <w:r w:rsidR="00E96A0D" w:rsidRPr="000A53F8">
        <w:rPr>
          <w:rFonts w:asciiTheme="minorBidi" w:hAnsiTheme="minorBidi" w:cstheme="minorBidi"/>
          <w:color w:val="000000" w:themeColor="text1"/>
          <w:sz w:val="18"/>
          <w:szCs w:val="18"/>
        </w:rPr>
        <w:t>las medidas dirigidas a implementar las recomendaciones de la Comisión deben ser entendidas como un cumplimiento de buena fe de los propósitos de la Convención y</w:t>
      </w:r>
      <w:r w:rsidR="00E96A0D" w:rsidRPr="000A53F8">
        <w:rPr>
          <w:rFonts w:asciiTheme="minorBidi" w:hAnsiTheme="minorBidi" w:cstheme="minorBidi"/>
          <w:i/>
          <w:iCs/>
          <w:color w:val="000000" w:themeColor="text1"/>
          <w:sz w:val="18"/>
          <w:szCs w:val="18"/>
        </w:rPr>
        <w:t xml:space="preserve"> no como un reconocimiento de la jurisdicción o la admisibilidad del caso ante la Corte, o un reconocimiento o allanamiento a las violaciones de fondo alegadas</w:t>
      </w:r>
      <w:r w:rsidR="00E96A0D" w:rsidRPr="000A53F8">
        <w:rPr>
          <w:rFonts w:asciiTheme="minorBidi" w:hAnsiTheme="minorBidi" w:cstheme="minorBidi"/>
          <w:color w:val="000000" w:themeColor="text1"/>
          <w:sz w:val="18"/>
          <w:szCs w:val="18"/>
        </w:rPr>
        <w:t>.</w:t>
      </w:r>
      <w:r w:rsidR="00A84E2B" w:rsidRPr="000A53F8">
        <w:rPr>
          <w:rFonts w:asciiTheme="minorBidi" w:hAnsiTheme="minorBidi" w:cstheme="minorBidi"/>
          <w:color w:val="000000" w:themeColor="text1"/>
          <w:sz w:val="18"/>
          <w:szCs w:val="18"/>
        </w:rPr>
        <w:t xml:space="preserve"> </w:t>
      </w:r>
      <w:r w:rsidR="00E96A0D" w:rsidRPr="000A53F8">
        <w:rPr>
          <w:rFonts w:asciiTheme="minorBidi" w:hAnsiTheme="minorBidi" w:cstheme="minorBidi"/>
          <w:color w:val="000000" w:themeColor="text1"/>
          <w:sz w:val="18"/>
          <w:szCs w:val="18"/>
        </w:rPr>
        <w:t>Suponer lo contrario, implicaría desincentivar a los Estados de participar en los procesos de resolución de las disputas previo a acudir a la Corte</w:t>
      </w:r>
      <w:r w:rsidR="00A84E2B" w:rsidRPr="000A53F8">
        <w:rPr>
          <w:rFonts w:asciiTheme="minorBidi" w:hAnsiTheme="minorBidi" w:cstheme="minorBidi"/>
          <w:color w:val="000000" w:themeColor="text1"/>
          <w:sz w:val="18"/>
          <w:szCs w:val="18"/>
        </w:rPr>
        <w:t>”</w:t>
      </w:r>
      <w:r w:rsidR="00E96A0D" w:rsidRPr="000A53F8">
        <w:rPr>
          <w:rFonts w:asciiTheme="minorBidi" w:hAnsiTheme="minorBidi" w:cstheme="minorBidi"/>
          <w:color w:val="000000" w:themeColor="text1"/>
          <w:sz w:val="18"/>
          <w:szCs w:val="18"/>
        </w:rPr>
        <w:t xml:space="preserve">. </w:t>
      </w:r>
      <w:r w:rsidR="00E96A0D" w:rsidRPr="000A53F8">
        <w:rPr>
          <w:rFonts w:asciiTheme="minorBidi" w:hAnsiTheme="minorBidi" w:cstheme="minorBidi"/>
          <w:i/>
          <w:iCs/>
          <w:color w:val="000000" w:themeColor="text1"/>
          <w:sz w:val="18"/>
          <w:szCs w:val="18"/>
        </w:rPr>
        <w:t>Vid</w:t>
      </w:r>
      <w:r w:rsidR="00E96A0D" w:rsidRPr="000A53F8">
        <w:rPr>
          <w:rFonts w:asciiTheme="minorBidi" w:hAnsiTheme="minorBidi" w:cstheme="minorBidi"/>
          <w:color w:val="000000" w:themeColor="text1"/>
          <w:sz w:val="18"/>
          <w:szCs w:val="18"/>
        </w:rPr>
        <w:t xml:space="preserve">., </w:t>
      </w:r>
      <w:r w:rsidR="00E4706B" w:rsidRPr="000A53F8">
        <w:rPr>
          <w:rFonts w:asciiTheme="minorBidi" w:hAnsiTheme="minorBidi" w:cstheme="minorBidi"/>
          <w:color w:val="000000" w:themeColor="text1"/>
          <w:sz w:val="18"/>
          <w:szCs w:val="18"/>
        </w:rPr>
        <w:t xml:space="preserve">Corte Interamericana de Derechos Humanos, </w:t>
      </w:r>
      <w:r w:rsidRPr="000A53F8">
        <w:rPr>
          <w:rFonts w:asciiTheme="minorBidi" w:hAnsiTheme="minorBidi" w:cstheme="minorBidi"/>
          <w:color w:val="000000" w:themeColor="text1"/>
          <w:sz w:val="18"/>
          <w:szCs w:val="18"/>
        </w:rPr>
        <w:t>Caso Flor Freire vs. Ecuador, Excepción Preliminar, Fondo, Reparaciones y Costas, sentencia de 31 de agosto de 2016, Serie C No. 315, párr. 43</w:t>
      </w:r>
      <w:r w:rsidR="00006DA2" w:rsidRPr="000A53F8">
        <w:rPr>
          <w:rFonts w:asciiTheme="minorBidi" w:hAnsiTheme="minorBidi" w:cstheme="minorBidi"/>
          <w:color w:val="000000" w:themeColor="text1"/>
          <w:sz w:val="18"/>
          <w:szCs w:val="18"/>
        </w:rPr>
        <w:t>.</w:t>
      </w:r>
    </w:p>
  </w:footnote>
  <w:footnote w:id="52">
    <w:p w14:paraId="704940EC" w14:textId="77777777" w:rsidR="00C67762" w:rsidRPr="000A53F8" w:rsidRDefault="00C67762"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Ley para Prevenir y Eliminar la Discriminación del Distrito Federal (reformada mediante decreto publicado el dieciocho de noviembre de dos mil quince)</w:t>
      </w:r>
    </w:p>
    <w:p w14:paraId="454C9FF6" w14:textId="77777777" w:rsidR="00C67762" w:rsidRPr="000A53F8" w:rsidRDefault="00C67762" w:rsidP="00FD3784">
      <w:pPr>
        <w:pStyle w:val="Estilo"/>
        <w:tabs>
          <w:tab w:val="left" w:pos="284"/>
        </w:tabs>
        <w:rPr>
          <w:rFonts w:asciiTheme="minorBidi" w:hAnsiTheme="minorBidi" w:cstheme="minorBidi"/>
          <w:color w:val="000000" w:themeColor="text1"/>
          <w:sz w:val="18"/>
          <w:szCs w:val="18"/>
        </w:rPr>
      </w:pPr>
      <w:r w:rsidRPr="000A53F8">
        <w:rPr>
          <w:rFonts w:asciiTheme="minorBidi" w:hAnsiTheme="minorBidi" w:cstheme="minorBidi"/>
          <w:color w:val="000000" w:themeColor="text1"/>
          <w:sz w:val="18"/>
          <w:szCs w:val="18"/>
        </w:rPr>
        <w:t>Artículo 72. El procedimiento de queja se inicia por denuncia formulada por cualquier persona ante el Consejo de presuntas conductas discriminatorias atribuidas a personas físicas o morales.</w:t>
      </w:r>
    </w:p>
    <w:p w14:paraId="27A16E85" w14:textId="77777777" w:rsidR="00C67762" w:rsidRPr="000A53F8" w:rsidRDefault="00C67762" w:rsidP="00FD3784">
      <w:pPr>
        <w:pStyle w:val="Textonotapie"/>
        <w:tabs>
          <w:tab w:val="left" w:pos="284"/>
        </w:tabs>
        <w:jc w:val="both"/>
        <w:rPr>
          <w:rFonts w:asciiTheme="minorBidi" w:hAnsiTheme="minorBidi" w:cstheme="minorBidi"/>
          <w:color w:val="000000" w:themeColor="text1"/>
          <w:sz w:val="18"/>
          <w:szCs w:val="18"/>
        </w:rPr>
      </w:pPr>
      <w:r w:rsidRPr="000A53F8">
        <w:rPr>
          <w:rFonts w:asciiTheme="minorBidi" w:hAnsiTheme="minorBidi" w:cstheme="minorBidi"/>
          <w:color w:val="000000" w:themeColor="text1"/>
          <w:sz w:val="18"/>
          <w:szCs w:val="18"/>
        </w:rPr>
        <w:t>Artículo 73. En el procedimiento de queja se podrán avenir los intereses a solicitud de la parte peticionaria y la parte presuntamente responsable de prácticas discriminatorias, mediante una audiencia de conciliación, misma que se celebrará en las instalaciones del Consejo.</w:t>
      </w:r>
    </w:p>
  </w:footnote>
  <w:footnote w:id="53">
    <w:p w14:paraId="7719A919" w14:textId="77777777" w:rsidR="009C75AB" w:rsidRPr="000A53F8" w:rsidRDefault="009C75AB"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Artículo 79. Cuando la reclamación o queja no se resuelva en la etapa de conciliación, el Consejo iniciará las investigaciones del caso, para lo cual tendrá las siguientes facultades: </w:t>
      </w:r>
    </w:p>
    <w:p w14:paraId="2E791A8C" w14:textId="77777777" w:rsidR="009C75AB" w:rsidRPr="000A53F8" w:rsidRDefault="009C75AB" w:rsidP="00FD3784">
      <w:pPr>
        <w:pStyle w:val="Textonotapie"/>
        <w:numPr>
          <w:ilvl w:val="0"/>
          <w:numId w:val="29"/>
        </w:numPr>
        <w:tabs>
          <w:tab w:val="left" w:pos="284"/>
        </w:tabs>
        <w:ind w:left="284" w:hanging="284"/>
        <w:jc w:val="both"/>
        <w:rPr>
          <w:rFonts w:asciiTheme="minorBidi" w:hAnsiTheme="minorBidi" w:cstheme="minorBidi"/>
          <w:color w:val="000000" w:themeColor="text1"/>
          <w:sz w:val="18"/>
          <w:szCs w:val="18"/>
        </w:rPr>
      </w:pPr>
      <w:r w:rsidRPr="000A53F8">
        <w:rPr>
          <w:rFonts w:asciiTheme="minorBidi" w:hAnsiTheme="minorBidi" w:cstheme="minorBidi"/>
          <w:color w:val="000000" w:themeColor="text1"/>
          <w:sz w:val="18"/>
          <w:szCs w:val="18"/>
        </w:rPr>
        <w:t>Solicitar a las autoridades o personas servidoras públicas a quienes se imputen conductas discriminatorias, la presentación de informes o documentos complementarios;</w:t>
      </w:r>
    </w:p>
    <w:p w14:paraId="76FC2713" w14:textId="77777777" w:rsidR="009C75AB" w:rsidRPr="000A53F8" w:rsidRDefault="009C75AB" w:rsidP="00FD3784">
      <w:pPr>
        <w:pStyle w:val="Textonotapie"/>
        <w:numPr>
          <w:ilvl w:val="0"/>
          <w:numId w:val="29"/>
        </w:numPr>
        <w:tabs>
          <w:tab w:val="left" w:pos="284"/>
        </w:tabs>
        <w:ind w:left="284" w:hanging="284"/>
        <w:jc w:val="both"/>
        <w:rPr>
          <w:rFonts w:asciiTheme="minorBidi" w:hAnsiTheme="minorBidi" w:cstheme="minorBidi"/>
          <w:color w:val="000000" w:themeColor="text1"/>
          <w:sz w:val="18"/>
          <w:szCs w:val="18"/>
        </w:rPr>
      </w:pPr>
      <w:r w:rsidRPr="000A53F8">
        <w:rPr>
          <w:rFonts w:asciiTheme="minorBidi" w:hAnsiTheme="minorBidi" w:cstheme="minorBidi"/>
          <w:color w:val="000000" w:themeColor="text1"/>
          <w:sz w:val="18"/>
          <w:szCs w:val="18"/>
        </w:rPr>
        <w:t>Solicitar de otros particulares, autoridades y/o personas servidoras públicas documentos e informes relacionados con el asunto materia de la investigación;</w:t>
      </w:r>
    </w:p>
    <w:p w14:paraId="42740946" w14:textId="77777777" w:rsidR="009C75AB" w:rsidRPr="000A53F8" w:rsidRDefault="009C75AB" w:rsidP="00FD3784">
      <w:pPr>
        <w:pStyle w:val="Textonotapie"/>
        <w:numPr>
          <w:ilvl w:val="0"/>
          <w:numId w:val="29"/>
        </w:numPr>
        <w:tabs>
          <w:tab w:val="left" w:pos="284"/>
        </w:tabs>
        <w:ind w:left="284" w:hanging="284"/>
        <w:jc w:val="both"/>
        <w:rPr>
          <w:rFonts w:asciiTheme="minorBidi" w:hAnsiTheme="minorBidi" w:cstheme="minorBidi"/>
          <w:color w:val="000000" w:themeColor="text1"/>
          <w:sz w:val="18"/>
          <w:szCs w:val="18"/>
        </w:rPr>
      </w:pPr>
      <w:r w:rsidRPr="000A53F8">
        <w:rPr>
          <w:rFonts w:asciiTheme="minorBidi" w:hAnsiTheme="minorBidi" w:cstheme="minorBidi"/>
          <w:color w:val="000000" w:themeColor="text1"/>
          <w:sz w:val="18"/>
          <w:szCs w:val="18"/>
        </w:rPr>
        <w:t>Practicar inspecciones a las autoridades a las que se imputen conductas discriminatorias, mediante personal técnico o profesional;</w:t>
      </w:r>
    </w:p>
    <w:p w14:paraId="7894A88E" w14:textId="77777777" w:rsidR="009C75AB" w:rsidRPr="000A53F8" w:rsidRDefault="009C75AB" w:rsidP="00FD3784">
      <w:pPr>
        <w:pStyle w:val="Textonotapie"/>
        <w:numPr>
          <w:ilvl w:val="0"/>
          <w:numId w:val="29"/>
        </w:numPr>
        <w:tabs>
          <w:tab w:val="left" w:pos="284"/>
        </w:tabs>
        <w:ind w:left="284" w:hanging="284"/>
        <w:jc w:val="both"/>
        <w:rPr>
          <w:rFonts w:asciiTheme="minorBidi" w:hAnsiTheme="minorBidi" w:cstheme="minorBidi"/>
          <w:color w:val="000000" w:themeColor="text1"/>
          <w:sz w:val="18"/>
          <w:szCs w:val="18"/>
        </w:rPr>
      </w:pPr>
      <w:r w:rsidRPr="000A53F8">
        <w:rPr>
          <w:rFonts w:asciiTheme="minorBidi" w:hAnsiTheme="minorBidi" w:cstheme="minorBidi"/>
          <w:color w:val="000000" w:themeColor="text1"/>
          <w:sz w:val="18"/>
          <w:szCs w:val="18"/>
        </w:rPr>
        <w:t xml:space="preserve">Citar a las personas que deben comparecer como testigos o peritos; y </w:t>
      </w:r>
    </w:p>
    <w:p w14:paraId="7A133F87" w14:textId="77777777" w:rsidR="009C75AB" w:rsidRPr="000A53F8" w:rsidRDefault="009C75AB" w:rsidP="00FD3784">
      <w:pPr>
        <w:pStyle w:val="Textonotapie"/>
        <w:numPr>
          <w:ilvl w:val="0"/>
          <w:numId w:val="29"/>
        </w:numPr>
        <w:tabs>
          <w:tab w:val="left" w:pos="284"/>
        </w:tabs>
        <w:ind w:left="284" w:hanging="284"/>
        <w:jc w:val="both"/>
        <w:rPr>
          <w:rFonts w:asciiTheme="minorBidi" w:hAnsiTheme="minorBidi" w:cstheme="minorBidi"/>
          <w:color w:val="000000" w:themeColor="text1"/>
          <w:sz w:val="18"/>
          <w:szCs w:val="18"/>
        </w:rPr>
      </w:pPr>
      <w:r w:rsidRPr="000A53F8">
        <w:rPr>
          <w:rFonts w:asciiTheme="minorBidi" w:hAnsiTheme="minorBidi" w:cstheme="minorBidi"/>
          <w:color w:val="000000" w:themeColor="text1"/>
          <w:sz w:val="18"/>
          <w:szCs w:val="18"/>
        </w:rPr>
        <w:t xml:space="preserve">Efectuar todas las demás acciones que se consideren convenientes para el mejor conocimiento del asunto. </w:t>
      </w:r>
    </w:p>
  </w:footnote>
  <w:footnote w:id="54">
    <w:p w14:paraId="4F02C85D" w14:textId="07AA8934" w:rsidR="008A28BF" w:rsidRPr="000A53F8" w:rsidRDefault="008A28BF"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Artículo 402. Los medios de prueba aportados y admitidos, serán valorados en su conjunto por el juzgador, atendiendo a las reglas de la lógica y de la experiencia. En todo caso el tribunal deberá exponer cuidadosamente los fundamentos de la valoración jurídica realizada y de su decisión.</w:t>
      </w:r>
    </w:p>
  </w:footnote>
  <w:footnote w:id="55">
    <w:p w14:paraId="564A81CA" w14:textId="5FA7158A" w:rsidR="00531F84" w:rsidRPr="000A53F8" w:rsidRDefault="00531F84" w:rsidP="00FD3784">
      <w:pPr>
        <w:pStyle w:val="Textonotapie"/>
        <w:jc w:val="both"/>
        <w:rPr>
          <w:rFonts w:asciiTheme="minorBidi" w:hAnsiTheme="minorBidi" w:cstheme="minorBidi"/>
          <w:sz w:val="18"/>
          <w:szCs w:val="18"/>
        </w:rPr>
      </w:pPr>
      <w:r w:rsidRPr="000A53F8">
        <w:rPr>
          <w:rStyle w:val="Refdenotaalpie"/>
          <w:rFonts w:asciiTheme="minorBidi" w:hAnsiTheme="minorBidi" w:cstheme="minorBidi"/>
          <w:sz w:val="18"/>
          <w:szCs w:val="18"/>
        </w:rPr>
        <w:footnoteRef/>
      </w:r>
      <w:r w:rsidRPr="000A53F8">
        <w:rPr>
          <w:rFonts w:asciiTheme="minorBidi" w:hAnsiTheme="minorBidi" w:cstheme="minorBidi"/>
          <w:sz w:val="18"/>
          <w:szCs w:val="18"/>
        </w:rPr>
        <w:t xml:space="preserve"> Al respecto, esta Suprema Corte </w:t>
      </w:r>
      <w:r w:rsidR="00F01673" w:rsidRPr="000A53F8">
        <w:rPr>
          <w:rFonts w:asciiTheme="minorBidi" w:hAnsiTheme="minorBidi" w:cstheme="minorBidi"/>
          <w:sz w:val="18"/>
          <w:szCs w:val="18"/>
        </w:rPr>
        <w:t>resalta</w:t>
      </w:r>
      <w:r w:rsidRPr="000A53F8">
        <w:rPr>
          <w:rFonts w:asciiTheme="minorBidi" w:hAnsiTheme="minorBidi" w:cstheme="minorBidi"/>
          <w:sz w:val="18"/>
          <w:szCs w:val="18"/>
        </w:rPr>
        <w:t xml:space="preserve"> que, cuando </w:t>
      </w:r>
      <w:r w:rsidRPr="000A53F8">
        <w:rPr>
          <w:rFonts w:asciiTheme="minorBidi" w:hAnsiTheme="minorBidi" w:cstheme="minorBidi"/>
          <w:bCs/>
          <w:sz w:val="18"/>
          <w:szCs w:val="18"/>
        </w:rPr>
        <w:t xml:space="preserve">las personas de la </w:t>
      </w:r>
      <w:r w:rsidR="006C781B" w:rsidRPr="000A53F8">
        <w:rPr>
          <w:rFonts w:asciiTheme="minorBidi" w:hAnsiTheme="minorBidi" w:cstheme="minorBidi"/>
          <w:bCs/>
          <w:sz w:val="18"/>
          <w:szCs w:val="18"/>
        </w:rPr>
        <w:t>población</w:t>
      </w:r>
      <w:r w:rsidRPr="000A53F8">
        <w:rPr>
          <w:rFonts w:asciiTheme="minorBidi" w:hAnsiTheme="minorBidi" w:cstheme="minorBidi"/>
          <w:bCs/>
          <w:sz w:val="18"/>
          <w:szCs w:val="18"/>
        </w:rPr>
        <w:t xml:space="preserve"> LGBTI</w:t>
      </w:r>
      <w:r w:rsidR="00061CCA" w:rsidRPr="000A53F8">
        <w:rPr>
          <w:rFonts w:asciiTheme="minorBidi" w:hAnsiTheme="minorBidi" w:cstheme="minorBidi"/>
          <w:bCs/>
          <w:sz w:val="18"/>
          <w:szCs w:val="18"/>
        </w:rPr>
        <w:t>Q</w:t>
      </w:r>
      <w:r w:rsidRPr="000A53F8">
        <w:rPr>
          <w:rFonts w:asciiTheme="minorBidi" w:hAnsiTheme="minorBidi" w:cstheme="minorBidi"/>
          <w:bCs/>
          <w:sz w:val="18"/>
          <w:szCs w:val="18"/>
        </w:rPr>
        <w:t xml:space="preserve">+ alegan en juicio haber resentido hechos discriminatorios por parte de un particular, las y los juzgadores deben tomar en cuenta que </w:t>
      </w:r>
      <w:r w:rsidRPr="000A53F8">
        <w:rPr>
          <w:rFonts w:asciiTheme="minorBidi" w:hAnsiTheme="minorBidi" w:cstheme="minorBidi"/>
          <w:iCs/>
          <w:color w:val="000000"/>
          <w:sz w:val="18"/>
          <w:szCs w:val="18"/>
          <w:bdr w:val="none" w:sz="0" w:space="0" w:color="auto" w:frame="1"/>
          <w:shd w:val="clear" w:color="auto" w:fill="FFFFFF"/>
          <w:lang w:val="es-CO"/>
        </w:rPr>
        <w:t xml:space="preserve">los hechos discriminatorios no siempre pueden probarse a través de medios de prueba que acrediten la existencia del acto, sin necesidad de realizar otras inferencias o presunciones lógicas. </w:t>
      </w:r>
      <w:r w:rsidR="00673189" w:rsidRPr="000A53F8">
        <w:rPr>
          <w:rFonts w:asciiTheme="minorBidi" w:hAnsiTheme="minorBidi" w:cstheme="minorBidi"/>
          <w:iCs/>
          <w:color w:val="000000"/>
          <w:sz w:val="18"/>
          <w:szCs w:val="18"/>
          <w:bdr w:val="none" w:sz="0" w:space="0" w:color="auto" w:frame="1"/>
          <w:shd w:val="clear" w:color="auto" w:fill="FFFFFF"/>
          <w:lang w:val="es-CO"/>
        </w:rPr>
        <w:t>Estimamos que e</w:t>
      </w:r>
      <w:r w:rsidRPr="000A53F8">
        <w:rPr>
          <w:rFonts w:asciiTheme="minorBidi" w:hAnsiTheme="minorBidi" w:cstheme="minorBidi"/>
          <w:iCs/>
          <w:color w:val="000000"/>
          <w:sz w:val="18"/>
          <w:szCs w:val="18"/>
          <w:bdr w:val="none" w:sz="0" w:space="0" w:color="auto" w:frame="1"/>
          <w:shd w:val="clear" w:color="auto" w:fill="FFFFFF"/>
          <w:lang w:val="es-CO"/>
        </w:rPr>
        <w:t>sta facultad es coincidente con las metodologías que se han desarrollado para juzgar casos de discriminación en donde, frente a la existencia de un posible hecho de este tipo, resulta necesario que las autoridades efectúen un análisis contextual o adoptar un rol activo para allegarse de elementos que le permitan arribar a la verdad legal</w:t>
      </w:r>
      <w:r w:rsidR="00900A2A" w:rsidRPr="000A53F8">
        <w:rPr>
          <w:rFonts w:asciiTheme="minorBidi" w:hAnsiTheme="minorBidi" w:cstheme="minorBidi"/>
          <w:iCs/>
          <w:color w:val="000000"/>
          <w:sz w:val="18"/>
          <w:szCs w:val="18"/>
          <w:bdr w:val="none" w:sz="0" w:space="0" w:color="auto" w:frame="1"/>
          <w:shd w:val="clear" w:color="auto" w:fill="FFFFFF"/>
          <w:lang w:val="es-CO"/>
        </w:rPr>
        <w:t xml:space="preserve">. </w:t>
      </w:r>
      <w:r w:rsidR="00900A2A" w:rsidRPr="000A53F8">
        <w:rPr>
          <w:rFonts w:asciiTheme="minorBidi" w:hAnsiTheme="minorBidi" w:cstheme="minorBidi"/>
          <w:i/>
          <w:iCs/>
          <w:color w:val="000000" w:themeColor="text1"/>
          <w:sz w:val="18"/>
          <w:szCs w:val="18"/>
          <w:lang w:val="en-US"/>
        </w:rPr>
        <w:t>Vid</w:t>
      </w:r>
      <w:r w:rsidR="00900A2A" w:rsidRPr="000A53F8">
        <w:rPr>
          <w:rFonts w:asciiTheme="minorBidi" w:hAnsiTheme="minorBidi" w:cstheme="minorBidi"/>
          <w:color w:val="000000" w:themeColor="text1"/>
          <w:sz w:val="18"/>
          <w:szCs w:val="18"/>
          <w:lang w:val="en-US"/>
        </w:rPr>
        <w:t>., entre otros, Michael J. Zimmer, 2008, </w:t>
      </w:r>
      <w:r w:rsidR="00900A2A" w:rsidRPr="000A53F8">
        <w:rPr>
          <w:rFonts w:asciiTheme="minorBidi" w:hAnsiTheme="minorBidi" w:cstheme="minorBidi"/>
          <w:i/>
          <w:iCs/>
          <w:color w:val="000000" w:themeColor="text1"/>
          <w:sz w:val="18"/>
          <w:szCs w:val="18"/>
          <w:lang w:val="en-US"/>
        </w:rPr>
        <w:t>A Chain of Inferences Proving Discrimination</w:t>
      </w:r>
      <w:r w:rsidR="00900A2A" w:rsidRPr="000A53F8">
        <w:rPr>
          <w:rFonts w:asciiTheme="minorBidi" w:hAnsiTheme="minorBidi" w:cstheme="minorBidi"/>
          <w:color w:val="000000" w:themeColor="text1"/>
          <w:sz w:val="18"/>
          <w:szCs w:val="18"/>
          <w:lang w:val="en-US"/>
        </w:rPr>
        <w:t xml:space="preserve">, 79, University of Colorado Law Review, 1243; Joseph A. Seiner, 2019, </w:t>
      </w:r>
      <w:r w:rsidR="00900A2A" w:rsidRPr="000A53F8">
        <w:rPr>
          <w:rFonts w:asciiTheme="minorBidi" w:hAnsiTheme="minorBidi" w:cstheme="minorBidi"/>
          <w:i/>
          <w:iCs/>
          <w:color w:val="000000" w:themeColor="text1"/>
          <w:sz w:val="18"/>
          <w:szCs w:val="18"/>
          <w:lang w:val="en-US"/>
        </w:rPr>
        <w:t>The Discrimination Presumption</w:t>
      </w:r>
      <w:r w:rsidR="00900A2A" w:rsidRPr="000A53F8">
        <w:rPr>
          <w:rFonts w:asciiTheme="minorBidi" w:hAnsiTheme="minorBidi" w:cstheme="minorBidi"/>
          <w:color w:val="000000" w:themeColor="text1"/>
          <w:sz w:val="18"/>
          <w:szCs w:val="18"/>
          <w:lang w:val="en-US"/>
        </w:rPr>
        <w:t xml:space="preserve">, 94(3), Notre Dame Law Review, E Isabelle Rorive, 2009, </w:t>
      </w:r>
      <w:r w:rsidR="00900A2A" w:rsidRPr="000A53F8">
        <w:rPr>
          <w:rFonts w:asciiTheme="minorBidi" w:hAnsiTheme="minorBidi" w:cstheme="minorBidi"/>
          <w:i/>
          <w:iCs/>
          <w:color w:val="000000" w:themeColor="text1"/>
          <w:sz w:val="18"/>
          <w:szCs w:val="18"/>
          <w:lang w:val="en-US"/>
        </w:rPr>
        <w:t>Proving Discrimination Cases: The Role of Situation Testing</w:t>
      </w:r>
      <w:r w:rsidR="00900A2A" w:rsidRPr="000A53F8">
        <w:rPr>
          <w:rFonts w:asciiTheme="minorBidi" w:hAnsiTheme="minorBidi" w:cstheme="minorBidi"/>
          <w:color w:val="000000" w:themeColor="text1"/>
          <w:sz w:val="18"/>
          <w:szCs w:val="18"/>
          <w:lang w:val="en-US"/>
        </w:rPr>
        <w:t xml:space="preserve">, Centre for Equal Rights. </w:t>
      </w:r>
      <w:r w:rsidR="00900A2A" w:rsidRPr="000A53F8">
        <w:rPr>
          <w:rFonts w:asciiTheme="minorBidi" w:hAnsiTheme="minorBidi" w:cstheme="minorBidi"/>
          <w:color w:val="000000" w:themeColor="text1"/>
          <w:sz w:val="18"/>
          <w:szCs w:val="18"/>
        </w:rPr>
        <w:t>Al respecto, Jordi Ferrer explica que las presunciones hominis o judiciales se refieren a las “inferencias realizadas por la persona juzgadora para pasar de un hecho conocido —probado— a un hecho desconocido”. Para el autor, en estos casos “hay dos hechos en juego y una relación entre ellos, que es siempre un enlace epistémico, de modo que la ocurrencia del hecho conocido permite inferir que el desconocido también acaeció”. Jordi Ferrer Beltrán, 2022, “La decisión probatoria”, en Manual de razonamiento probatorio, Jordi Ferrer Beltrán (coord.), Suprema Corte de Justicia de la Nación, p. 423.</w:t>
      </w:r>
    </w:p>
  </w:footnote>
  <w:footnote w:id="56">
    <w:p w14:paraId="519C1F39" w14:textId="4562443A" w:rsidR="003F27C9" w:rsidRPr="000A53F8" w:rsidRDefault="003F27C9" w:rsidP="00FD3784">
      <w:pPr>
        <w:tabs>
          <w:tab w:val="left" w:pos="284"/>
          <w:tab w:val="left" w:pos="1622"/>
        </w:tabs>
        <w:jc w:val="both"/>
        <w:rPr>
          <w:rFonts w:asciiTheme="minorBidi" w:hAnsiTheme="minorBidi"/>
          <w:color w:val="000000" w:themeColor="text1"/>
          <w:sz w:val="18"/>
          <w:szCs w:val="18"/>
        </w:rPr>
      </w:pPr>
      <w:r w:rsidRPr="000A53F8">
        <w:rPr>
          <w:rStyle w:val="Refdenotaalpie"/>
          <w:rFonts w:asciiTheme="minorBidi" w:hAnsiTheme="minorBidi"/>
          <w:color w:val="000000" w:themeColor="text1"/>
          <w:sz w:val="18"/>
          <w:szCs w:val="18"/>
        </w:rPr>
        <w:footnoteRef/>
      </w:r>
      <w:r w:rsidRPr="000A53F8">
        <w:rPr>
          <w:rFonts w:asciiTheme="minorBidi" w:hAnsiTheme="minorBidi"/>
          <w:color w:val="000000" w:themeColor="text1"/>
          <w:sz w:val="18"/>
          <w:szCs w:val="18"/>
        </w:rPr>
        <w:t xml:space="preserve"> </w:t>
      </w:r>
      <w:r w:rsidR="007C1BC8" w:rsidRPr="000A53F8">
        <w:rPr>
          <w:rFonts w:asciiTheme="minorBidi" w:hAnsiTheme="minorBidi"/>
          <w:color w:val="000000" w:themeColor="text1"/>
          <w:sz w:val="18"/>
          <w:szCs w:val="18"/>
        </w:rPr>
        <w:t>Juicio ordinario civil 1137/2017, tomo I, f</w:t>
      </w:r>
      <w:r w:rsidRPr="000A53F8">
        <w:rPr>
          <w:rFonts w:asciiTheme="minorBidi" w:hAnsiTheme="minorBidi"/>
          <w:color w:val="000000" w:themeColor="text1"/>
          <w:sz w:val="18"/>
          <w:szCs w:val="18"/>
        </w:rPr>
        <w:t>ojas 29</w:t>
      </w:r>
      <w:r w:rsidR="00D62ED2" w:rsidRPr="000A53F8">
        <w:rPr>
          <w:rFonts w:asciiTheme="minorBidi" w:hAnsiTheme="minorBidi"/>
          <w:color w:val="000000" w:themeColor="text1"/>
          <w:sz w:val="18"/>
          <w:szCs w:val="18"/>
        </w:rPr>
        <w:t>8</w:t>
      </w:r>
      <w:r w:rsidRPr="000A53F8">
        <w:rPr>
          <w:rFonts w:asciiTheme="minorBidi" w:hAnsiTheme="minorBidi"/>
          <w:color w:val="000000" w:themeColor="text1"/>
          <w:sz w:val="18"/>
          <w:szCs w:val="18"/>
        </w:rPr>
        <w:t xml:space="preserve"> y 31</w:t>
      </w:r>
      <w:r w:rsidR="00D62ED2" w:rsidRPr="000A53F8">
        <w:rPr>
          <w:rFonts w:asciiTheme="minorBidi" w:hAnsiTheme="minorBidi"/>
          <w:color w:val="000000" w:themeColor="text1"/>
          <w:sz w:val="18"/>
          <w:szCs w:val="18"/>
        </w:rPr>
        <w:t>6</w:t>
      </w:r>
      <w:r w:rsidRPr="000A53F8">
        <w:rPr>
          <w:rFonts w:asciiTheme="minorBidi" w:hAnsiTheme="minorBidi"/>
          <w:color w:val="000000" w:themeColor="text1"/>
          <w:sz w:val="18"/>
          <w:szCs w:val="18"/>
        </w:rPr>
        <w:t>.</w:t>
      </w:r>
    </w:p>
  </w:footnote>
  <w:footnote w:id="57">
    <w:p w14:paraId="6AA51E1F" w14:textId="65E04A99" w:rsidR="00F817D7" w:rsidRPr="000A53F8" w:rsidRDefault="00F817D7" w:rsidP="00FD3784">
      <w:pPr>
        <w:tabs>
          <w:tab w:val="left" w:pos="284"/>
          <w:tab w:val="left" w:pos="1622"/>
        </w:tabs>
        <w:jc w:val="both"/>
        <w:rPr>
          <w:rFonts w:asciiTheme="minorBidi" w:hAnsiTheme="minorBidi"/>
          <w:color w:val="000000" w:themeColor="text1"/>
          <w:sz w:val="18"/>
          <w:szCs w:val="18"/>
        </w:rPr>
      </w:pPr>
      <w:r w:rsidRPr="000A53F8">
        <w:rPr>
          <w:rStyle w:val="Refdenotaalpie"/>
          <w:rFonts w:asciiTheme="minorBidi" w:hAnsiTheme="minorBidi"/>
          <w:color w:val="000000" w:themeColor="text1"/>
          <w:sz w:val="18"/>
          <w:szCs w:val="18"/>
        </w:rPr>
        <w:footnoteRef/>
      </w:r>
      <w:r w:rsidRPr="000A53F8">
        <w:rPr>
          <w:rFonts w:asciiTheme="minorBidi" w:hAnsiTheme="minorBidi"/>
          <w:color w:val="000000" w:themeColor="text1"/>
          <w:sz w:val="18"/>
          <w:szCs w:val="18"/>
        </w:rPr>
        <w:t xml:space="preserve"> </w:t>
      </w:r>
      <w:r w:rsidR="00810EBC" w:rsidRPr="000A53F8">
        <w:rPr>
          <w:rFonts w:asciiTheme="minorBidi" w:hAnsiTheme="minorBidi"/>
          <w:i/>
          <w:iCs/>
          <w:color w:val="000000" w:themeColor="text1"/>
          <w:sz w:val="18"/>
          <w:szCs w:val="18"/>
        </w:rPr>
        <w:t>Ibidem</w:t>
      </w:r>
      <w:r w:rsidR="007C1BC8" w:rsidRPr="000A53F8">
        <w:rPr>
          <w:rFonts w:asciiTheme="minorBidi" w:hAnsiTheme="minorBidi"/>
          <w:color w:val="000000" w:themeColor="text1"/>
          <w:sz w:val="18"/>
          <w:szCs w:val="18"/>
        </w:rPr>
        <w:t>, f</w:t>
      </w:r>
      <w:r w:rsidRPr="000A53F8">
        <w:rPr>
          <w:rFonts w:asciiTheme="minorBidi" w:hAnsiTheme="minorBidi"/>
          <w:color w:val="000000" w:themeColor="text1"/>
          <w:sz w:val="18"/>
          <w:szCs w:val="18"/>
        </w:rPr>
        <w:t>oja</w:t>
      </w:r>
      <w:r w:rsidR="00F138BD" w:rsidRPr="000A53F8">
        <w:rPr>
          <w:rFonts w:asciiTheme="minorBidi" w:hAnsiTheme="minorBidi"/>
          <w:color w:val="000000" w:themeColor="text1"/>
          <w:sz w:val="18"/>
          <w:szCs w:val="18"/>
        </w:rPr>
        <w:t>s</w:t>
      </w:r>
      <w:r w:rsidRPr="000A53F8">
        <w:rPr>
          <w:rFonts w:asciiTheme="minorBidi" w:hAnsiTheme="minorBidi"/>
          <w:color w:val="000000" w:themeColor="text1"/>
          <w:sz w:val="18"/>
          <w:szCs w:val="18"/>
        </w:rPr>
        <w:t xml:space="preserve"> 296</w:t>
      </w:r>
      <w:r w:rsidR="00F138BD" w:rsidRPr="000A53F8">
        <w:rPr>
          <w:rFonts w:asciiTheme="minorBidi" w:hAnsiTheme="minorBidi"/>
          <w:color w:val="000000" w:themeColor="text1"/>
          <w:sz w:val="18"/>
          <w:szCs w:val="18"/>
        </w:rPr>
        <w:t xml:space="preserve"> y 317</w:t>
      </w:r>
      <w:r w:rsidRPr="000A53F8">
        <w:rPr>
          <w:rFonts w:asciiTheme="minorBidi" w:hAnsiTheme="minorBidi"/>
          <w:color w:val="000000" w:themeColor="text1"/>
          <w:sz w:val="18"/>
          <w:szCs w:val="18"/>
        </w:rPr>
        <w:t>.</w:t>
      </w:r>
    </w:p>
  </w:footnote>
  <w:footnote w:id="58">
    <w:p w14:paraId="5BF773C0" w14:textId="23793AE8" w:rsidR="00884022" w:rsidRPr="000A53F8" w:rsidRDefault="00884022"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Foja</w:t>
      </w:r>
      <w:r w:rsidR="006A1C76" w:rsidRPr="000A53F8">
        <w:rPr>
          <w:rFonts w:asciiTheme="minorBidi" w:hAnsiTheme="minorBidi" w:cstheme="minorBidi"/>
          <w:color w:val="000000" w:themeColor="text1"/>
          <w:sz w:val="18"/>
          <w:szCs w:val="18"/>
        </w:rPr>
        <w:t xml:space="preserve">s 24 </w:t>
      </w:r>
      <w:r w:rsidR="000B5304" w:rsidRPr="000A53F8">
        <w:rPr>
          <w:rFonts w:asciiTheme="minorBidi" w:hAnsiTheme="minorBidi" w:cstheme="minorBidi"/>
          <w:color w:val="000000" w:themeColor="text1"/>
          <w:sz w:val="18"/>
          <w:szCs w:val="18"/>
        </w:rPr>
        <w:t>a 26</w:t>
      </w:r>
      <w:r w:rsidRPr="000A53F8">
        <w:rPr>
          <w:rFonts w:asciiTheme="minorBidi" w:hAnsiTheme="minorBidi" w:cstheme="minorBidi"/>
          <w:color w:val="000000" w:themeColor="text1"/>
          <w:sz w:val="18"/>
          <w:szCs w:val="18"/>
        </w:rPr>
        <w:t xml:space="preserve"> de la sentencia de apelación.</w:t>
      </w:r>
    </w:p>
  </w:footnote>
  <w:footnote w:id="59">
    <w:p w14:paraId="708495B1" w14:textId="689AAE24" w:rsidR="007F34B7" w:rsidRPr="000A53F8" w:rsidRDefault="007F34B7"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00124669" w:rsidRPr="000A53F8">
        <w:rPr>
          <w:rFonts w:asciiTheme="minorBidi" w:hAnsiTheme="minorBidi" w:cstheme="minorBidi"/>
          <w:color w:val="000000" w:themeColor="text1"/>
          <w:sz w:val="18"/>
          <w:szCs w:val="18"/>
        </w:rPr>
        <w:t>E</w:t>
      </w:r>
      <w:r w:rsidR="008833B0" w:rsidRPr="000A53F8">
        <w:rPr>
          <w:rFonts w:asciiTheme="minorBidi" w:hAnsiTheme="minorBidi" w:cstheme="minorBidi"/>
          <w:color w:val="000000" w:themeColor="text1"/>
          <w:sz w:val="18"/>
          <w:szCs w:val="18"/>
        </w:rPr>
        <w:t>xpediente de COPRED</w:t>
      </w:r>
      <w:r w:rsidR="00124669" w:rsidRPr="000A53F8">
        <w:rPr>
          <w:rFonts w:asciiTheme="minorBidi" w:hAnsiTheme="minorBidi" w:cstheme="minorBidi"/>
          <w:color w:val="000000" w:themeColor="text1"/>
          <w:sz w:val="18"/>
          <w:szCs w:val="18"/>
        </w:rPr>
        <w:t>, foja 25</w:t>
      </w:r>
      <w:r w:rsidR="008833B0" w:rsidRPr="000A53F8">
        <w:rPr>
          <w:rFonts w:asciiTheme="minorBidi" w:hAnsiTheme="minorBidi" w:cstheme="minorBidi"/>
          <w:color w:val="000000" w:themeColor="text1"/>
          <w:sz w:val="18"/>
          <w:szCs w:val="18"/>
        </w:rPr>
        <w:t>.</w:t>
      </w:r>
    </w:p>
  </w:footnote>
  <w:footnote w:id="60">
    <w:p w14:paraId="1B7E8A4A" w14:textId="0C730748" w:rsidR="00042710" w:rsidRPr="000A53F8" w:rsidRDefault="00042710"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Fojas </w:t>
      </w:r>
      <w:r w:rsidR="0068005C" w:rsidRPr="000A53F8">
        <w:rPr>
          <w:rFonts w:asciiTheme="minorBidi" w:hAnsiTheme="minorBidi" w:cstheme="minorBidi"/>
          <w:color w:val="000000" w:themeColor="text1"/>
          <w:sz w:val="18"/>
          <w:szCs w:val="18"/>
        </w:rPr>
        <w:t>30 y siguientes</w:t>
      </w:r>
      <w:r w:rsidRPr="000A53F8">
        <w:rPr>
          <w:rFonts w:asciiTheme="minorBidi" w:hAnsiTheme="minorBidi" w:cstheme="minorBidi"/>
          <w:color w:val="000000" w:themeColor="text1"/>
          <w:sz w:val="18"/>
          <w:szCs w:val="18"/>
        </w:rPr>
        <w:t xml:space="preserve"> de la sentencia de apelación.</w:t>
      </w:r>
    </w:p>
  </w:footnote>
  <w:footnote w:id="61">
    <w:p w14:paraId="214D7B84" w14:textId="77777777" w:rsidR="00E83943" w:rsidRPr="000A53F8" w:rsidRDefault="00E83943"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Las intervenciones de las empresas se hicieron constar en los siguientes términos: </w:t>
      </w:r>
    </w:p>
    <w:p w14:paraId="34882B1B" w14:textId="77777777" w:rsidR="00E83943" w:rsidRPr="00453D61" w:rsidRDefault="00E83943" w:rsidP="00FD3784">
      <w:pPr>
        <w:pStyle w:val="Textonotapie"/>
        <w:tabs>
          <w:tab w:val="left" w:pos="284"/>
        </w:tabs>
        <w:jc w:val="both"/>
        <w:rPr>
          <w:rFonts w:asciiTheme="minorBidi" w:hAnsiTheme="minorBidi" w:cstheme="minorBidi"/>
          <w:sz w:val="18"/>
          <w:szCs w:val="18"/>
        </w:rPr>
      </w:pPr>
      <w:r w:rsidRPr="000A53F8">
        <w:rPr>
          <w:rFonts w:asciiTheme="minorBidi" w:hAnsiTheme="minorBidi" w:cstheme="minorBidi"/>
          <w:color w:val="000000" w:themeColor="text1"/>
          <w:sz w:val="18"/>
          <w:szCs w:val="18"/>
        </w:rPr>
        <w:t xml:space="preserve">“En uso de la palabra el </w:t>
      </w:r>
      <w:r w:rsidRPr="00453D61">
        <w:rPr>
          <w:rFonts w:asciiTheme="minorBidi" w:hAnsiTheme="minorBidi" w:cstheme="minorBidi"/>
          <w:sz w:val="18"/>
          <w:szCs w:val="18"/>
        </w:rPr>
        <w:t>C. Pedro Antonio Madrigal Andrade, manifiesta que Reforma 222 es un espacio abierto para todo tipo de personas y les apena mucho la situación por la que pasaron, en todo momento intentan mejorar el área de seguridad para sus clientes, y le gustaría agregar que la empresa de seguridad 2010 es muy comprometida, sin embargo, se compromete a trabajar en la mejora del servicio de seguridad para todos los clientes.</w:t>
      </w:r>
    </w:p>
    <w:p w14:paraId="66EA6E77" w14:textId="77777777" w:rsidR="00E83943" w:rsidRPr="00453D61" w:rsidRDefault="00E83943" w:rsidP="00FD3784">
      <w:pPr>
        <w:pStyle w:val="Textonotapie"/>
        <w:tabs>
          <w:tab w:val="left" w:pos="284"/>
        </w:tabs>
        <w:jc w:val="both"/>
        <w:rPr>
          <w:rFonts w:asciiTheme="minorBidi" w:hAnsiTheme="minorBidi" w:cstheme="minorBidi"/>
          <w:sz w:val="18"/>
          <w:szCs w:val="18"/>
        </w:rPr>
      </w:pPr>
      <w:r w:rsidRPr="00453D61">
        <w:rPr>
          <w:rFonts w:asciiTheme="minorBidi" w:hAnsiTheme="minorBidi" w:cstheme="minorBidi"/>
          <w:sz w:val="18"/>
          <w:szCs w:val="18"/>
        </w:rPr>
        <w:t>En uso de la palabra el C. Rafael Aguilar Mejía, manifiesta que de su parte ya se han tomado acciones internas y agradecer la paciencia y la voluntad para posponer la fecha de conciliación. Asimismo, menciona que al ser Reforma 222 un espacio público es importante reforzar algunas áreas para tratar con respeto a todos los clientes.</w:t>
      </w:r>
    </w:p>
    <w:p w14:paraId="4A9CCC42" w14:textId="77777777" w:rsidR="00E83943" w:rsidRPr="000A53F8" w:rsidRDefault="00E83943" w:rsidP="00FD3784">
      <w:pPr>
        <w:pStyle w:val="Textonotapie"/>
        <w:tabs>
          <w:tab w:val="left" w:pos="284"/>
        </w:tabs>
        <w:jc w:val="both"/>
        <w:rPr>
          <w:rFonts w:asciiTheme="minorBidi" w:hAnsiTheme="minorBidi" w:cstheme="minorBidi"/>
          <w:color w:val="000000" w:themeColor="text1"/>
          <w:sz w:val="18"/>
          <w:szCs w:val="18"/>
        </w:rPr>
      </w:pPr>
      <w:r w:rsidRPr="00453D61">
        <w:rPr>
          <w:rFonts w:asciiTheme="minorBidi" w:hAnsiTheme="minorBidi" w:cstheme="minorBidi"/>
          <w:sz w:val="18"/>
          <w:szCs w:val="18"/>
        </w:rPr>
        <w:t xml:space="preserve">En uso de la palabra el C. Carlos Antonio Caldera Retana menciona </w:t>
      </w:r>
      <w:r w:rsidRPr="000A53F8">
        <w:rPr>
          <w:rFonts w:asciiTheme="minorBidi" w:hAnsiTheme="minorBidi" w:cstheme="minorBidi"/>
          <w:color w:val="000000" w:themeColor="text1"/>
          <w:sz w:val="18"/>
          <w:szCs w:val="18"/>
        </w:rPr>
        <w:t>que se disculpa por el personal, insiste en que su postura es poder corregir y solucionar los conflictos de manera positiva. En el caso del enfoque de seguridad se tiene que cuidar cosas que en ocasiones se pierden de vista, ya que las personas no supieron cómo manejar la situación. Menciona que al hablar con el personal que intervino, mencionaron que se confundieron ya que tampoco fue su intención violentar a las personas, sino era protegerlas.</w:t>
      </w:r>
    </w:p>
    <w:p w14:paraId="5362688B" w14:textId="2C7C4868" w:rsidR="004549EB" w:rsidRPr="000A53F8" w:rsidRDefault="00E83943" w:rsidP="00FD3784">
      <w:pPr>
        <w:pStyle w:val="Textonotapie"/>
        <w:tabs>
          <w:tab w:val="left" w:pos="284"/>
        </w:tabs>
        <w:jc w:val="both"/>
        <w:rPr>
          <w:rFonts w:asciiTheme="minorBidi" w:hAnsiTheme="minorBidi" w:cstheme="minorBidi"/>
          <w:color w:val="000000" w:themeColor="text1"/>
          <w:sz w:val="18"/>
          <w:szCs w:val="18"/>
        </w:rPr>
      </w:pPr>
      <w:r w:rsidRPr="000A53F8">
        <w:rPr>
          <w:rFonts w:asciiTheme="minorBidi" w:hAnsiTheme="minorBidi" w:cstheme="minorBidi"/>
          <w:color w:val="000000" w:themeColor="text1"/>
          <w:sz w:val="18"/>
          <w:szCs w:val="18"/>
        </w:rPr>
        <w:t xml:space="preserve">En uso de la palabra </w:t>
      </w:r>
      <w:r w:rsidRPr="00453D61">
        <w:rPr>
          <w:rFonts w:asciiTheme="minorBidi" w:hAnsiTheme="minorBidi" w:cstheme="minorBidi"/>
          <w:sz w:val="18"/>
          <w:szCs w:val="18"/>
        </w:rPr>
        <w:t xml:space="preserve">el C. Ángel Vicente Leal González menciona </w:t>
      </w:r>
      <w:r w:rsidRPr="000A53F8">
        <w:rPr>
          <w:rFonts w:asciiTheme="minorBidi" w:hAnsiTheme="minorBidi" w:cstheme="minorBidi"/>
          <w:color w:val="000000" w:themeColor="text1"/>
          <w:sz w:val="18"/>
          <w:szCs w:val="18"/>
        </w:rPr>
        <w:t xml:space="preserve">que se disculpa en nombre de su personal y la empresa por la molestia e incomodidad por lo sucedido, ya que no se manejaron las cosas perfectamente. Menciona que en la empresa no discriminan a nadie y, después de lo sucedido, tomaron algunas acciones como de baja del personal que intervino, sin embargo, le gustaría agregar que dicho personal no supo cómo manejar la situación en virtud de que son temas nuevos que no conocen completamente. Asimismo, precisa que han llevado a cabo charlas y entrevistas con el personal sobre el caso y capacitaciones de trato al cliente y de no discriminación de manera interna. (…)”. </w:t>
      </w:r>
      <w:r w:rsidRPr="000A53F8">
        <w:rPr>
          <w:rFonts w:asciiTheme="minorBidi" w:hAnsiTheme="minorBidi" w:cstheme="minorBidi"/>
          <w:i/>
          <w:iCs/>
          <w:color w:val="000000" w:themeColor="text1"/>
          <w:sz w:val="18"/>
          <w:szCs w:val="18"/>
        </w:rPr>
        <w:t>Ídem</w:t>
      </w:r>
      <w:r w:rsidRPr="000A53F8">
        <w:rPr>
          <w:rFonts w:asciiTheme="minorBidi" w:hAnsiTheme="minorBidi" w:cstheme="minorBidi"/>
          <w:color w:val="000000" w:themeColor="text1"/>
          <w:sz w:val="18"/>
          <w:szCs w:val="18"/>
        </w:rPr>
        <w:t>.</w:t>
      </w:r>
      <w:r w:rsidR="004549EB">
        <w:rPr>
          <w:rFonts w:asciiTheme="minorBidi" w:hAnsiTheme="minorBidi" w:cstheme="minorBidi"/>
          <w:color w:val="000000" w:themeColor="text1"/>
          <w:sz w:val="18"/>
          <w:szCs w:val="18"/>
        </w:rPr>
        <w:t xml:space="preserve"> </w:t>
      </w:r>
    </w:p>
  </w:footnote>
  <w:footnote w:id="62">
    <w:p w14:paraId="18D62405" w14:textId="7D445F9D" w:rsidR="008F0B83" w:rsidRPr="000A53F8" w:rsidRDefault="008F0B83"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00E83943" w:rsidRPr="000A53F8">
        <w:rPr>
          <w:rFonts w:asciiTheme="minorBidi" w:hAnsiTheme="minorBidi" w:cstheme="minorBidi"/>
          <w:i/>
          <w:iCs/>
          <w:color w:val="000000" w:themeColor="text1"/>
          <w:sz w:val="18"/>
          <w:szCs w:val="18"/>
        </w:rPr>
        <w:t xml:space="preserve"> Ibidem</w:t>
      </w:r>
      <w:r w:rsidRPr="000A53F8">
        <w:rPr>
          <w:rFonts w:asciiTheme="minorBidi" w:hAnsiTheme="minorBidi" w:cstheme="minorBidi"/>
          <w:color w:val="000000" w:themeColor="text1"/>
          <w:sz w:val="18"/>
          <w:szCs w:val="18"/>
        </w:rPr>
        <w:t>, foja 29.</w:t>
      </w:r>
    </w:p>
  </w:footnote>
  <w:footnote w:id="63">
    <w:p w14:paraId="4C604A7A" w14:textId="1A8BD49C" w:rsidR="007F34B7" w:rsidRPr="000A53F8" w:rsidRDefault="007F34B7"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00E83943" w:rsidRPr="000A53F8">
        <w:rPr>
          <w:rFonts w:asciiTheme="minorBidi" w:hAnsiTheme="minorBidi" w:cstheme="minorBidi"/>
          <w:i/>
          <w:iCs/>
          <w:color w:val="000000" w:themeColor="text1"/>
          <w:sz w:val="18"/>
          <w:szCs w:val="18"/>
        </w:rPr>
        <w:t>Ídem</w:t>
      </w:r>
      <w:r w:rsidR="00A675E3" w:rsidRPr="000A53F8">
        <w:rPr>
          <w:rFonts w:asciiTheme="minorBidi" w:hAnsiTheme="minorBidi" w:cstheme="minorBidi"/>
          <w:color w:val="000000" w:themeColor="text1"/>
          <w:sz w:val="18"/>
          <w:szCs w:val="18"/>
        </w:rPr>
        <w:t>.</w:t>
      </w:r>
    </w:p>
  </w:footnote>
  <w:footnote w:id="64">
    <w:p w14:paraId="76FBCEA2" w14:textId="7B6C6546" w:rsidR="00B36B61" w:rsidRPr="000A53F8" w:rsidRDefault="00B36B61" w:rsidP="00FD3784">
      <w:pPr>
        <w:pStyle w:val="Textonotapie"/>
        <w:tabs>
          <w:tab w:val="left" w:pos="284"/>
        </w:tabs>
        <w:jc w:val="both"/>
        <w:rPr>
          <w:rFonts w:asciiTheme="minorBidi" w:hAnsiTheme="minorBidi" w:cstheme="minorBidi"/>
          <w:sz w:val="18"/>
          <w:szCs w:val="18"/>
        </w:rPr>
      </w:pPr>
      <w:r w:rsidRPr="000A53F8">
        <w:rPr>
          <w:rStyle w:val="Refdenotaalpie"/>
          <w:rFonts w:asciiTheme="minorBidi" w:hAnsiTheme="minorBidi" w:cstheme="minorBidi"/>
          <w:sz w:val="18"/>
          <w:szCs w:val="18"/>
        </w:rPr>
        <w:footnoteRef/>
      </w:r>
      <w:r w:rsidRPr="000A53F8">
        <w:rPr>
          <w:rFonts w:asciiTheme="minorBidi" w:hAnsiTheme="minorBidi" w:cstheme="minorBidi"/>
          <w:sz w:val="18"/>
          <w:szCs w:val="18"/>
        </w:rPr>
        <w:t xml:space="preserve"> Páginas 1 y</w:t>
      </w:r>
      <w:r w:rsidR="002D2BB6" w:rsidRPr="000A53F8">
        <w:rPr>
          <w:rFonts w:asciiTheme="minorBidi" w:hAnsiTheme="minorBidi" w:cstheme="minorBidi"/>
          <w:sz w:val="18"/>
          <w:szCs w:val="18"/>
        </w:rPr>
        <w:t xml:space="preserve"> 2 de la queja presentada ante el COPRED el 27 de noviembre de 2015, la cual forma parte del</w:t>
      </w:r>
      <w:r w:rsidRPr="000A53F8">
        <w:rPr>
          <w:rFonts w:asciiTheme="minorBidi" w:hAnsiTheme="minorBidi" w:cstheme="minorBidi"/>
          <w:sz w:val="18"/>
          <w:szCs w:val="18"/>
        </w:rPr>
        <w:t xml:space="preserve"> </w:t>
      </w:r>
      <w:r w:rsidRPr="000A53F8">
        <w:rPr>
          <w:rFonts w:asciiTheme="minorBidi" w:hAnsiTheme="minorBidi" w:cstheme="minorBidi"/>
          <w:color w:val="000000" w:themeColor="text1"/>
          <w:sz w:val="18"/>
          <w:szCs w:val="18"/>
        </w:rPr>
        <w:t>expediente COPRED/DCND/Q-140-2015</w:t>
      </w:r>
      <w:r w:rsidR="002D2BB6" w:rsidRPr="000A53F8">
        <w:rPr>
          <w:rFonts w:asciiTheme="minorBidi" w:hAnsiTheme="minorBidi" w:cstheme="minorBidi"/>
          <w:color w:val="000000" w:themeColor="text1"/>
          <w:sz w:val="18"/>
          <w:szCs w:val="18"/>
        </w:rPr>
        <w:t>.</w:t>
      </w:r>
    </w:p>
  </w:footnote>
  <w:footnote w:id="65">
    <w:p w14:paraId="3348157C" w14:textId="7775EAB1" w:rsidR="00B3197B" w:rsidRPr="000A53F8" w:rsidRDefault="00B3197B" w:rsidP="00FD3784">
      <w:pPr>
        <w:pStyle w:val="Textonotapie"/>
        <w:tabs>
          <w:tab w:val="left" w:pos="284"/>
        </w:tabs>
        <w:jc w:val="both"/>
        <w:rPr>
          <w:rFonts w:asciiTheme="minorBidi" w:hAnsiTheme="minorBidi" w:cstheme="minorBidi"/>
          <w:sz w:val="18"/>
          <w:szCs w:val="18"/>
        </w:rPr>
      </w:pPr>
      <w:r w:rsidRPr="000A53F8">
        <w:rPr>
          <w:rStyle w:val="Refdenotaalpie"/>
          <w:rFonts w:asciiTheme="minorBidi" w:hAnsiTheme="minorBidi" w:cstheme="minorBidi"/>
          <w:sz w:val="18"/>
          <w:szCs w:val="18"/>
        </w:rPr>
        <w:footnoteRef/>
      </w:r>
      <w:r w:rsidRPr="000A53F8">
        <w:rPr>
          <w:rFonts w:asciiTheme="minorBidi" w:hAnsiTheme="minorBidi" w:cstheme="minorBidi"/>
          <w:sz w:val="18"/>
          <w:szCs w:val="18"/>
        </w:rPr>
        <w:t xml:space="preserve"> </w:t>
      </w:r>
      <w:r w:rsidRPr="000A53F8">
        <w:rPr>
          <w:rFonts w:asciiTheme="minorBidi" w:hAnsiTheme="minorBidi" w:cstheme="minorBidi"/>
          <w:color w:val="000000" w:themeColor="text1"/>
          <w:sz w:val="18"/>
          <w:szCs w:val="18"/>
        </w:rPr>
        <w:t>Expediente de COPRED, foja</w:t>
      </w:r>
      <w:r w:rsidR="005745F3" w:rsidRPr="000A53F8">
        <w:rPr>
          <w:rFonts w:asciiTheme="minorBidi" w:hAnsiTheme="minorBidi" w:cstheme="minorBidi"/>
          <w:color w:val="000000" w:themeColor="text1"/>
          <w:sz w:val="18"/>
          <w:szCs w:val="18"/>
        </w:rPr>
        <w:t>s</w:t>
      </w:r>
      <w:r w:rsidRPr="000A53F8">
        <w:rPr>
          <w:rFonts w:asciiTheme="minorBidi" w:hAnsiTheme="minorBidi" w:cstheme="minorBidi"/>
          <w:color w:val="000000" w:themeColor="text1"/>
          <w:sz w:val="18"/>
          <w:szCs w:val="18"/>
        </w:rPr>
        <w:t xml:space="preserve"> 2</w:t>
      </w:r>
      <w:r w:rsidR="005745F3" w:rsidRPr="000A53F8">
        <w:rPr>
          <w:rFonts w:asciiTheme="minorBidi" w:hAnsiTheme="minorBidi" w:cstheme="minorBidi"/>
          <w:color w:val="000000" w:themeColor="text1"/>
          <w:sz w:val="18"/>
          <w:szCs w:val="18"/>
        </w:rPr>
        <w:t>8 y 29</w:t>
      </w:r>
      <w:r w:rsidRPr="000A53F8">
        <w:rPr>
          <w:rFonts w:asciiTheme="minorBidi" w:hAnsiTheme="minorBidi" w:cstheme="minorBidi"/>
          <w:color w:val="000000" w:themeColor="text1"/>
          <w:sz w:val="18"/>
          <w:szCs w:val="18"/>
        </w:rPr>
        <w:t>.</w:t>
      </w:r>
    </w:p>
  </w:footnote>
  <w:footnote w:id="66">
    <w:p w14:paraId="333BEA3B" w14:textId="4D405DC8" w:rsidR="00767FF0" w:rsidRPr="000A53F8" w:rsidRDefault="00767FF0" w:rsidP="00FD3784">
      <w:pPr>
        <w:tabs>
          <w:tab w:val="left" w:pos="284"/>
          <w:tab w:val="left" w:pos="1622"/>
        </w:tabs>
        <w:jc w:val="both"/>
        <w:rPr>
          <w:rFonts w:asciiTheme="minorBidi" w:hAnsiTheme="minorBidi"/>
          <w:color w:val="000000" w:themeColor="text1"/>
          <w:sz w:val="18"/>
          <w:szCs w:val="18"/>
        </w:rPr>
      </w:pPr>
      <w:r w:rsidRPr="000A53F8">
        <w:rPr>
          <w:rStyle w:val="Refdenotaalpie"/>
          <w:rFonts w:asciiTheme="minorBidi" w:hAnsiTheme="minorBidi"/>
          <w:color w:val="000000" w:themeColor="text1"/>
          <w:sz w:val="18"/>
          <w:szCs w:val="18"/>
        </w:rPr>
        <w:footnoteRef/>
      </w:r>
      <w:r w:rsidRPr="000A53F8">
        <w:rPr>
          <w:rFonts w:asciiTheme="minorBidi" w:hAnsiTheme="minorBidi"/>
          <w:color w:val="000000" w:themeColor="text1"/>
          <w:sz w:val="18"/>
          <w:szCs w:val="18"/>
        </w:rPr>
        <w:t xml:space="preserve"> </w:t>
      </w:r>
      <w:r w:rsidR="00B84800" w:rsidRPr="000A53F8">
        <w:rPr>
          <w:rFonts w:asciiTheme="minorBidi" w:hAnsiTheme="minorBidi"/>
          <w:color w:val="000000" w:themeColor="text1"/>
          <w:sz w:val="18"/>
          <w:szCs w:val="18"/>
        </w:rPr>
        <w:t xml:space="preserve">Juicio ordinario civil 1137/2017, tomo I, foja </w:t>
      </w:r>
      <w:r w:rsidRPr="000A53F8">
        <w:rPr>
          <w:rFonts w:asciiTheme="minorBidi" w:hAnsiTheme="minorBidi"/>
          <w:color w:val="000000" w:themeColor="text1"/>
          <w:sz w:val="18"/>
          <w:szCs w:val="18"/>
        </w:rPr>
        <w:t xml:space="preserve">288. </w:t>
      </w:r>
    </w:p>
  </w:footnote>
  <w:footnote w:id="67">
    <w:p w14:paraId="15021112" w14:textId="395AA77C" w:rsidR="00BC7DC3" w:rsidRPr="000A53F8" w:rsidRDefault="00BC7DC3"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00B84800" w:rsidRPr="000A53F8">
        <w:rPr>
          <w:rFonts w:asciiTheme="minorBidi" w:hAnsiTheme="minorBidi" w:cstheme="minorBidi"/>
          <w:i/>
          <w:iCs/>
          <w:color w:val="000000" w:themeColor="text1"/>
          <w:sz w:val="18"/>
          <w:szCs w:val="18"/>
        </w:rPr>
        <w:t>Ibidem</w:t>
      </w:r>
      <w:r w:rsidR="00B84800" w:rsidRPr="000A53F8">
        <w:rPr>
          <w:rFonts w:asciiTheme="minorBidi" w:hAnsiTheme="minorBidi" w:cstheme="minorBidi"/>
          <w:color w:val="000000" w:themeColor="text1"/>
          <w:sz w:val="18"/>
          <w:szCs w:val="18"/>
        </w:rPr>
        <w:t xml:space="preserve">, foja </w:t>
      </w:r>
      <w:r w:rsidRPr="000A53F8">
        <w:rPr>
          <w:rFonts w:asciiTheme="minorBidi" w:hAnsiTheme="minorBidi" w:cstheme="minorBidi"/>
          <w:color w:val="000000" w:themeColor="text1"/>
          <w:sz w:val="18"/>
          <w:szCs w:val="18"/>
        </w:rPr>
        <w:t xml:space="preserve">287. </w:t>
      </w:r>
    </w:p>
  </w:footnote>
  <w:footnote w:id="68">
    <w:p w14:paraId="2790B260" w14:textId="0A71DC8B" w:rsidR="00B84800" w:rsidRDefault="00B84800"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De un análisis integral de los videos y el resto del material probatorio, esta Primera Sala identifica a la mujer 1 como </w:t>
      </w:r>
      <w:r w:rsidRPr="000A53F8">
        <w:rPr>
          <w:rFonts w:asciiTheme="minorBidi" w:hAnsiTheme="minorBidi" w:cstheme="minorBidi"/>
          <w:color w:val="ED0000"/>
          <w:sz w:val="18"/>
          <w:szCs w:val="18"/>
        </w:rPr>
        <w:t xml:space="preserve">JMDF, </w:t>
      </w:r>
      <w:r w:rsidRPr="000A53F8">
        <w:rPr>
          <w:rFonts w:asciiTheme="minorBidi" w:hAnsiTheme="minorBidi" w:cstheme="minorBidi"/>
          <w:color w:val="000000" w:themeColor="text1"/>
          <w:sz w:val="18"/>
          <w:szCs w:val="18"/>
        </w:rPr>
        <w:t xml:space="preserve">a la mujer 2 como </w:t>
      </w:r>
      <w:r w:rsidRPr="000A53F8">
        <w:rPr>
          <w:rFonts w:asciiTheme="minorBidi" w:hAnsiTheme="minorBidi" w:cstheme="minorBidi"/>
          <w:color w:val="ED0000"/>
          <w:sz w:val="18"/>
          <w:szCs w:val="18"/>
        </w:rPr>
        <w:t>AMF</w:t>
      </w:r>
      <w:r w:rsidRPr="000A53F8">
        <w:rPr>
          <w:rFonts w:asciiTheme="minorBidi" w:hAnsiTheme="minorBidi" w:cstheme="minorBidi"/>
          <w:color w:val="000000" w:themeColor="text1"/>
          <w:sz w:val="18"/>
          <w:szCs w:val="18"/>
        </w:rPr>
        <w:t xml:space="preserve">, y a la mujer 3 como </w:t>
      </w:r>
      <w:r w:rsidRPr="000A53F8">
        <w:rPr>
          <w:rFonts w:asciiTheme="minorBidi" w:hAnsiTheme="minorBidi" w:cstheme="minorBidi"/>
          <w:color w:val="ED0000"/>
          <w:sz w:val="18"/>
          <w:szCs w:val="18"/>
        </w:rPr>
        <w:t>LNGB</w:t>
      </w:r>
      <w:r w:rsidRPr="000A53F8">
        <w:rPr>
          <w:rFonts w:asciiTheme="minorBidi" w:hAnsiTheme="minorBidi" w:cstheme="minorBidi"/>
          <w:color w:val="000000" w:themeColor="text1"/>
          <w:sz w:val="18"/>
          <w:szCs w:val="18"/>
        </w:rPr>
        <w:t>.</w:t>
      </w:r>
    </w:p>
    <w:p w14:paraId="0F8DB007" w14:textId="77777777" w:rsidR="004549EB" w:rsidRDefault="004549EB" w:rsidP="00FD3784">
      <w:pPr>
        <w:pStyle w:val="Textonotapie"/>
        <w:tabs>
          <w:tab w:val="left" w:pos="284"/>
        </w:tabs>
        <w:jc w:val="both"/>
        <w:rPr>
          <w:rFonts w:asciiTheme="minorBidi" w:hAnsiTheme="minorBidi" w:cstheme="minorBidi"/>
          <w:color w:val="000000" w:themeColor="text1"/>
          <w:sz w:val="18"/>
          <w:szCs w:val="18"/>
        </w:rPr>
      </w:pPr>
    </w:p>
    <w:p w14:paraId="1DB81F17" w14:textId="77777777" w:rsidR="004549EB" w:rsidRPr="000A53F8" w:rsidRDefault="004549EB" w:rsidP="00FD3784">
      <w:pPr>
        <w:pStyle w:val="Textonotapie"/>
        <w:tabs>
          <w:tab w:val="left" w:pos="284"/>
        </w:tabs>
        <w:jc w:val="both"/>
        <w:rPr>
          <w:rFonts w:asciiTheme="minorBidi" w:hAnsiTheme="minorBidi" w:cstheme="minorBidi"/>
          <w:color w:val="000000" w:themeColor="text1"/>
          <w:sz w:val="18"/>
          <w:szCs w:val="18"/>
        </w:rPr>
      </w:pPr>
    </w:p>
  </w:footnote>
  <w:footnote w:id="69">
    <w:p w14:paraId="118C4DD3" w14:textId="6BCC9D85" w:rsidR="002B6FBD" w:rsidRPr="000A53F8" w:rsidRDefault="002B6FBD" w:rsidP="00FD3784">
      <w:pPr>
        <w:tabs>
          <w:tab w:val="left" w:pos="284"/>
          <w:tab w:val="left" w:pos="1622"/>
        </w:tabs>
        <w:jc w:val="both"/>
        <w:rPr>
          <w:rFonts w:asciiTheme="minorBidi" w:hAnsiTheme="minorBidi"/>
          <w:color w:val="000000" w:themeColor="text1"/>
          <w:sz w:val="18"/>
          <w:szCs w:val="18"/>
        </w:rPr>
      </w:pPr>
      <w:r w:rsidRPr="000A53F8">
        <w:rPr>
          <w:rStyle w:val="Refdenotaalpie"/>
          <w:rFonts w:asciiTheme="minorBidi" w:hAnsiTheme="minorBidi"/>
          <w:color w:val="000000" w:themeColor="text1"/>
          <w:sz w:val="18"/>
          <w:szCs w:val="18"/>
        </w:rPr>
        <w:footnoteRef/>
      </w:r>
      <w:r w:rsidR="00AA388D" w:rsidRPr="000A53F8">
        <w:rPr>
          <w:rFonts w:asciiTheme="minorBidi" w:hAnsiTheme="minorBidi"/>
          <w:color w:val="000000" w:themeColor="text1"/>
          <w:sz w:val="18"/>
          <w:szCs w:val="18"/>
        </w:rPr>
        <w:t xml:space="preserve"> Juicio ordinario civil 1137/2017, tomo I, foja </w:t>
      </w:r>
      <w:r w:rsidRPr="000A53F8">
        <w:rPr>
          <w:rFonts w:asciiTheme="minorBidi" w:hAnsiTheme="minorBidi"/>
          <w:color w:val="000000" w:themeColor="text1"/>
          <w:sz w:val="18"/>
          <w:szCs w:val="18"/>
        </w:rPr>
        <w:t xml:space="preserve">288. </w:t>
      </w:r>
    </w:p>
  </w:footnote>
  <w:footnote w:id="70">
    <w:p w14:paraId="596EC1C9" w14:textId="2D8103A5" w:rsidR="00330029" w:rsidRDefault="00330029"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005F7A11" w:rsidRPr="000A53F8">
        <w:rPr>
          <w:rFonts w:asciiTheme="minorBidi" w:hAnsiTheme="minorBidi" w:cstheme="minorBidi"/>
          <w:color w:val="000000" w:themeColor="text1"/>
          <w:sz w:val="18"/>
          <w:szCs w:val="18"/>
        </w:rPr>
        <w:t>Fojas 64 y siguientes de la sentencia de apelación.</w:t>
      </w:r>
    </w:p>
    <w:p w14:paraId="30DD7606" w14:textId="77777777" w:rsidR="004F5EF1" w:rsidRDefault="004F5EF1" w:rsidP="00FD3784">
      <w:pPr>
        <w:pStyle w:val="Textonotapie"/>
        <w:tabs>
          <w:tab w:val="left" w:pos="284"/>
        </w:tabs>
        <w:jc w:val="both"/>
        <w:rPr>
          <w:rFonts w:asciiTheme="minorBidi" w:hAnsiTheme="minorBidi" w:cstheme="minorBidi"/>
          <w:color w:val="000000" w:themeColor="text1"/>
          <w:sz w:val="18"/>
          <w:szCs w:val="18"/>
        </w:rPr>
      </w:pPr>
    </w:p>
    <w:p w14:paraId="61AE75EF" w14:textId="77777777" w:rsidR="004F5EF1" w:rsidRPr="000A53F8" w:rsidRDefault="004F5EF1" w:rsidP="00FD3784">
      <w:pPr>
        <w:pStyle w:val="Textonotapie"/>
        <w:tabs>
          <w:tab w:val="left" w:pos="284"/>
        </w:tabs>
        <w:jc w:val="both"/>
        <w:rPr>
          <w:rFonts w:asciiTheme="minorBidi" w:hAnsiTheme="minorBidi" w:cstheme="minorBidi"/>
          <w:color w:val="000000" w:themeColor="text1"/>
          <w:sz w:val="18"/>
          <w:szCs w:val="18"/>
        </w:rPr>
      </w:pPr>
    </w:p>
  </w:footnote>
  <w:footnote w:id="71">
    <w:p w14:paraId="73894594" w14:textId="77777777" w:rsidR="00D7533E" w:rsidRPr="000A53F8" w:rsidRDefault="006D7276"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00DA5629" w:rsidRPr="000A53F8">
        <w:rPr>
          <w:rFonts w:asciiTheme="minorBidi" w:hAnsiTheme="minorBidi" w:cstheme="minorBidi"/>
          <w:color w:val="000000" w:themeColor="text1"/>
          <w:sz w:val="18"/>
          <w:szCs w:val="18"/>
        </w:rPr>
        <w:t xml:space="preserve">Consejo para Prevenir y Eliminar la Discriminación de la Ciudad de México, </w:t>
      </w:r>
      <w:r w:rsidR="00D7533E" w:rsidRPr="000A53F8">
        <w:rPr>
          <w:rFonts w:asciiTheme="minorBidi" w:hAnsiTheme="minorBidi" w:cstheme="minorBidi"/>
          <w:color w:val="000000" w:themeColor="text1"/>
          <w:sz w:val="18"/>
          <w:szCs w:val="18"/>
        </w:rPr>
        <w:t xml:space="preserve">“Declaratoria de la CDMX Ciudad Amigable LGBTTTI”, disponible en el sitio web: </w:t>
      </w:r>
      <w:hyperlink r:id="rId1" w:history="1">
        <w:r w:rsidR="00D91AF8" w:rsidRPr="000A53F8">
          <w:rPr>
            <w:rStyle w:val="Hipervnculo"/>
            <w:rFonts w:asciiTheme="minorBidi" w:hAnsiTheme="minorBidi" w:cstheme="minorBidi"/>
            <w:color w:val="000000" w:themeColor="text1"/>
            <w:sz w:val="18"/>
            <w:szCs w:val="18"/>
            <w:u w:val="none"/>
          </w:rPr>
          <w:t>https://copred.cdmx.gob.mx/storage/app/uploads/public/58f/920/529/58f9205295d1c227162062.pdf</w:t>
        </w:r>
      </w:hyperlink>
      <w:r w:rsidR="00D91AF8" w:rsidRPr="000A53F8">
        <w:rPr>
          <w:rFonts w:asciiTheme="minorBidi" w:hAnsiTheme="minorBidi" w:cstheme="minorBidi"/>
          <w:color w:val="000000" w:themeColor="text1"/>
          <w:sz w:val="18"/>
          <w:szCs w:val="18"/>
        </w:rPr>
        <w:t xml:space="preserve"> </w:t>
      </w:r>
    </w:p>
    <w:p w14:paraId="52074416" w14:textId="6274AD86" w:rsidR="001A20FA" w:rsidRPr="000A53F8" w:rsidRDefault="001A20FA" w:rsidP="00FD3784">
      <w:pPr>
        <w:pStyle w:val="Textonotapie"/>
        <w:tabs>
          <w:tab w:val="left" w:pos="284"/>
        </w:tabs>
        <w:jc w:val="both"/>
        <w:rPr>
          <w:rFonts w:asciiTheme="minorBidi" w:hAnsiTheme="minorBidi" w:cstheme="minorBidi"/>
          <w:color w:val="000000" w:themeColor="text1"/>
          <w:sz w:val="18"/>
          <w:szCs w:val="18"/>
        </w:rPr>
      </w:pPr>
      <w:r w:rsidRPr="000A53F8">
        <w:rPr>
          <w:rFonts w:asciiTheme="minorBidi" w:hAnsiTheme="minorBidi" w:cstheme="minorBidi"/>
          <w:color w:val="000000" w:themeColor="text1"/>
          <w:sz w:val="18"/>
          <w:szCs w:val="18"/>
        </w:rPr>
        <w:t>Sirve de apoyo, la jurisprudencia de rubro y texto: “HECHOS NOTORIOS. CONCEPTOS GENERAL Y JURÍDICO. Conforme al artículo 88 del Código Federal de Procedimientos Civiles los tribunales pueden invocar hechos notorios aunque no hayan sido alegados ni probados por las partes. Por hechos notorios deben entenderse, en general, aquellos que por el conocimiento humano se consideran ciertos e indiscutibles, ya sea que pertenezcan a la historia, a la ciencia, a la naturaleza, a las vicisitudes de la vida pública actual o a circunstancias comúnmente conocidas en un determinado lugar, de modo que toda persona de ese medio esté en condiciones de saberlo; y desde el punto de vista jurídico, hecho notorio es cualquier acontecimiento de dominio público conocido por todos o casi todos los miembros de un círculo social en el momento en que va a pronunciarse la decisión judicial, respecto del cual no hay duda ni discusión; de manera que al ser notorio la ley exime de su prueba, por ser del conocimiento público en el medio social donde ocurrió o donde se tramita el procedimiento”.</w:t>
      </w:r>
      <w:r w:rsidR="00520320" w:rsidRPr="000A53F8">
        <w:rPr>
          <w:rFonts w:asciiTheme="minorBidi" w:hAnsiTheme="minorBidi" w:cstheme="minorBidi"/>
          <w:color w:val="000000" w:themeColor="text1"/>
          <w:sz w:val="18"/>
          <w:szCs w:val="18"/>
        </w:rPr>
        <w:t xml:space="preserve"> Registro digital: 174899; Instancia: Pleno; Novena Época; Materia(s): Común; Tesis: P./J. 74/2006; Fuente: Semanario Judicial de la Federación y su Gaceta; Tomo XXIII, </w:t>
      </w:r>
      <w:r w:rsidR="00D2243F" w:rsidRPr="000A53F8">
        <w:rPr>
          <w:rFonts w:asciiTheme="minorBidi" w:hAnsiTheme="minorBidi" w:cstheme="minorBidi"/>
          <w:color w:val="000000" w:themeColor="text1"/>
          <w:sz w:val="18"/>
          <w:szCs w:val="18"/>
        </w:rPr>
        <w:t>junio</w:t>
      </w:r>
      <w:r w:rsidR="00520320" w:rsidRPr="000A53F8">
        <w:rPr>
          <w:rFonts w:asciiTheme="minorBidi" w:hAnsiTheme="minorBidi" w:cstheme="minorBidi"/>
          <w:color w:val="000000" w:themeColor="text1"/>
          <w:sz w:val="18"/>
          <w:szCs w:val="18"/>
        </w:rPr>
        <w:t xml:space="preserve"> de 2006, página 963; Tipo: Jurisprudencia.</w:t>
      </w:r>
    </w:p>
  </w:footnote>
  <w:footnote w:id="72">
    <w:p w14:paraId="013B9000" w14:textId="77777777" w:rsidR="00CF4C30" w:rsidRPr="000A53F8" w:rsidRDefault="00CF4C30"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De conformidad con el Consejo de Derechos Humanos de las Naciones Unidas, “[e]l género describe una construcción sociocultural que atribuye ciertos roles, comportamientos, formas de expresión, actividades y atributos que se determinan como apropiados según el significado dado a las características sexuales biológicas”. Organización de las Naciones Unidas, Consejo de Derechos Humanos. “El derecho de la inclusión”. Informe del Experto Independiente sobre la protección contra la violencia y la discriminación por motivos de orientación sexual o identidad de género, Víctor Madrigal-Borloz. 47º período de sesiones. Tema 3 de la agenda. 3 de junio de 2021. A/HRC/47/27, párr. 79.</w:t>
      </w:r>
    </w:p>
  </w:footnote>
  <w:footnote w:id="73">
    <w:p w14:paraId="3D5CE9A2" w14:textId="63D43255" w:rsidR="004549EB" w:rsidRPr="000A53F8" w:rsidRDefault="001D1DF0"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sz w:val="18"/>
          <w:szCs w:val="18"/>
        </w:rPr>
        <w:footnoteRef/>
      </w:r>
      <w:r w:rsidRPr="000A53F8">
        <w:rPr>
          <w:rFonts w:asciiTheme="minorBidi" w:hAnsiTheme="minorBidi" w:cstheme="minorBidi"/>
          <w:sz w:val="18"/>
          <w:szCs w:val="18"/>
        </w:rPr>
        <w:t xml:space="preserve"> </w:t>
      </w:r>
      <w:r w:rsidR="00500470" w:rsidRPr="000A53F8">
        <w:rPr>
          <w:rFonts w:asciiTheme="minorBidi" w:hAnsiTheme="minorBidi" w:cstheme="minorBidi"/>
          <w:sz w:val="18"/>
          <w:szCs w:val="18"/>
        </w:rPr>
        <w:t xml:space="preserve">Es criterio de esta Sala que </w:t>
      </w:r>
      <w:r w:rsidR="00500470" w:rsidRPr="000A53F8">
        <w:rPr>
          <w:rFonts w:asciiTheme="minorBidi" w:hAnsiTheme="minorBidi" w:cstheme="minorBidi"/>
          <w:color w:val="000000" w:themeColor="text1"/>
          <w:sz w:val="18"/>
          <w:szCs w:val="18"/>
        </w:rPr>
        <w:t>l</w:t>
      </w:r>
      <w:r w:rsidR="00500470" w:rsidRPr="000A53F8">
        <w:rPr>
          <w:rFonts w:asciiTheme="minorBidi" w:hAnsiTheme="minorBidi" w:cstheme="minorBidi"/>
          <w:sz w:val="18"/>
          <w:szCs w:val="18"/>
        </w:rPr>
        <w:t xml:space="preserve">a protección especial del orden jurídico a grupos sociales por motivo de género surge como respuesta ante la amplia evidencia </w:t>
      </w:r>
      <w:r w:rsidR="00500470" w:rsidRPr="000A53F8">
        <w:rPr>
          <w:rFonts w:asciiTheme="minorBidi" w:hAnsiTheme="minorBidi" w:cstheme="minorBidi"/>
          <w:sz w:val="18"/>
          <w:szCs w:val="18"/>
          <w:bdr w:val="none" w:sz="0" w:space="0" w:color="auto" w:frame="1"/>
        </w:rPr>
        <w:t>de un orden social en el que los roles de género condicionan a las mujeres y a personas de diversidad sexo-genérica a permanecer en una posición de subordinación y, en tal medida, a ver limitado el pleno goce y ejercicio de sus derechos fundamentales, lo cual vulnera su derecho a la igualdad.</w:t>
      </w:r>
      <w:r w:rsidR="00500470" w:rsidRPr="000A53F8">
        <w:rPr>
          <w:rFonts w:asciiTheme="minorBidi" w:hAnsiTheme="minorBidi" w:cstheme="minorBidi"/>
          <w:sz w:val="18"/>
          <w:szCs w:val="18"/>
        </w:rPr>
        <w:t xml:space="preserve"> Asimismo,</w:t>
      </w:r>
      <w:r w:rsidR="00606B21" w:rsidRPr="000A53F8">
        <w:rPr>
          <w:rFonts w:asciiTheme="minorBidi" w:hAnsiTheme="minorBidi" w:cstheme="minorBidi"/>
          <w:sz w:val="18"/>
          <w:szCs w:val="18"/>
        </w:rPr>
        <w:t xml:space="preserve"> hemos identificado </w:t>
      </w:r>
      <w:r w:rsidR="00500470" w:rsidRPr="000A53F8">
        <w:rPr>
          <w:rFonts w:asciiTheme="minorBidi" w:hAnsiTheme="minorBidi" w:cstheme="minorBidi"/>
          <w:sz w:val="18"/>
          <w:szCs w:val="18"/>
        </w:rPr>
        <w:t xml:space="preserve">que el derecho a la igualdad </w:t>
      </w:r>
      <w:r w:rsidR="00500470" w:rsidRPr="000A53F8">
        <w:rPr>
          <w:rFonts w:asciiTheme="minorBidi" w:hAnsiTheme="minorBidi" w:cstheme="minorBidi"/>
          <w:sz w:val="18"/>
          <w:szCs w:val="18"/>
          <w:bdr w:val="none" w:sz="0" w:space="0" w:color="auto" w:frame="1"/>
        </w:rPr>
        <w:t xml:space="preserve">y no discriminación por motivos de género se encuentra estrechamente vinculado con el derecho a una vida libre de violencia. </w:t>
      </w:r>
      <w:r w:rsidRPr="000A53F8">
        <w:rPr>
          <w:rFonts w:asciiTheme="minorBidi" w:hAnsiTheme="minorBidi" w:cstheme="minorBidi"/>
          <w:i/>
          <w:iCs/>
          <w:color w:val="000000" w:themeColor="text1"/>
          <w:sz w:val="18"/>
          <w:szCs w:val="18"/>
        </w:rPr>
        <w:t>Vid</w:t>
      </w:r>
      <w:r w:rsidRPr="000A53F8">
        <w:rPr>
          <w:rFonts w:asciiTheme="minorBidi" w:hAnsiTheme="minorBidi" w:cstheme="minorBidi"/>
          <w:color w:val="000000" w:themeColor="text1"/>
          <w:sz w:val="18"/>
          <w:szCs w:val="18"/>
        </w:rPr>
        <w:t xml:space="preserve">., el amparo directo 7/2021, resuelto en sesión de 17 de enero de 2024, por unanimidad de cinco votos de los ministros y las ministras Loretta Ortiz Ahlf, Juan Luis González Alcántara Carrancá, Ana Margarita Ríos Farjat, Alfredo Gutiérrez Ortiz Mena (ponente) y presidente Jorge Mario Pardo Rebolledo; párr. </w:t>
      </w:r>
      <w:r w:rsidR="00500470" w:rsidRPr="000A53F8">
        <w:rPr>
          <w:rFonts w:asciiTheme="minorBidi" w:hAnsiTheme="minorBidi" w:cstheme="minorBidi"/>
          <w:color w:val="000000" w:themeColor="text1"/>
          <w:sz w:val="18"/>
          <w:szCs w:val="18"/>
        </w:rPr>
        <w:t>62 y 63</w:t>
      </w:r>
      <w:r w:rsidRPr="000A53F8">
        <w:rPr>
          <w:rFonts w:asciiTheme="minorBidi" w:hAnsiTheme="minorBidi" w:cstheme="minorBidi"/>
          <w:color w:val="000000" w:themeColor="text1"/>
          <w:sz w:val="18"/>
          <w:szCs w:val="18"/>
        </w:rPr>
        <w:t>.</w:t>
      </w:r>
      <w:r w:rsidR="002A5FA0">
        <w:rPr>
          <w:rFonts w:asciiTheme="minorBidi" w:hAnsiTheme="minorBidi" w:cstheme="minorBidi"/>
          <w:color w:val="000000" w:themeColor="text1"/>
          <w:sz w:val="18"/>
          <w:szCs w:val="18"/>
        </w:rPr>
        <w:t xml:space="preserve"> </w:t>
      </w:r>
    </w:p>
  </w:footnote>
  <w:footnote w:id="74">
    <w:p w14:paraId="5FC4D8A7" w14:textId="26F544B6" w:rsidR="00D63571" w:rsidRPr="000A53F8" w:rsidRDefault="00D63571" w:rsidP="00FD3784">
      <w:pPr>
        <w:pStyle w:val="Textonotapie"/>
        <w:jc w:val="both"/>
        <w:rPr>
          <w:rFonts w:asciiTheme="minorBidi" w:hAnsiTheme="minorBidi" w:cstheme="minorBidi"/>
          <w:sz w:val="18"/>
          <w:szCs w:val="18"/>
        </w:rPr>
      </w:pPr>
      <w:r w:rsidRPr="000A53F8">
        <w:rPr>
          <w:rStyle w:val="Refdenotaalpie"/>
          <w:rFonts w:asciiTheme="minorBidi" w:hAnsiTheme="minorBidi" w:cstheme="minorBidi"/>
          <w:sz w:val="18"/>
          <w:szCs w:val="18"/>
        </w:rPr>
        <w:footnoteRef/>
      </w:r>
      <w:r w:rsidRPr="000A53F8">
        <w:rPr>
          <w:rFonts w:asciiTheme="minorBidi" w:hAnsiTheme="minorBidi" w:cstheme="minorBidi"/>
          <w:sz w:val="18"/>
          <w:szCs w:val="18"/>
        </w:rPr>
        <w:t xml:space="preserve"> </w:t>
      </w:r>
      <w:r w:rsidR="002C6301" w:rsidRPr="000A53F8">
        <w:rPr>
          <w:rFonts w:asciiTheme="minorBidi" w:hAnsiTheme="minorBidi" w:cstheme="minorBidi"/>
          <w:sz w:val="18"/>
          <w:szCs w:val="18"/>
        </w:rPr>
        <w:t>Una guía práctica para juzgar con perspectiva de género en asuntos en los que intervienen personas con una orientación sexual identidad y/o expresión de género diversa</w:t>
      </w:r>
      <w:r w:rsidR="00ED5134" w:rsidRPr="000A53F8">
        <w:rPr>
          <w:rFonts w:asciiTheme="minorBidi" w:hAnsiTheme="minorBidi" w:cstheme="minorBidi"/>
          <w:sz w:val="18"/>
          <w:szCs w:val="18"/>
        </w:rPr>
        <w:t xml:space="preserve"> </w:t>
      </w:r>
      <w:r w:rsidR="002C6301" w:rsidRPr="000A53F8">
        <w:rPr>
          <w:rFonts w:asciiTheme="minorBidi" w:hAnsiTheme="minorBidi" w:cstheme="minorBidi"/>
          <w:sz w:val="18"/>
          <w:szCs w:val="18"/>
        </w:rPr>
        <w:t xml:space="preserve">se encuentra en el </w:t>
      </w:r>
      <w:r w:rsidR="002C6301" w:rsidRPr="000A53F8">
        <w:rPr>
          <w:rFonts w:asciiTheme="minorBidi" w:hAnsiTheme="minorBidi" w:cstheme="minorBidi"/>
          <w:i/>
          <w:iCs/>
          <w:sz w:val="18"/>
          <w:szCs w:val="18"/>
        </w:rPr>
        <w:t>Protocolo para Juzgar con perspectiva de orientación sexual, identidad y expresión de género, y características sexuale</w:t>
      </w:r>
      <w:r w:rsidR="00ED5134" w:rsidRPr="000A53F8">
        <w:rPr>
          <w:rFonts w:asciiTheme="minorBidi" w:hAnsiTheme="minorBidi" w:cstheme="minorBidi"/>
          <w:i/>
          <w:iCs/>
          <w:sz w:val="18"/>
          <w:szCs w:val="18"/>
        </w:rPr>
        <w:t>s</w:t>
      </w:r>
      <w:r w:rsidR="00ED5134" w:rsidRPr="000A53F8">
        <w:rPr>
          <w:rFonts w:asciiTheme="minorBidi" w:hAnsiTheme="minorBidi" w:cstheme="minorBidi"/>
          <w:sz w:val="18"/>
          <w:szCs w:val="18"/>
        </w:rPr>
        <w:t>, el cual se construyó a partir de la doctrina judicial de esta Suprema Corte de Justicia de la Nación</w:t>
      </w:r>
      <w:r w:rsidR="007B3E42" w:rsidRPr="000A53F8">
        <w:rPr>
          <w:rFonts w:asciiTheme="minorBidi" w:hAnsiTheme="minorBidi" w:cstheme="minorBidi"/>
          <w:sz w:val="18"/>
          <w:szCs w:val="18"/>
        </w:rPr>
        <w:t xml:space="preserve"> en la materia</w:t>
      </w:r>
      <w:r w:rsidR="002C6301" w:rsidRPr="000A53F8">
        <w:rPr>
          <w:rFonts w:asciiTheme="minorBidi" w:hAnsiTheme="minorBidi" w:cstheme="minorBidi"/>
          <w:sz w:val="18"/>
          <w:szCs w:val="18"/>
        </w:rPr>
        <w:t>. Suprema Corte de Justicia de la Nación, Dirección General de Derechos Humanos, 2022.</w:t>
      </w:r>
    </w:p>
  </w:footnote>
  <w:footnote w:id="75">
    <w:p w14:paraId="05EBF1CA" w14:textId="27F23F4D" w:rsidR="00E23633" w:rsidRPr="000A53F8" w:rsidRDefault="00764BF2" w:rsidP="00FD3784">
      <w:pPr>
        <w:pStyle w:val="Textonotapie"/>
        <w:jc w:val="both"/>
        <w:rPr>
          <w:rFonts w:asciiTheme="minorBidi" w:hAnsiTheme="minorBidi" w:cstheme="minorBidi"/>
          <w:sz w:val="18"/>
          <w:szCs w:val="18"/>
        </w:rPr>
      </w:pPr>
      <w:r w:rsidRPr="000A53F8">
        <w:rPr>
          <w:rStyle w:val="Refdenotaalpie"/>
          <w:rFonts w:asciiTheme="minorBidi" w:hAnsiTheme="minorBidi" w:cstheme="minorBidi"/>
          <w:sz w:val="18"/>
          <w:szCs w:val="18"/>
        </w:rPr>
        <w:footnoteRef/>
      </w:r>
      <w:r w:rsidRPr="000A53F8">
        <w:rPr>
          <w:rFonts w:asciiTheme="minorBidi" w:hAnsiTheme="minorBidi" w:cstheme="minorBidi"/>
          <w:sz w:val="18"/>
          <w:szCs w:val="18"/>
        </w:rPr>
        <w:t xml:space="preserve"> Los estereotipos de género a los que ordinariamente se pueden enfrentar las personas LGBT</w:t>
      </w:r>
      <w:r w:rsidR="00061CCA" w:rsidRPr="000A53F8">
        <w:rPr>
          <w:rFonts w:asciiTheme="minorBidi" w:hAnsiTheme="minorBidi" w:cstheme="minorBidi"/>
          <w:sz w:val="18"/>
          <w:szCs w:val="18"/>
        </w:rPr>
        <w:t>Q</w:t>
      </w:r>
      <w:r w:rsidRPr="000A53F8">
        <w:rPr>
          <w:rFonts w:asciiTheme="minorBidi" w:hAnsiTheme="minorBidi" w:cstheme="minorBidi"/>
          <w:sz w:val="18"/>
          <w:szCs w:val="18"/>
        </w:rPr>
        <w:t xml:space="preserve">+ se refieren a aspectos como i) la forma como se relacionan afectiva y sexualmente; ii) su aptitud para formar una familia y criar; iii) su capacidad para autodeterminar su orientación sexual e identidad de género; iv) la forma como deben asumir y expresar su identidad de género; v) la patologización de las orientaciones sexuales o identidades de género diversas, y vi) el estigma de que representan un riesgo para la integridad, seguridad y privacidad de las demás personas, particularmente respecto a las infancias y mujeres cisgénero. </w:t>
      </w:r>
    </w:p>
    <w:p w14:paraId="03FB3C45" w14:textId="77777777" w:rsidR="0093548F" w:rsidRPr="000A53F8" w:rsidRDefault="00E23633" w:rsidP="00FD3784">
      <w:pPr>
        <w:pStyle w:val="Textonotapie"/>
        <w:jc w:val="both"/>
        <w:rPr>
          <w:rFonts w:asciiTheme="minorBidi" w:hAnsiTheme="minorBidi" w:cstheme="minorBidi"/>
          <w:color w:val="000000" w:themeColor="text1"/>
          <w:sz w:val="18"/>
          <w:szCs w:val="18"/>
        </w:rPr>
      </w:pPr>
      <w:r w:rsidRPr="000A53F8">
        <w:rPr>
          <w:rFonts w:asciiTheme="minorBidi" w:hAnsiTheme="minorBidi" w:cstheme="minorBidi"/>
          <w:i/>
          <w:iCs/>
          <w:color w:val="000000" w:themeColor="text1"/>
          <w:sz w:val="18"/>
          <w:szCs w:val="18"/>
        </w:rPr>
        <w:t>Vid</w:t>
      </w:r>
      <w:r w:rsidRPr="000A53F8">
        <w:rPr>
          <w:rFonts w:asciiTheme="minorBidi" w:hAnsiTheme="minorBidi" w:cstheme="minorBidi"/>
          <w:color w:val="000000" w:themeColor="text1"/>
          <w:sz w:val="18"/>
          <w:szCs w:val="18"/>
        </w:rPr>
        <w:t xml:space="preserve">., lo resuelto en la acción de inconstitucionalidad 2/2010, en la que el entonces Procurador General de la República combatió el derecho de las parejas del mismo sexo de contraer matrimonio y adoptar a niños o niñas. Acción de inconstitucionalidad 2/2010, resuelta en sesión de 16 de agosto de 2010, por el Tribunal Pleno. </w:t>
      </w:r>
    </w:p>
    <w:p w14:paraId="5B8DD265" w14:textId="77777777" w:rsidR="00163945" w:rsidRPr="000A53F8" w:rsidRDefault="00E23633" w:rsidP="00FD3784">
      <w:pPr>
        <w:pStyle w:val="Textonotapie"/>
        <w:jc w:val="both"/>
        <w:rPr>
          <w:rFonts w:asciiTheme="minorBidi" w:hAnsiTheme="minorBidi" w:cstheme="minorBidi"/>
          <w:color w:val="000000" w:themeColor="text1"/>
          <w:sz w:val="18"/>
          <w:szCs w:val="18"/>
        </w:rPr>
      </w:pPr>
      <w:r w:rsidRPr="000A53F8">
        <w:rPr>
          <w:rFonts w:asciiTheme="minorBidi" w:hAnsiTheme="minorBidi" w:cstheme="minorBidi"/>
          <w:color w:val="000000" w:themeColor="text1"/>
          <w:sz w:val="18"/>
          <w:szCs w:val="18"/>
        </w:rPr>
        <w:t xml:space="preserve">Por su parte, </w:t>
      </w:r>
      <w:r w:rsidR="00ED6AC2" w:rsidRPr="000A53F8">
        <w:rPr>
          <w:rFonts w:asciiTheme="minorBidi" w:hAnsiTheme="minorBidi" w:cstheme="minorBidi"/>
          <w:color w:val="000000" w:themeColor="text1"/>
          <w:sz w:val="18"/>
          <w:szCs w:val="18"/>
        </w:rPr>
        <w:t xml:space="preserve">el Experto Independiente sobre la protección contra la violencia y la discriminación por motivos de orientación sexual o identidad de género reportó que, en el 2019, la Asamblea Mundial de la Salud de la Organización Mundial de la Salud aprobó la undécima revisión de la Clasificación Internacional de Enfermedades (CIE). Dicha revisión eliminó las categorías “trans” del capítulo sobre trastornos mentales y del comportamiento, por lo que ser trans ya no se considera una patología. Ahora, se creó una nueva categoría relacionada con las identidades trans en un capítulo sobre condiciones relacionadas con la salud sexual: “incongruencia de género en la adolescencia y la adultez”. </w:t>
      </w:r>
      <w:r w:rsidR="00ED6AC2" w:rsidRPr="000A53F8">
        <w:rPr>
          <w:rFonts w:asciiTheme="minorBidi" w:hAnsiTheme="minorBidi" w:cstheme="minorBidi"/>
          <w:i/>
          <w:iCs/>
          <w:color w:val="000000" w:themeColor="text1"/>
          <w:sz w:val="18"/>
          <w:szCs w:val="18"/>
        </w:rPr>
        <w:t>Vid</w:t>
      </w:r>
      <w:r w:rsidR="00ED6AC2" w:rsidRPr="000A53F8">
        <w:rPr>
          <w:rFonts w:asciiTheme="minorBidi" w:hAnsiTheme="minorBidi" w:cstheme="minorBidi"/>
          <w:color w:val="000000" w:themeColor="text1"/>
          <w:sz w:val="18"/>
          <w:szCs w:val="18"/>
        </w:rPr>
        <w:t>., Organización de las Naciones Unidas, Asamblea General. “Protección contra la violencia y la discriminación por motivos de orientación sexual o identidad de género”, 12 de julio de 2018, A/73/152; párr. 12.</w:t>
      </w:r>
      <w:r w:rsidR="004C3160" w:rsidRPr="000A53F8">
        <w:rPr>
          <w:rFonts w:asciiTheme="minorBidi" w:hAnsiTheme="minorBidi" w:cstheme="minorBidi"/>
          <w:color w:val="000000" w:themeColor="text1"/>
          <w:sz w:val="18"/>
          <w:szCs w:val="18"/>
        </w:rPr>
        <w:t xml:space="preserve"> </w:t>
      </w:r>
    </w:p>
    <w:p w14:paraId="64AAC9A1" w14:textId="4482734B" w:rsidR="00764BF2" w:rsidRPr="000A53F8" w:rsidRDefault="00C54DBC" w:rsidP="00FD3784">
      <w:pPr>
        <w:pStyle w:val="Textonotapie"/>
        <w:jc w:val="both"/>
        <w:rPr>
          <w:rFonts w:asciiTheme="minorBidi" w:hAnsiTheme="minorBidi" w:cstheme="minorBidi"/>
          <w:sz w:val="18"/>
          <w:szCs w:val="18"/>
        </w:rPr>
      </w:pPr>
      <w:r w:rsidRPr="000A53F8">
        <w:rPr>
          <w:rFonts w:asciiTheme="minorBidi" w:hAnsiTheme="minorBidi" w:cstheme="minorBidi"/>
          <w:color w:val="000000" w:themeColor="text1"/>
          <w:sz w:val="18"/>
          <w:szCs w:val="18"/>
        </w:rPr>
        <w:t xml:space="preserve">Finalmente, </w:t>
      </w:r>
      <w:r w:rsidR="005E0BA1" w:rsidRPr="000A53F8">
        <w:rPr>
          <w:rFonts w:asciiTheme="minorBidi" w:hAnsiTheme="minorBidi" w:cstheme="minorBidi"/>
          <w:color w:val="000000" w:themeColor="text1"/>
          <w:sz w:val="18"/>
          <w:szCs w:val="18"/>
        </w:rPr>
        <w:t>respecto del estigma de las p</w:t>
      </w:r>
      <w:r w:rsidR="008C5B69" w:rsidRPr="000A53F8">
        <w:rPr>
          <w:rFonts w:asciiTheme="minorBidi" w:hAnsiTheme="minorBidi" w:cstheme="minorBidi"/>
          <w:color w:val="000000" w:themeColor="text1"/>
          <w:sz w:val="18"/>
          <w:szCs w:val="18"/>
        </w:rPr>
        <w:t xml:space="preserve">ersonas trans como peligrosas, </w:t>
      </w:r>
      <w:r w:rsidRPr="000A53F8">
        <w:rPr>
          <w:rFonts w:asciiTheme="minorBidi" w:hAnsiTheme="minorBidi" w:cstheme="minorBidi"/>
          <w:i/>
          <w:iCs/>
          <w:color w:val="000000" w:themeColor="text1"/>
          <w:sz w:val="18"/>
          <w:szCs w:val="18"/>
        </w:rPr>
        <w:t>v</w:t>
      </w:r>
      <w:r w:rsidR="004C3160" w:rsidRPr="000A53F8">
        <w:rPr>
          <w:rFonts w:asciiTheme="minorBidi" w:hAnsiTheme="minorBidi" w:cstheme="minorBidi"/>
          <w:i/>
          <w:iCs/>
          <w:color w:val="000000" w:themeColor="text1"/>
          <w:sz w:val="18"/>
          <w:szCs w:val="18"/>
        </w:rPr>
        <w:t>id</w:t>
      </w:r>
      <w:r w:rsidR="004C3160" w:rsidRPr="000A53F8">
        <w:rPr>
          <w:rFonts w:asciiTheme="minorBidi" w:hAnsiTheme="minorBidi" w:cstheme="minorBidi"/>
          <w:color w:val="000000" w:themeColor="text1"/>
          <w:sz w:val="18"/>
          <w:szCs w:val="18"/>
        </w:rPr>
        <w:t>., Organización de las Naciones Unidas, Asamblea General. “Protección contra la violencia y la discriminación por motivos de orientación sexual o identidad de género”, 15 de julio de 2021, A/76/152; párr. 47.</w:t>
      </w:r>
    </w:p>
  </w:footnote>
  <w:footnote w:id="76">
    <w:p w14:paraId="22F94022" w14:textId="72ED9D69" w:rsidR="002240BF" w:rsidRPr="000A53F8" w:rsidRDefault="002240BF" w:rsidP="00FD3784">
      <w:pPr>
        <w:pStyle w:val="Textonotapie"/>
        <w:tabs>
          <w:tab w:val="left" w:pos="284"/>
        </w:tabs>
        <w:jc w:val="both"/>
        <w:rPr>
          <w:rFonts w:asciiTheme="minorBidi" w:hAnsiTheme="minorBidi" w:cstheme="minorBidi"/>
          <w:color w:val="000000" w:themeColor="text1"/>
          <w:sz w:val="18"/>
          <w:szCs w:val="18"/>
          <w:lang w:val="es-ES"/>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Sentencia de apelación 255/2019, foja</w:t>
      </w:r>
      <w:r w:rsidR="00066AD5" w:rsidRPr="000A53F8">
        <w:rPr>
          <w:rFonts w:asciiTheme="minorBidi" w:hAnsiTheme="minorBidi" w:cstheme="minorBidi"/>
          <w:color w:val="000000" w:themeColor="text1"/>
          <w:sz w:val="18"/>
          <w:szCs w:val="18"/>
        </w:rPr>
        <w:t xml:space="preserve">s 62 y </w:t>
      </w:r>
      <w:r w:rsidR="00185DCB" w:rsidRPr="000A53F8">
        <w:rPr>
          <w:rFonts w:asciiTheme="minorBidi" w:hAnsiTheme="minorBidi" w:cstheme="minorBidi"/>
          <w:color w:val="000000" w:themeColor="text1"/>
          <w:sz w:val="18"/>
          <w:szCs w:val="18"/>
        </w:rPr>
        <w:t>ss</w:t>
      </w:r>
      <w:r w:rsidRPr="000A53F8">
        <w:rPr>
          <w:rFonts w:asciiTheme="minorBidi" w:hAnsiTheme="minorBidi" w:cstheme="minorBidi"/>
          <w:color w:val="000000" w:themeColor="text1"/>
          <w:sz w:val="18"/>
          <w:szCs w:val="18"/>
        </w:rPr>
        <w:t>.</w:t>
      </w:r>
    </w:p>
  </w:footnote>
  <w:footnote w:id="77">
    <w:p w14:paraId="277AF870" w14:textId="383F6391" w:rsidR="00185DCB" w:rsidRPr="000A53F8" w:rsidRDefault="00502F66"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00185DCB" w:rsidRPr="000A53F8">
        <w:rPr>
          <w:rFonts w:asciiTheme="minorBidi" w:hAnsiTheme="minorBidi" w:cstheme="minorBidi"/>
          <w:color w:val="000000" w:themeColor="text1"/>
          <w:sz w:val="18"/>
          <w:szCs w:val="18"/>
        </w:rPr>
        <w:t>Al respecto</w:t>
      </w:r>
      <w:r w:rsidR="00490257" w:rsidRPr="000A53F8">
        <w:rPr>
          <w:rFonts w:asciiTheme="minorBidi" w:hAnsiTheme="minorBidi" w:cstheme="minorBidi"/>
          <w:color w:val="000000" w:themeColor="text1"/>
          <w:sz w:val="18"/>
          <w:szCs w:val="18"/>
        </w:rPr>
        <w:t xml:space="preserve">, se recuerda que el libre desarrollo de la personalidad, junto con el derecho a la identidad personal, supone la necesidad de reconocer que son las personas trans </w:t>
      </w:r>
      <w:r w:rsidR="00490257" w:rsidRPr="000A53F8">
        <w:rPr>
          <w:rFonts w:asciiTheme="minorBidi" w:hAnsiTheme="minorBidi" w:cstheme="minorBidi"/>
          <w:color w:val="000000" w:themeColor="text1"/>
          <w:sz w:val="18"/>
          <w:szCs w:val="18"/>
          <w:shd w:val="clear" w:color="auto" w:fill="FFFFFF"/>
        </w:rPr>
        <w:t xml:space="preserve">—y </w:t>
      </w:r>
      <w:r w:rsidR="00490257" w:rsidRPr="000A53F8">
        <w:rPr>
          <w:rFonts w:asciiTheme="minorBidi" w:hAnsiTheme="minorBidi" w:cstheme="minorBidi"/>
          <w:color w:val="000000" w:themeColor="text1"/>
          <w:sz w:val="18"/>
          <w:szCs w:val="18"/>
        </w:rPr>
        <w:t>no el Estado ni la sociedad</w:t>
      </w:r>
      <w:r w:rsidR="00490257" w:rsidRPr="000A53F8">
        <w:rPr>
          <w:rFonts w:asciiTheme="minorBidi" w:hAnsiTheme="minorBidi" w:cstheme="minorBidi"/>
          <w:color w:val="000000" w:themeColor="text1"/>
          <w:sz w:val="18"/>
          <w:szCs w:val="18"/>
          <w:shd w:val="clear" w:color="auto" w:fill="FFFFFF"/>
        </w:rPr>
        <w:t>—</w:t>
      </w:r>
      <w:r w:rsidR="00490257" w:rsidRPr="000A53F8">
        <w:rPr>
          <w:rFonts w:asciiTheme="minorBidi" w:hAnsiTheme="minorBidi" w:cstheme="minorBidi"/>
          <w:color w:val="000000" w:themeColor="text1"/>
          <w:sz w:val="18"/>
          <w:szCs w:val="18"/>
        </w:rPr>
        <w:t xml:space="preserve"> quienes definen el sentido de su propia existencia e identidad de género. </w:t>
      </w:r>
      <w:r w:rsidR="00490257" w:rsidRPr="000A53F8">
        <w:rPr>
          <w:rFonts w:asciiTheme="minorBidi" w:hAnsiTheme="minorBidi" w:cstheme="minorBidi"/>
          <w:i/>
          <w:iCs/>
          <w:color w:val="000000" w:themeColor="text1"/>
          <w:sz w:val="18"/>
          <w:szCs w:val="18"/>
        </w:rPr>
        <w:t>V</w:t>
      </w:r>
      <w:r w:rsidR="00185DCB" w:rsidRPr="000A53F8">
        <w:rPr>
          <w:rFonts w:asciiTheme="minorBidi" w:hAnsiTheme="minorBidi" w:cstheme="minorBidi"/>
          <w:i/>
          <w:iCs/>
          <w:color w:val="000000" w:themeColor="text1"/>
          <w:sz w:val="18"/>
          <w:szCs w:val="18"/>
        </w:rPr>
        <w:t>id</w:t>
      </w:r>
      <w:r w:rsidR="00185DCB" w:rsidRPr="000A53F8">
        <w:rPr>
          <w:rFonts w:asciiTheme="minorBidi" w:hAnsiTheme="minorBidi" w:cstheme="minorBidi"/>
          <w:color w:val="000000" w:themeColor="text1"/>
          <w:sz w:val="18"/>
          <w:szCs w:val="18"/>
        </w:rPr>
        <w:t>., el amparo directo 6/2008, resuelto en sesión de 6 de enero de 2009, por unanimidad de once votos (ponente: ministro Sergio Valls Hernández); amparo en revisión 1317/2017, resuelto en sesión de 17 de octubre de 2018, por mayoría de cuatro votos (ponente: ministra Norma Lucía Piña Hernández); amparo en revisión 101/2019, resuelto en sesión de 8 de mayo de 2019, por unanimidad de cinco votos</w:t>
      </w:r>
      <w:r w:rsidR="003070C6" w:rsidRPr="000A53F8">
        <w:rPr>
          <w:rFonts w:asciiTheme="minorBidi" w:hAnsiTheme="minorBidi" w:cstheme="minorBidi"/>
          <w:color w:val="000000" w:themeColor="text1"/>
          <w:sz w:val="18"/>
          <w:szCs w:val="18"/>
        </w:rPr>
        <w:t xml:space="preserve"> (p</w:t>
      </w:r>
      <w:r w:rsidR="00185DCB" w:rsidRPr="000A53F8">
        <w:rPr>
          <w:rFonts w:asciiTheme="minorBidi" w:hAnsiTheme="minorBidi" w:cstheme="minorBidi"/>
          <w:color w:val="000000" w:themeColor="text1"/>
          <w:sz w:val="18"/>
          <w:szCs w:val="18"/>
        </w:rPr>
        <w:t>onente</w:t>
      </w:r>
      <w:r w:rsidR="003070C6" w:rsidRPr="000A53F8">
        <w:rPr>
          <w:rFonts w:asciiTheme="minorBidi" w:hAnsiTheme="minorBidi" w:cstheme="minorBidi"/>
          <w:color w:val="000000" w:themeColor="text1"/>
          <w:sz w:val="18"/>
          <w:szCs w:val="18"/>
        </w:rPr>
        <w:t>: m</w:t>
      </w:r>
      <w:r w:rsidR="00185DCB" w:rsidRPr="000A53F8">
        <w:rPr>
          <w:rFonts w:asciiTheme="minorBidi" w:hAnsiTheme="minorBidi" w:cstheme="minorBidi"/>
          <w:color w:val="000000" w:themeColor="text1"/>
          <w:sz w:val="18"/>
          <w:szCs w:val="18"/>
        </w:rPr>
        <w:t>inistro Alberto Pérez Dayán</w:t>
      </w:r>
      <w:r w:rsidR="003070C6" w:rsidRPr="000A53F8">
        <w:rPr>
          <w:rFonts w:asciiTheme="minorBidi" w:hAnsiTheme="minorBidi" w:cstheme="minorBidi"/>
          <w:color w:val="000000" w:themeColor="text1"/>
          <w:sz w:val="18"/>
          <w:szCs w:val="18"/>
        </w:rPr>
        <w:t>), entre otros.</w:t>
      </w:r>
    </w:p>
  </w:footnote>
  <w:footnote w:id="78">
    <w:p w14:paraId="75501290" w14:textId="0773718B" w:rsidR="00502F66" w:rsidRPr="000A53F8" w:rsidRDefault="00502F66"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0012298E" w:rsidRPr="000A53F8">
        <w:rPr>
          <w:rFonts w:asciiTheme="minorBidi" w:hAnsiTheme="minorBidi" w:cstheme="minorBidi"/>
          <w:color w:val="000000" w:themeColor="text1"/>
          <w:sz w:val="18"/>
          <w:szCs w:val="18"/>
        </w:rPr>
        <w:t xml:space="preserve">Amparo en revisión 1317/2017, resuelto en sesión de 17 de octubre de 2018, </w:t>
      </w:r>
      <w:r w:rsidR="006F220C" w:rsidRPr="000A53F8">
        <w:rPr>
          <w:rFonts w:asciiTheme="minorBidi" w:hAnsiTheme="minorBidi" w:cstheme="minorBidi"/>
          <w:color w:val="000000" w:themeColor="text1"/>
          <w:sz w:val="18"/>
          <w:szCs w:val="18"/>
        </w:rPr>
        <w:t>por mayoría de cuatro votos de los ministros Arturo Zaldívar Lelo de Larrea, José Ramón Cossío Díaz quien se reserva el derecho de formular voto concurrente, Alfredo Gutiérrez Ortiz Mena y Norma Lucía Piña Hernández (presidenta y ponente) en contra del emitido por el ministro Jorge Mario Pardo Rebolledo, quien se reserva el derecho para formular voto particular</w:t>
      </w:r>
      <w:r w:rsidR="0012298E" w:rsidRPr="000A53F8">
        <w:rPr>
          <w:rFonts w:asciiTheme="minorBidi" w:hAnsiTheme="minorBidi" w:cstheme="minorBidi"/>
          <w:color w:val="000000" w:themeColor="text1"/>
          <w:sz w:val="18"/>
          <w:szCs w:val="18"/>
        </w:rPr>
        <w:t>;</w:t>
      </w:r>
      <w:r w:rsidRPr="000A53F8">
        <w:rPr>
          <w:rFonts w:asciiTheme="minorBidi" w:hAnsiTheme="minorBidi" w:cstheme="minorBidi"/>
          <w:color w:val="000000" w:themeColor="text1"/>
          <w:sz w:val="18"/>
          <w:szCs w:val="18"/>
        </w:rPr>
        <w:t xml:space="preserve"> p</w:t>
      </w:r>
      <w:r w:rsidR="00C67EA7" w:rsidRPr="000A53F8">
        <w:rPr>
          <w:rFonts w:asciiTheme="minorBidi" w:hAnsiTheme="minorBidi" w:cstheme="minorBidi"/>
          <w:color w:val="000000" w:themeColor="text1"/>
          <w:sz w:val="18"/>
          <w:szCs w:val="18"/>
        </w:rPr>
        <w:t>.</w:t>
      </w:r>
      <w:r w:rsidRPr="000A53F8">
        <w:rPr>
          <w:rFonts w:asciiTheme="minorBidi" w:hAnsiTheme="minorBidi" w:cstheme="minorBidi"/>
          <w:color w:val="000000" w:themeColor="text1"/>
          <w:sz w:val="18"/>
          <w:szCs w:val="18"/>
        </w:rPr>
        <w:t xml:space="preserve"> 41.</w:t>
      </w:r>
    </w:p>
  </w:footnote>
  <w:footnote w:id="79">
    <w:p w14:paraId="1BE515E7" w14:textId="09A785AC" w:rsidR="00502F66" w:rsidRPr="000A53F8" w:rsidRDefault="00502F66"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Pr="000A53F8">
        <w:rPr>
          <w:rFonts w:asciiTheme="minorBidi" w:hAnsiTheme="minorBidi" w:cstheme="minorBidi"/>
          <w:i/>
          <w:iCs/>
          <w:color w:val="000000" w:themeColor="text1"/>
          <w:sz w:val="18"/>
          <w:szCs w:val="18"/>
        </w:rPr>
        <w:t>Ibidem</w:t>
      </w:r>
      <w:r w:rsidRPr="000A53F8">
        <w:rPr>
          <w:rFonts w:asciiTheme="minorBidi" w:hAnsiTheme="minorBidi" w:cstheme="minorBidi"/>
          <w:color w:val="000000" w:themeColor="text1"/>
          <w:sz w:val="18"/>
          <w:szCs w:val="18"/>
        </w:rPr>
        <w:t>.</w:t>
      </w:r>
      <w:r w:rsidR="00DD4709" w:rsidRPr="000A53F8">
        <w:rPr>
          <w:rFonts w:asciiTheme="minorBidi" w:hAnsiTheme="minorBidi" w:cstheme="minorBidi"/>
          <w:color w:val="000000" w:themeColor="text1"/>
          <w:sz w:val="18"/>
          <w:szCs w:val="18"/>
        </w:rPr>
        <w:t xml:space="preserve"> En un sentido similar, la Corte Interamericana ha sostenido que “la identidad de género y sexual se encuentra ligada al concepto de libertad, al derecho a la vida privada y a la posibilidad de todo ser humano de auto-determinarse y escoger libremente las opciones y circunstancias que le dan sentido a su existencia, conforme a sus propias convicciones”. Por ello, para el tribunal, el reconocimiento de la identidad de género es de vital importancia para protegerlas de la violencia </w:t>
      </w:r>
      <w:r w:rsidR="003C5E73" w:rsidRPr="000A53F8">
        <w:rPr>
          <w:rFonts w:asciiTheme="minorBidi" w:hAnsiTheme="minorBidi" w:cstheme="minorBidi"/>
          <w:color w:val="000000" w:themeColor="text1"/>
          <w:sz w:val="18"/>
          <w:szCs w:val="18"/>
        </w:rPr>
        <w:t>e</w:t>
      </w:r>
      <w:r w:rsidR="00DD4709" w:rsidRPr="000A53F8">
        <w:rPr>
          <w:rFonts w:asciiTheme="minorBidi" w:hAnsiTheme="minorBidi" w:cstheme="minorBidi"/>
          <w:color w:val="000000" w:themeColor="text1"/>
          <w:sz w:val="18"/>
          <w:szCs w:val="18"/>
        </w:rPr>
        <w:t xml:space="preserve">, incluso, de </w:t>
      </w:r>
      <w:r w:rsidR="003C5E73" w:rsidRPr="000A53F8">
        <w:rPr>
          <w:rFonts w:asciiTheme="minorBidi" w:hAnsiTheme="minorBidi" w:cstheme="minorBidi"/>
          <w:color w:val="000000" w:themeColor="text1"/>
          <w:sz w:val="18"/>
          <w:szCs w:val="18"/>
        </w:rPr>
        <w:t xml:space="preserve">la </w:t>
      </w:r>
      <w:r w:rsidR="00DD4709" w:rsidRPr="000A53F8">
        <w:rPr>
          <w:rFonts w:asciiTheme="minorBidi" w:hAnsiTheme="minorBidi" w:cstheme="minorBidi"/>
          <w:color w:val="000000" w:themeColor="text1"/>
          <w:sz w:val="18"/>
          <w:szCs w:val="18"/>
        </w:rPr>
        <w:t>tortura o malos tratos. Corte Interamericana de Derechos Humanos, Caso Vicky Hernández y otras Vs. Honduras. Fondo, Reparaciones y Costas. Sentencia de 26 de marzo de 2021. Serie C No. 422; párr. 116.</w:t>
      </w:r>
    </w:p>
  </w:footnote>
  <w:footnote w:id="80">
    <w:p w14:paraId="622D36C5" w14:textId="77777777" w:rsidR="006D61FF" w:rsidRDefault="006D61FF"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Conforme a la Encuesta sobre Discriminación de la Ciudad de México del COPRED de 2021 (EDIS 2021), las personas trans son el doceavo grupo más discriminado, y la apariencia (como la forma de vestir o imagen) es una de las formas de discriminación con mayor prevalencia. </w:t>
      </w:r>
      <w:r w:rsidRPr="000A53F8">
        <w:rPr>
          <w:rFonts w:asciiTheme="minorBidi" w:hAnsiTheme="minorBidi" w:cstheme="minorBidi"/>
          <w:i/>
          <w:iCs/>
          <w:color w:val="000000" w:themeColor="text1"/>
          <w:sz w:val="18"/>
          <w:szCs w:val="18"/>
        </w:rPr>
        <w:t>Vid</w:t>
      </w:r>
      <w:r w:rsidRPr="000A53F8">
        <w:rPr>
          <w:rFonts w:asciiTheme="minorBidi" w:hAnsiTheme="minorBidi" w:cstheme="minorBidi"/>
          <w:color w:val="000000" w:themeColor="text1"/>
          <w:sz w:val="18"/>
          <w:szCs w:val="18"/>
        </w:rPr>
        <w:t xml:space="preserve">., Consejo para Prevenir y Eliminar la Discriminación de la Ciudad de México, Encuesta sobre Discriminación de la Ciudad de México 2021, disponible en el sitio web: </w:t>
      </w:r>
      <w:hyperlink r:id="rId2" w:history="1">
        <w:r w:rsidRPr="000A53F8">
          <w:rPr>
            <w:rStyle w:val="Hipervnculo"/>
            <w:rFonts w:asciiTheme="minorBidi" w:hAnsiTheme="minorBidi" w:cstheme="minorBidi"/>
            <w:color w:val="000000" w:themeColor="text1"/>
            <w:sz w:val="18"/>
            <w:szCs w:val="18"/>
            <w:u w:val="none"/>
          </w:rPr>
          <w:t>https://copred.cdmx.gob.mx/storage/app/media/EDIS-2021-26Nov21.pdf</w:t>
        </w:r>
      </w:hyperlink>
      <w:r w:rsidRPr="000A53F8">
        <w:rPr>
          <w:rFonts w:asciiTheme="minorBidi" w:hAnsiTheme="minorBidi" w:cstheme="minorBidi"/>
          <w:color w:val="000000" w:themeColor="text1"/>
          <w:sz w:val="18"/>
          <w:szCs w:val="18"/>
        </w:rPr>
        <w:t xml:space="preserve"> </w:t>
      </w:r>
    </w:p>
    <w:p w14:paraId="1A8C7792" w14:textId="77777777" w:rsidR="00B557CF" w:rsidRDefault="00B557CF" w:rsidP="00FD3784">
      <w:pPr>
        <w:pStyle w:val="Textonotapie"/>
        <w:tabs>
          <w:tab w:val="left" w:pos="284"/>
        </w:tabs>
        <w:jc w:val="both"/>
        <w:rPr>
          <w:rFonts w:asciiTheme="minorBidi" w:hAnsiTheme="minorBidi" w:cstheme="minorBidi"/>
          <w:color w:val="000000" w:themeColor="text1"/>
          <w:sz w:val="18"/>
          <w:szCs w:val="18"/>
        </w:rPr>
      </w:pPr>
    </w:p>
    <w:p w14:paraId="6EF1FF6E" w14:textId="77777777" w:rsidR="00B557CF" w:rsidRPr="000A53F8" w:rsidRDefault="00B557CF" w:rsidP="00FD3784">
      <w:pPr>
        <w:pStyle w:val="Textonotapie"/>
        <w:tabs>
          <w:tab w:val="left" w:pos="284"/>
        </w:tabs>
        <w:jc w:val="both"/>
        <w:rPr>
          <w:rFonts w:asciiTheme="minorBidi" w:hAnsiTheme="minorBidi" w:cstheme="minorBidi"/>
          <w:color w:val="000000" w:themeColor="text1"/>
          <w:sz w:val="18"/>
          <w:szCs w:val="18"/>
        </w:rPr>
      </w:pPr>
    </w:p>
  </w:footnote>
  <w:footnote w:id="81">
    <w:p w14:paraId="654D6084" w14:textId="7C4F0414" w:rsidR="004C654C" w:rsidRPr="000A53F8" w:rsidRDefault="00C94348" w:rsidP="00FD3784">
      <w:pPr>
        <w:pStyle w:val="Textonotapie"/>
        <w:tabs>
          <w:tab w:val="left" w:pos="142"/>
          <w:tab w:val="left" w:pos="284"/>
        </w:tabs>
        <w:jc w:val="both"/>
        <w:rPr>
          <w:rFonts w:asciiTheme="minorBidi" w:hAnsiTheme="minorBidi" w:cstheme="minorBidi"/>
          <w:color w:val="000000" w:themeColor="text1"/>
          <w:sz w:val="18"/>
          <w:szCs w:val="18"/>
          <w:lang w:val="en-US"/>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006A1627" w:rsidRPr="000A53F8">
        <w:rPr>
          <w:rFonts w:asciiTheme="minorBidi" w:hAnsiTheme="minorBidi" w:cstheme="minorBidi"/>
          <w:color w:val="000000" w:themeColor="text1"/>
          <w:sz w:val="18"/>
          <w:szCs w:val="18"/>
        </w:rPr>
        <w:t>Esta Sala destaca que,</w:t>
      </w:r>
      <w:r w:rsidR="00115447" w:rsidRPr="000A53F8">
        <w:rPr>
          <w:rFonts w:asciiTheme="minorBidi" w:hAnsiTheme="minorBidi" w:cstheme="minorBidi"/>
          <w:color w:val="000000" w:themeColor="text1"/>
          <w:sz w:val="18"/>
          <w:szCs w:val="18"/>
        </w:rPr>
        <w:t xml:space="preserve"> en uno de sus informes </w:t>
      </w:r>
      <w:r w:rsidR="00B74DCF" w:rsidRPr="000A53F8">
        <w:rPr>
          <w:rFonts w:asciiTheme="minorBidi" w:hAnsiTheme="minorBidi" w:cstheme="minorBidi"/>
          <w:color w:val="000000" w:themeColor="text1"/>
          <w:sz w:val="18"/>
          <w:szCs w:val="18"/>
        </w:rPr>
        <w:t>en la materia</w:t>
      </w:r>
      <w:r w:rsidR="00115447" w:rsidRPr="000A53F8">
        <w:rPr>
          <w:rFonts w:asciiTheme="minorBidi" w:hAnsiTheme="minorBidi" w:cstheme="minorBidi"/>
          <w:color w:val="000000" w:themeColor="text1"/>
          <w:sz w:val="18"/>
          <w:szCs w:val="18"/>
        </w:rPr>
        <w:t xml:space="preserve">, el </w:t>
      </w:r>
      <w:r w:rsidR="00790964" w:rsidRPr="000A53F8">
        <w:rPr>
          <w:rFonts w:asciiTheme="minorBidi" w:hAnsiTheme="minorBidi" w:cstheme="minorBidi"/>
          <w:color w:val="000000" w:themeColor="text1"/>
          <w:sz w:val="18"/>
          <w:szCs w:val="18"/>
        </w:rPr>
        <w:t xml:space="preserve">Experto Independiente de las Naciones Unidas sobre la protección contra la violencia y la discriminación por motivos de orientación sexual o identidad de género </w:t>
      </w:r>
      <w:r w:rsidR="00B74DCF" w:rsidRPr="000A53F8">
        <w:rPr>
          <w:rFonts w:asciiTheme="minorBidi" w:hAnsiTheme="minorBidi" w:cstheme="minorBidi"/>
          <w:color w:val="000000" w:themeColor="text1"/>
          <w:sz w:val="18"/>
          <w:szCs w:val="18"/>
        </w:rPr>
        <w:t>sostuvo</w:t>
      </w:r>
      <w:r w:rsidR="00115447" w:rsidRPr="000A53F8">
        <w:rPr>
          <w:rFonts w:asciiTheme="minorBidi" w:hAnsiTheme="minorBidi" w:cstheme="minorBidi"/>
          <w:color w:val="000000" w:themeColor="text1"/>
          <w:sz w:val="18"/>
          <w:szCs w:val="18"/>
        </w:rPr>
        <w:t xml:space="preserve"> que, de las comunicaciones </w:t>
      </w:r>
      <w:r w:rsidR="00981BCA" w:rsidRPr="000A53F8">
        <w:rPr>
          <w:rFonts w:asciiTheme="minorBidi" w:hAnsiTheme="minorBidi" w:cstheme="minorBidi"/>
          <w:color w:val="000000" w:themeColor="text1"/>
          <w:sz w:val="18"/>
          <w:szCs w:val="18"/>
        </w:rPr>
        <w:t>(</w:t>
      </w:r>
      <w:r w:rsidR="00115447" w:rsidRPr="000A53F8">
        <w:rPr>
          <w:rFonts w:asciiTheme="minorBidi" w:hAnsiTheme="minorBidi" w:cstheme="minorBidi"/>
          <w:color w:val="000000" w:themeColor="text1"/>
          <w:sz w:val="18"/>
          <w:szCs w:val="18"/>
        </w:rPr>
        <w:t>proporcionadas por los Estados, organizaciones de la sociedad civil, entidades mundiales y regionales y personas</w:t>
      </w:r>
      <w:r w:rsidR="00981BCA" w:rsidRPr="000A53F8">
        <w:rPr>
          <w:rFonts w:asciiTheme="minorBidi" w:hAnsiTheme="minorBidi" w:cstheme="minorBidi"/>
          <w:color w:val="000000" w:themeColor="text1"/>
          <w:sz w:val="18"/>
          <w:szCs w:val="18"/>
        </w:rPr>
        <w:t>) que “se oponían a las normas y reglas internacionales de derechos humanos relativas al reconocimiento jurídico de la identidad de género y la protección de los derechos humanos de las personas trans y de género diverso”, un</w:t>
      </w:r>
      <w:r w:rsidR="00260A6D" w:rsidRPr="000A53F8">
        <w:rPr>
          <w:rFonts w:asciiTheme="minorBidi" w:hAnsiTheme="minorBidi" w:cstheme="minorBidi"/>
          <w:color w:val="000000" w:themeColor="text1"/>
          <w:sz w:val="18"/>
          <w:szCs w:val="18"/>
        </w:rPr>
        <w:t>o</w:t>
      </w:r>
      <w:r w:rsidR="00981BCA" w:rsidRPr="000A53F8">
        <w:rPr>
          <w:rFonts w:asciiTheme="minorBidi" w:hAnsiTheme="minorBidi" w:cstheme="minorBidi"/>
          <w:color w:val="000000" w:themeColor="text1"/>
          <w:sz w:val="18"/>
          <w:szCs w:val="18"/>
        </w:rPr>
        <w:t xml:space="preserve"> de l</w:t>
      </w:r>
      <w:r w:rsidR="001B1A40" w:rsidRPr="000A53F8">
        <w:rPr>
          <w:rFonts w:asciiTheme="minorBidi" w:hAnsiTheme="minorBidi" w:cstheme="minorBidi"/>
          <w:color w:val="000000" w:themeColor="text1"/>
          <w:sz w:val="18"/>
          <w:szCs w:val="18"/>
        </w:rPr>
        <w:t xml:space="preserve">os argumentos más </w:t>
      </w:r>
      <w:r w:rsidR="00790964" w:rsidRPr="000A53F8">
        <w:rPr>
          <w:rFonts w:asciiTheme="minorBidi" w:hAnsiTheme="minorBidi" w:cstheme="minorBidi"/>
          <w:color w:val="000000" w:themeColor="text1"/>
          <w:sz w:val="18"/>
          <w:szCs w:val="18"/>
        </w:rPr>
        <w:t xml:space="preserve">citados </w:t>
      </w:r>
      <w:r w:rsidR="00260A6D" w:rsidRPr="000A53F8">
        <w:rPr>
          <w:rFonts w:asciiTheme="minorBidi" w:hAnsiTheme="minorBidi" w:cstheme="minorBidi"/>
          <w:color w:val="000000" w:themeColor="text1"/>
          <w:sz w:val="18"/>
          <w:szCs w:val="18"/>
        </w:rPr>
        <w:t>consistía en</w:t>
      </w:r>
      <w:r w:rsidR="00790964" w:rsidRPr="000A53F8">
        <w:rPr>
          <w:rFonts w:asciiTheme="minorBidi" w:hAnsiTheme="minorBidi" w:cstheme="minorBidi"/>
          <w:color w:val="000000" w:themeColor="text1"/>
          <w:sz w:val="18"/>
          <w:szCs w:val="18"/>
        </w:rPr>
        <w:t xml:space="preserve"> que “las mujeres trans son supuestamente un peligro para los espacios exclusivos para mujeres, como vestuarios, baños, refugios y centros de detención</w:t>
      </w:r>
      <w:r w:rsidR="00260A6D" w:rsidRPr="000A53F8">
        <w:rPr>
          <w:rFonts w:asciiTheme="minorBidi" w:hAnsiTheme="minorBidi" w:cstheme="minorBidi"/>
          <w:color w:val="000000" w:themeColor="text1"/>
          <w:sz w:val="18"/>
          <w:szCs w:val="18"/>
        </w:rPr>
        <w:t>”</w:t>
      </w:r>
      <w:r w:rsidR="00790964" w:rsidRPr="000A53F8">
        <w:rPr>
          <w:rFonts w:asciiTheme="minorBidi" w:hAnsiTheme="minorBidi" w:cstheme="minorBidi"/>
          <w:color w:val="000000" w:themeColor="text1"/>
          <w:sz w:val="18"/>
          <w:szCs w:val="18"/>
        </w:rPr>
        <w:t xml:space="preserve">. </w:t>
      </w:r>
      <w:r w:rsidR="00AD145C" w:rsidRPr="000A53F8">
        <w:rPr>
          <w:rFonts w:asciiTheme="minorBidi" w:hAnsiTheme="minorBidi" w:cstheme="minorBidi"/>
          <w:i/>
          <w:iCs/>
          <w:color w:val="000000" w:themeColor="text1"/>
          <w:sz w:val="18"/>
          <w:szCs w:val="18"/>
        </w:rPr>
        <w:t>Vid</w:t>
      </w:r>
      <w:r w:rsidR="00AD145C" w:rsidRPr="000A53F8">
        <w:rPr>
          <w:rFonts w:asciiTheme="minorBidi" w:hAnsiTheme="minorBidi" w:cstheme="minorBidi"/>
          <w:color w:val="000000" w:themeColor="text1"/>
          <w:sz w:val="18"/>
          <w:szCs w:val="18"/>
        </w:rPr>
        <w:t xml:space="preserve">., Organización de las Naciones Unidas, Asamblea General. “Protección contra la violencia y la discriminación por motivos de orientación sexual o identidad de género”, 15 de julio de 2021, A/76/152; </w:t>
      </w:r>
      <w:r w:rsidR="00981BCA" w:rsidRPr="000A53F8">
        <w:rPr>
          <w:rFonts w:asciiTheme="minorBidi" w:hAnsiTheme="minorBidi" w:cstheme="minorBidi"/>
          <w:color w:val="000000" w:themeColor="text1"/>
          <w:sz w:val="18"/>
          <w:szCs w:val="18"/>
        </w:rPr>
        <w:t xml:space="preserve">párr. </w:t>
      </w:r>
      <w:r w:rsidR="001B1A40" w:rsidRPr="000A53F8">
        <w:rPr>
          <w:rFonts w:asciiTheme="minorBidi" w:hAnsiTheme="minorBidi" w:cstheme="minorBidi"/>
          <w:color w:val="000000" w:themeColor="text1"/>
          <w:sz w:val="18"/>
          <w:szCs w:val="18"/>
        </w:rPr>
        <w:t xml:space="preserve">46 y 47. </w:t>
      </w:r>
      <w:r w:rsidR="00F013F1" w:rsidRPr="000A53F8">
        <w:rPr>
          <w:rFonts w:asciiTheme="minorBidi" w:hAnsiTheme="minorBidi" w:cstheme="minorBidi"/>
          <w:color w:val="000000" w:themeColor="text1"/>
          <w:sz w:val="18"/>
          <w:szCs w:val="18"/>
        </w:rPr>
        <w:t xml:space="preserve">Asimismo, </w:t>
      </w:r>
      <w:r w:rsidR="00F013F1" w:rsidRPr="000A53F8">
        <w:rPr>
          <w:rFonts w:asciiTheme="minorBidi" w:hAnsiTheme="minorBidi" w:cstheme="minorBidi"/>
          <w:i/>
          <w:iCs/>
          <w:color w:val="000000" w:themeColor="text1"/>
          <w:sz w:val="18"/>
          <w:szCs w:val="18"/>
        </w:rPr>
        <w:t>v</w:t>
      </w:r>
      <w:r w:rsidR="004E5A8D" w:rsidRPr="000A53F8">
        <w:rPr>
          <w:rFonts w:asciiTheme="minorBidi" w:hAnsiTheme="minorBidi" w:cstheme="minorBidi"/>
          <w:i/>
          <w:iCs/>
          <w:color w:val="000000" w:themeColor="text1"/>
          <w:sz w:val="18"/>
          <w:szCs w:val="18"/>
        </w:rPr>
        <w:t>id</w:t>
      </w:r>
      <w:r w:rsidR="004E5A8D" w:rsidRPr="000A53F8">
        <w:rPr>
          <w:rFonts w:asciiTheme="minorBidi" w:hAnsiTheme="minorBidi" w:cstheme="minorBidi"/>
          <w:color w:val="000000" w:themeColor="text1"/>
          <w:sz w:val="18"/>
          <w:szCs w:val="18"/>
        </w:rPr>
        <w:t>.,</w:t>
      </w:r>
      <w:r w:rsidR="00922F11" w:rsidRPr="000A53F8">
        <w:rPr>
          <w:rFonts w:asciiTheme="minorBidi" w:hAnsiTheme="minorBidi" w:cstheme="minorBidi"/>
          <w:color w:val="000000" w:themeColor="text1"/>
          <w:sz w:val="18"/>
          <w:szCs w:val="18"/>
        </w:rPr>
        <w:t xml:space="preserve"> </w:t>
      </w:r>
      <w:r w:rsidR="000D7AFE" w:rsidRPr="000A53F8">
        <w:rPr>
          <w:rFonts w:asciiTheme="minorBidi" w:hAnsiTheme="minorBidi" w:cstheme="minorBidi"/>
          <w:color w:val="000000" w:themeColor="text1"/>
          <w:sz w:val="18"/>
          <w:szCs w:val="18"/>
        </w:rPr>
        <w:t>Hasenbush, Amira, Flores, Andrew, y Herman Jody</w:t>
      </w:r>
      <w:r w:rsidR="00025817" w:rsidRPr="000A53F8">
        <w:rPr>
          <w:rFonts w:asciiTheme="minorBidi" w:hAnsiTheme="minorBidi" w:cstheme="minorBidi"/>
          <w:color w:val="000000" w:themeColor="text1"/>
          <w:sz w:val="18"/>
          <w:szCs w:val="18"/>
        </w:rPr>
        <w:t>.</w:t>
      </w:r>
      <w:r w:rsidR="000D7AFE" w:rsidRPr="000A53F8">
        <w:rPr>
          <w:rFonts w:asciiTheme="minorBidi" w:hAnsiTheme="minorBidi" w:cstheme="minorBidi"/>
          <w:color w:val="000000" w:themeColor="text1"/>
          <w:sz w:val="18"/>
          <w:szCs w:val="18"/>
        </w:rPr>
        <w:t xml:space="preserve"> 2019</w:t>
      </w:r>
      <w:r w:rsidR="00025817" w:rsidRPr="000A53F8">
        <w:rPr>
          <w:rFonts w:asciiTheme="minorBidi" w:hAnsiTheme="minorBidi" w:cstheme="minorBidi"/>
          <w:color w:val="000000" w:themeColor="text1"/>
          <w:sz w:val="18"/>
          <w:szCs w:val="18"/>
        </w:rPr>
        <w:t>.</w:t>
      </w:r>
      <w:r w:rsidR="000D7AFE" w:rsidRPr="000A53F8">
        <w:rPr>
          <w:rFonts w:asciiTheme="minorBidi" w:hAnsiTheme="minorBidi" w:cstheme="minorBidi"/>
          <w:color w:val="000000" w:themeColor="text1"/>
          <w:sz w:val="18"/>
          <w:szCs w:val="18"/>
        </w:rPr>
        <w:t xml:space="preserve"> </w:t>
      </w:r>
      <w:r w:rsidR="000D7AFE" w:rsidRPr="000A53F8">
        <w:rPr>
          <w:rFonts w:asciiTheme="minorBidi" w:hAnsiTheme="minorBidi" w:cstheme="minorBidi"/>
          <w:color w:val="000000" w:themeColor="text1"/>
          <w:sz w:val="18"/>
          <w:szCs w:val="18"/>
          <w:lang w:val="en-US"/>
        </w:rPr>
        <w:t>Gender Identity Nondiscrimination Laws in Public Accommodations: A Review of Evidence Regarding Safety and Privacy in Public Restrooms, Locker Rooms, and Changing Rooms, Sexuality Research and Social Policy, 16</w:t>
      </w:r>
      <w:r w:rsidR="00922F11" w:rsidRPr="000A53F8">
        <w:rPr>
          <w:rFonts w:asciiTheme="minorBidi" w:hAnsiTheme="minorBidi" w:cstheme="minorBidi"/>
          <w:color w:val="000000" w:themeColor="text1"/>
          <w:sz w:val="18"/>
          <w:szCs w:val="18"/>
          <w:lang w:val="en-US"/>
        </w:rPr>
        <w:t>;</w:t>
      </w:r>
      <w:r w:rsidR="00E01D00" w:rsidRPr="000A53F8">
        <w:rPr>
          <w:rFonts w:asciiTheme="minorBidi" w:hAnsiTheme="minorBidi" w:cstheme="minorBidi"/>
          <w:color w:val="000000" w:themeColor="text1"/>
          <w:sz w:val="18"/>
          <w:szCs w:val="18"/>
          <w:lang w:val="en-US"/>
        </w:rPr>
        <w:t xml:space="preserve"> </w:t>
      </w:r>
      <w:r w:rsidRPr="000A53F8">
        <w:rPr>
          <w:rFonts w:asciiTheme="minorBidi" w:hAnsiTheme="minorBidi" w:cstheme="minorBidi"/>
          <w:color w:val="000000" w:themeColor="text1"/>
          <w:sz w:val="18"/>
          <w:szCs w:val="18"/>
          <w:lang w:val="en-US"/>
        </w:rPr>
        <w:t>White Hughto J</w:t>
      </w:r>
      <w:r w:rsidR="00E01D00" w:rsidRPr="000A53F8">
        <w:rPr>
          <w:rFonts w:asciiTheme="minorBidi" w:hAnsiTheme="minorBidi" w:cstheme="minorBidi"/>
          <w:color w:val="000000" w:themeColor="text1"/>
          <w:sz w:val="18"/>
          <w:szCs w:val="18"/>
          <w:lang w:val="en-US"/>
        </w:rPr>
        <w:t>.</w:t>
      </w:r>
      <w:r w:rsidRPr="000A53F8">
        <w:rPr>
          <w:rFonts w:asciiTheme="minorBidi" w:hAnsiTheme="minorBidi" w:cstheme="minorBidi"/>
          <w:color w:val="000000" w:themeColor="text1"/>
          <w:sz w:val="18"/>
          <w:szCs w:val="18"/>
          <w:lang w:val="en-US"/>
        </w:rPr>
        <w:t>M</w:t>
      </w:r>
      <w:r w:rsidR="00E01D00" w:rsidRPr="000A53F8">
        <w:rPr>
          <w:rFonts w:asciiTheme="minorBidi" w:hAnsiTheme="minorBidi" w:cstheme="minorBidi"/>
          <w:color w:val="000000" w:themeColor="text1"/>
          <w:sz w:val="18"/>
          <w:szCs w:val="18"/>
          <w:lang w:val="en-US"/>
        </w:rPr>
        <w:t>.</w:t>
      </w:r>
      <w:r w:rsidRPr="000A53F8">
        <w:rPr>
          <w:rFonts w:asciiTheme="minorBidi" w:hAnsiTheme="minorBidi" w:cstheme="minorBidi"/>
          <w:color w:val="000000" w:themeColor="text1"/>
          <w:sz w:val="18"/>
          <w:szCs w:val="18"/>
          <w:lang w:val="en-US"/>
        </w:rPr>
        <w:t>, Reisner S</w:t>
      </w:r>
      <w:r w:rsidR="00140AE7" w:rsidRPr="000A53F8">
        <w:rPr>
          <w:rFonts w:asciiTheme="minorBidi" w:hAnsiTheme="minorBidi" w:cstheme="minorBidi"/>
          <w:color w:val="000000" w:themeColor="text1"/>
          <w:sz w:val="18"/>
          <w:szCs w:val="18"/>
          <w:lang w:val="en-US"/>
        </w:rPr>
        <w:t>.</w:t>
      </w:r>
      <w:r w:rsidRPr="000A53F8">
        <w:rPr>
          <w:rFonts w:asciiTheme="minorBidi" w:hAnsiTheme="minorBidi" w:cstheme="minorBidi"/>
          <w:color w:val="000000" w:themeColor="text1"/>
          <w:sz w:val="18"/>
          <w:szCs w:val="18"/>
          <w:lang w:val="en-US"/>
        </w:rPr>
        <w:t>L</w:t>
      </w:r>
      <w:r w:rsidR="00140AE7" w:rsidRPr="000A53F8">
        <w:rPr>
          <w:rFonts w:asciiTheme="minorBidi" w:hAnsiTheme="minorBidi" w:cstheme="minorBidi"/>
          <w:color w:val="000000" w:themeColor="text1"/>
          <w:sz w:val="18"/>
          <w:szCs w:val="18"/>
          <w:lang w:val="en-US"/>
        </w:rPr>
        <w:t>.</w:t>
      </w:r>
      <w:r w:rsidRPr="000A53F8">
        <w:rPr>
          <w:rFonts w:asciiTheme="minorBidi" w:hAnsiTheme="minorBidi" w:cstheme="minorBidi"/>
          <w:color w:val="000000" w:themeColor="text1"/>
          <w:sz w:val="18"/>
          <w:szCs w:val="18"/>
          <w:lang w:val="en-US"/>
        </w:rPr>
        <w:t>, Pachankis J</w:t>
      </w:r>
      <w:r w:rsidR="00140AE7" w:rsidRPr="000A53F8">
        <w:rPr>
          <w:rFonts w:asciiTheme="minorBidi" w:hAnsiTheme="minorBidi" w:cstheme="minorBidi"/>
          <w:color w:val="000000" w:themeColor="text1"/>
          <w:sz w:val="18"/>
          <w:szCs w:val="18"/>
          <w:lang w:val="en-US"/>
        </w:rPr>
        <w:t>.</w:t>
      </w:r>
      <w:r w:rsidRPr="000A53F8">
        <w:rPr>
          <w:rFonts w:asciiTheme="minorBidi" w:hAnsiTheme="minorBidi" w:cstheme="minorBidi"/>
          <w:color w:val="000000" w:themeColor="text1"/>
          <w:sz w:val="18"/>
          <w:szCs w:val="18"/>
          <w:lang w:val="en-US"/>
        </w:rPr>
        <w:t>E</w:t>
      </w:r>
      <w:r w:rsidR="00140AE7" w:rsidRPr="000A53F8">
        <w:rPr>
          <w:rFonts w:asciiTheme="minorBidi" w:hAnsiTheme="minorBidi" w:cstheme="minorBidi"/>
          <w:color w:val="000000" w:themeColor="text1"/>
          <w:sz w:val="18"/>
          <w:szCs w:val="18"/>
          <w:lang w:val="en-US"/>
        </w:rPr>
        <w:t>.</w:t>
      </w:r>
      <w:r w:rsidR="00025817" w:rsidRPr="000A53F8">
        <w:rPr>
          <w:rFonts w:asciiTheme="minorBidi" w:hAnsiTheme="minorBidi" w:cstheme="minorBidi"/>
          <w:color w:val="000000" w:themeColor="text1"/>
          <w:sz w:val="18"/>
          <w:szCs w:val="18"/>
          <w:lang w:val="en-US"/>
        </w:rPr>
        <w:t xml:space="preserve"> </w:t>
      </w:r>
      <w:r w:rsidR="00140AE7" w:rsidRPr="000A53F8">
        <w:rPr>
          <w:rFonts w:asciiTheme="minorBidi" w:hAnsiTheme="minorBidi" w:cstheme="minorBidi"/>
          <w:color w:val="000000" w:themeColor="text1"/>
          <w:sz w:val="18"/>
          <w:szCs w:val="18"/>
          <w:lang w:val="en-US"/>
        </w:rPr>
        <w:t>2015</w:t>
      </w:r>
      <w:r w:rsidR="00025817" w:rsidRPr="000A53F8">
        <w:rPr>
          <w:rFonts w:asciiTheme="minorBidi" w:hAnsiTheme="minorBidi" w:cstheme="minorBidi"/>
          <w:color w:val="000000" w:themeColor="text1"/>
          <w:sz w:val="18"/>
          <w:szCs w:val="18"/>
          <w:lang w:val="en-US"/>
        </w:rPr>
        <w:t>.</w:t>
      </w:r>
      <w:r w:rsidR="00140AE7" w:rsidRPr="000A53F8">
        <w:rPr>
          <w:rFonts w:asciiTheme="minorBidi" w:hAnsiTheme="minorBidi" w:cstheme="minorBidi"/>
          <w:color w:val="000000" w:themeColor="text1"/>
          <w:sz w:val="18"/>
          <w:szCs w:val="18"/>
          <w:lang w:val="en-US"/>
        </w:rPr>
        <w:t xml:space="preserve"> </w:t>
      </w:r>
      <w:r w:rsidRPr="000A53F8">
        <w:rPr>
          <w:rFonts w:asciiTheme="minorBidi" w:hAnsiTheme="minorBidi" w:cstheme="minorBidi"/>
          <w:color w:val="000000" w:themeColor="text1"/>
          <w:sz w:val="18"/>
          <w:szCs w:val="18"/>
          <w:lang w:val="en-US"/>
        </w:rPr>
        <w:t>Transgender stigma and health: A critical review of stigma determinants, mechanisms, and interventions. Soc</w:t>
      </w:r>
      <w:r w:rsidR="00140AE7" w:rsidRPr="000A53F8">
        <w:rPr>
          <w:rFonts w:asciiTheme="minorBidi" w:hAnsiTheme="minorBidi" w:cstheme="minorBidi"/>
          <w:color w:val="000000" w:themeColor="text1"/>
          <w:sz w:val="18"/>
          <w:szCs w:val="18"/>
          <w:lang w:val="en-US"/>
        </w:rPr>
        <w:t xml:space="preserve">ial </w:t>
      </w:r>
      <w:r w:rsidRPr="000A53F8">
        <w:rPr>
          <w:rFonts w:asciiTheme="minorBidi" w:hAnsiTheme="minorBidi" w:cstheme="minorBidi"/>
          <w:color w:val="000000" w:themeColor="text1"/>
          <w:sz w:val="18"/>
          <w:szCs w:val="18"/>
          <w:lang w:val="en-US"/>
        </w:rPr>
        <w:t>Sci</w:t>
      </w:r>
      <w:r w:rsidR="00140AE7" w:rsidRPr="000A53F8">
        <w:rPr>
          <w:rFonts w:asciiTheme="minorBidi" w:hAnsiTheme="minorBidi" w:cstheme="minorBidi"/>
          <w:color w:val="000000" w:themeColor="text1"/>
          <w:sz w:val="18"/>
          <w:szCs w:val="18"/>
          <w:lang w:val="en-US"/>
        </w:rPr>
        <w:t>ence</w:t>
      </w:r>
      <w:r w:rsidRPr="000A53F8">
        <w:rPr>
          <w:rFonts w:asciiTheme="minorBidi" w:hAnsiTheme="minorBidi" w:cstheme="minorBidi"/>
          <w:color w:val="000000" w:themeColor="text1"/>
          <w:sz w:val="18"/>
          <w:szCs w:val="18"/>
          <w:lang w:val="en-US"/>
        </w:rPr>
        <w:t xml:space="preserve"> </w:t>
      </w:r>
      <w:r w:rsidR="00140AE7" w:rsidRPr="000A53F8">
        <w:rPr>
          <w:rFonts w:asciiTheme="minorBidi" w:hAnsiTheme="minorBidi" w:cstheme="minorBidi"/>
          <w:color w:val="000000" w:themeColor="text1"/>
          <w:sz w:val="18"/>
          <w:szCs w:val="18"/>
          <w:lang w:val="en-US"/>
        </w:rPr>
        <w:t xml:space="preserve">&amp; </w:t>
      </w:r>
      <w:r w:rsidRPr="000A53F8">
        <w:rPr>
          <w:rFonts w:asciiTheme="minorBidi" w:hAnsiTheme="minorBidi" w:cstheme="minorBidi"/>
          <w:color w:val="000000" w:themeColor="text1"/>
          <w:sz w:val="18"/>
          <w:szCs w:val="18"/>
          <w:lang w:val="en-US"/>
        </w:rPr>
        <w:t>Med</w:t>
      </w:r>
      <w:r w:rsidR="00140AE7" w:rsidRPr="000A53F8">
        <w:rPr>
          <w:rFonts w:asciiTheme="minorBidi" w:hAnsiTheme="minorBidi" w:cstheme="minorBidi"/>
          <w:color w:val="000000" w:themeColor="text1"/>
          <w:sz w:val="18"/>
          <w:szCs w:val="18"/>
          <w:lang w:val="en-US"/>
        </w:rPr>
        <w:t>icine,</w:t>
      </w:r>
      <w:r w:rsidRPr="000A53F8">
        <w:rPr>
          <w:rFonts w:asciiTheme="minorBidi" w:hAnsiTheme="minorBidi" w:cstheme="minorBidi"/>
          <w:color w:val="000000" w:themeColor="text1"/>
          <w:sz w:val="18"/>
          <w:szCs w:val="18"/>
          <w:lang w:val="en-US"/>
        </w:rPr>
        <w:t xml:space="preserve"> </w:t>
      </w:r>
      <w:r w:rsidR="00593724" w:rsidRPr="000A53F8">
        <w:rPr>
          <w:rFonts w:asciiTheme="minorBidi" w:hAnsiTheme="minorBidi" w:cstheme="minorBidi"/>
          <w:color w:val="000000" w:themeColor="text1"/>
          <w:sz w:val="18"/>
          <w:szCs w:val="18"/>
          <w:lang w:val="en-US"/>
        </w:rPr>
        <w:t xml:space="preserve">pp. </w:t>
      </w:r>
      <w:r w:rsidRPr="000A53F8">
        <w:rPr>
          <w:rFonts w:asciiTheme="minorBidi" w:hAnsiTheme="minorBidi" w:cstheme="minorBidi"/>
          <w:color w:val="000000" w:themeColor="text1"/>
          <w:sz w:val="18"/>
          <w:szCs w:val="18"/>
          <w:lang w:val="en-US"/>
        </w:rPr>
        <w:t>222</w:t>
      </w:r>
      <w:r w:rsidR="00593724" w:rsidRPr="000A53F8">
        <w:rPr>
          <w:rFonts w:asciiTheme="minorBidi" w:hAnsiTheme="minorBidi" w:cstheme="minorBidi"/>
          <w:color w:val="000000" w:themeColor="text1"/>
          <w:sz w:val="18"/>
          <w:szCs w:val="18"/>
          <w:lang w:val="en-US"/>
        </w:rPr>
        <w:t xml:space="preserve"> a </w:t>
      </w:r>
      <w:r w:rsidR="0012391E" w:rsidRPr="000A53F8">
        <w:rPr>
          <w:rFonts w:asciiTheme="minorBidi" w:hAnsiTheme="minorBidi" w:cstheme="minorBidi"/>
          <w:color w:val="000000" w:themeColor="text1"/>
          <w:sz w:val="18"/>
          <w:szCs w:val="18"/>
          <w:lang w:val="en-US"/>
        </w:rPr>
        <w:t>2</w:t>
      </w:r>
      <w:r w:rsidRPr="000A53F8">
        <w:rPr>
          <w:rFonts w:asciiTheme="minorBidi" w:hAnsiTheme="minorBidi" w:cstheme="minorBidi"/>
          <w:color w:val="000000" w:themeColor="text1"/>
          <w:sz w:val="18"/>
          <w:szCs w:val="18"/>
          <w:lang w:val="en-US"/>
        </w:rPr>
        <w:t>31;</w:t>
      </w:r>
      <w:r w:rsidR="00E01D00" w:rsidRPr="000A53F8">
        <w:rPr>
          <w:rFonts w:asciiTheme="minorBidi" w:hAnsiTheme="minorBidi" w:cstheme="minorBidi"/>
          <w:color w:val="000000" w:themeColor="text1"/>
          <w:sz w:val="18"/>
          <w:szCs w:val="18"/>
          <w:lang w:val="en-US"/>
        </w:rPr>
        <w:t xml:space="preserve"> </w:t>
      </w:r>
      <w:r w:rsidR="00A60516" w:rsidRPr="000A53F8">
        <w:rPr>
          <w:rFonts w:asciiTheme="minorBidi" w:hAnsiTheme="minorBidi" w:cstheme="minorBidi"/>
          <w:color w:val="000000" w:themeColor="text1"/>
          <w:sz w:val="18"/>
          <w:szCs w:val="18"/>
          <w:lang w:val="en-US"/>
        </w:rPr>
        <w:t xml:space="preserve">así como </w:t>
      </w:r>
      <w:r w:rsidRPr="000A53F8">
        <w:rPr>
          <w:rFonts w:asciiTheme="minorBidi" w:hAnsiTheme="minorBidi" w:cstheme="minorBidi"/>
          <w:color w:val="000000" w:themeColor="text1"/>
          <w:sz w:val="18"/>
          <w:szCs w:val="18"/>
          <w:lang w:val="en-US"/>
        </w:rPr>
        <w:t>Vanaman</w:t>
      </w:r>
      <w:r w:rsidR="003678C5" w:rsidRPr="000A53F8">
        <w:rPr>
          <w:rFonts w:asciiTheme="minorBidi" w:hAnsiTheme="minorBidi" w:cstheme="minorBidi"/>
          <w:color w:val="000000" w:themeColor="text1"/>
          <w:sz w:val="18"/>
          <w:szCs w:val="18"/>
          <w:lang w:val="en-US"/>
        </w:rPr>
        <w:t>,</w:t>
      </w:r>
      <w:r w:rsidRPr="000A53F8">
        <w:rPr>
          <w:rFonts w:asciiTheme="minorBidi" w:hAnsiTheme="minorBidi" w:cstheme="minorBidi"/>
          <w:color w:val="000000" w:themeColor="text1"/>
          <w:sz w:val="18"/>
          <w:szCs w:val="18"/>
          <w:lang w:val="en-US"/>
        </w:rPr>
        <w:t xml:space="preserve"> M</w:t>
      </w:r>
      <w:r w:rsidR="003678C5" w:rsidRPr="000A53F8">
        <w:rPr>
          <w:rFonts w:asciiTheme="minorBidi" w:hAnsiTheme="minorBidi" w:cstheme="minorBidi"/>
          <w:color w:val="000000" w:themeColor="text1"/>
          <w:sz w:val="18"/>
          <w:szCs w:val="18"/>
          <w:lang w:val="en-US"/>
        </w:rPr>
        <w:t>atthew E.</w:t>
      </w:r>
      <w:r w:rsidRPr="000A53F8">
        <w:rPr>
          <w:rFonts w:asciiTheme="minorBidi" w:hAnsiTheme="minorBidi" w:cstheme="minorBidi"/>
          <w:color w:val="000000" w:themeColor="text1"/>
          <w:sz w:val="18"/>
          <w:szCs w:val="18"/>
          <w:lang w:val="en-US"/>
        </w:rPr>
        <w:t>, Chapman</w:t>
      </w:r>
      <w:r w:rsidR="003678C5" w:rsidRPr="000A53F8">
        <w:rPr>
          <w:rFonts w:asciiTheme="minorBidi" w:hAnsiTheme="minorBidi" w:cstheme="minorBidi"/>
          <w:color w:val="000000" w:themeColor="text1"/>
          <w:sz w:val="18"/>
          <w:szCs w:val="18"/>
          <w:lang w:val="en-US"/>
        </w:rPr>
        <w:t>,</w:t>
      </w:r>
      <w:r w:rsidRPr="000A53F8">
        <w:rPr>
          <w:rFonts w:asciiTheme="minorBidi" w:hAnsiTheme="minorBidi" w:cstheme="minorBidi"/>
          <w:color w:val="000000" w:themeColor="text1"/>
          <w:sz w:val="18"/>
          <w:szCs w:val="18"/>
          <w:lang w:val="en-US"/>
        </w:rPr>
        <w:t xml:space="preserve"> </w:t>
      </w:r>
      <w:r w:rsidR="003678C5" w:rsidRPr="000A53F8">
        <w:rPr>
          <w:rFonts w:asciiTheme="minorBidi" w:hAnsiTheme="minorBidi" w:cstheme="minorBidi"/>
          <w:color w:val="000000" w:themeColor="text1"/>
          <w:sz w:val="18"/>
          <w:szCs w:val="18"/>
          <w:lang w:val="en-US"/>
        </w:rPr>
        <w:t xml:space="preserve">Hanna </w:t>
      </w:r>
      <w:r w:rsidRPr="000A53F8">
        <w:rPr>
          <w:rFonts w:asciiTheme="minorBidi" w:hAnsiTheme="minorBidi" w:cstheme="minorBidi"/>
          <w:color w:val="000000" w:themeColor="text1"/>
          <w:sz w:val="18"/>
          <w:szCs w:val="18"/>
          <w:lang w:val="en-US"/>
        </w:rPr>
        <w:t>H.</w:t>
      </w:r>
      <w:r w:rsidR="003678C5" w:rsidRPr="000A53F8">
        <w:rPr>
          <w:rFonts w:asciiTheme="minorBidi" w:hAnsiTheme="minorBidi" w:cstheme="minorBidi"/>
          <w:color w:val="000000" w:themeColor="text1"/>
          <w:sz w:val="18"/>
          <w:szCs w:val="18"/>
          <w:lang w:val="en-US"/>
        </w:rPr>
        <w:t xml:space="preserve"> 2020</w:t>
      </w:r>
      <w:r w:rsidR="00D62F16" w:rsidRPr="000A53F8">
        <w:rPr>
          <w:rFonts w:asciiTheme="minorBidi" w:hAnsiTheme="minorBidi" w:cstheme="minorBidi"/>
          <w:color w:val="000000" w:themeColor="text1"/>
          <w:sz w:val="18"/>
          <w:szCs w:val="18"/>
          <w:lang w:val="en-US"/>
        </w:rPr>
        <w:t>.</w:t>
      </w:r>
      <w:r w:rsidR="003678C5" w:rsidRPr="000A53F8">
        <w:rPr>
          <w:rFonts w:asciiTheme="minorBidi" w:hAnsiTheme="minorBidi" w:cstheme="minorBidi"/>
          <w:color w:val="000000" w:themeColor="text1"/>
          <w:sz w:val="18"/>
          <w:szCs w:val="18"/>
          <w:lang w:val="en-US"/>
        </w:rPr>
        <w:t xml:space="preserve"> </w:t>
      </w:r>
      <w:r w:rsidRPr="000A53F8">
        <w:rPr>
          <w:rFonts w:asciiTheme="minorBidi" w:hAnsiTheme="minorBidi" w:cstheme="minorBidi"/>
          <w:color w:val="000000" w:themeColor="text1"/>
          <w:sz w:val="18"/>
          <w:szCs w:val="18"/>
          <w:lang w:val="en-US"/>
        </w:rPr>
        <w:t>Disgust and disgust-driven moral concerns predict support for restrictions on transgender bathroom access</w:t>
      </w:r>
      <w:r w:rsidR="00D62F16" w:rsidRPr="000A53F8">
        <w:rPr>
          <w:rFonts w:asciiTheme="minorBidi" w:hAnsiTheme="minorBidi" w:cstheme="minorBidi"/>
          <w:color w:val="000000" w:themeColor="text1"/>
          <w:sz w:val="18"/>
          <w:szCs w:val="18"/>
          <w:lang w:val="en-US"/>
        </w:rPr>
        <w:t>.</w:t>
      </w:r>
      <w:r w:rsidR="003678C5" w:rsidRPr="000A53F8">
        <w:rPr>
          <w:rFonts w:asciiTheme="minorBidi" w:hAnsiTheme="minorBidi" w:cstheme="minorBidi"/>
          <w:color w:val="000000" w:themeColor="text1"/>
          <w:sz w:val="18"/>
          <w:szCs w:val="18"/>
          <w:lang w:val="en-US"/>
        </w:rPr>
        <w:t xml:space="preserve"> </w:t>
      </w:r>
      <w:r w:rsidRPr="000A53F8">
        <w:rPr>
          <w:rFonts w:asciiTheme="minorBidi" w:hAnsiTheme="minorBidi" w:cstheme="minorBidi"/>
          <w:color w:val="000000" w:themeColor="text1"/>
          <w:sz w:val="18"/>
          <w:szCs w:val="18"/>
          <w:lang w:val="en-US"/>
        </w:rPr>
        <w:t>Politics and the Life Sciences</w:t>
      </w:r>
      <w:r w:rsidR="003678C5" w:rsidRPr="000A53F8">
        <w:rPr>
          <w:rFonts w:asciiTheme="minorBidi" w:hAnsiTheme="minorBidi" w:cstheme="minorBidi"/>
          <w:color w:val="000000" w:themeColor="text1"/>
          <w:sz w:val="18"/>
          <w:szCs w:val="18"/>
          <w:lang w:val="en-US"/>
        </w:rPr>
        <w:t xml:space="preserve">, </w:t>
      </w:r>
      <w:r w:rsidRPr="000A53F8">
        <w:rPr>
          <w:rFonts w:asciiTheme="minorBidi" w:hAnsiTheme="minorBidi" w:cstheme="minorBidi"/>
          <w:color w:val="000000" w:themeColor="text1"/>
          <w:sz w:val="18"/>
          <w:szCs w:val="18"/>
          <w:lang w:val="en-US"/>
        </w:rPr>
        <w:t>39(2)</w:t>
      </w:r>
      <w:r w:rsidR="0028715F" w:rsidRPr="000A53F8">
        <w:rPr>
          <w:rFonts w:asciiTheme="minorBidi" w:hAnsiTheme="minorBidi" w:cstheme="minorBidi"/>
          <w:color w:val="000000" w:themeColor="text1"/>
          <w:sz w:val="18"/>
          <w:szCs w:val="18"/>
          <w:lang w:val="en-US"/>
        </w:rPr>
        <w:t xml:space="preserve">; </w:t>
      </w:r>
      <w:r w:rsidR="00593724" w:rsidRPr="000A53F8">
        <w:rPr>
          <w:rFonts w:asciiTheme="minorBidi" w:hAnsiTheme="minorBidi" w:cstheme="minorBidi"/>
          <w:color w:val="000000" w:themeColor="text1"/>
          <w:sz w:val="18"/>
          <w:szCs w:val="18"/>
          <w:lang w:val="en-US"/>
        </w:rPr>
        <w:t>p</w:t>
      </w:r>
      <w:r w:rsidR="0028715F" w:rsidRPr="000A53F8">
        <w:rPr>
          <w:rFonts w:asciiTheme="minorBidi" w:hAnsiTheme="minorBidi" w:cstheme="minorBidi"/>
          <w:color w:val="000000" w:themeColor="text1"/>
          <w:sz w:val="18"/>
          <w:szCs w:val="18"/>
          <w:lang w:val="en-US"/>
        </w:rPr>
        <w:t xml:space="preserve">p. </w:t>
      </w:r>
      <w:r w:rsidRPr="000A53F8">
        <w:rPr>
          <w:rFonts w:asciiTheme="minorBidi" w:hAnsiTheme="minorBidi" w:cstheme="minorBidi"/>
          <w:color w:val="000000" w:themeColor="text1"/>
          <w:sz w:val="18"/>
          <w:szCs w:val="18"/>
          <w:lang w:val="en-US"/>
        </w:rPr>
        <w:t>200</w:t>
      </w:r>
      <w:r w:rsidR="00593724" w:rsidRPr="000A53F8">
        <w:rPr>
          <w:rFonts w:asciiTheme="minorBidi" w:hAnsiTheme="minorBidi" w:cstheme="minorBidi"/>
          <w:color w:val="000000" w:themeColor="text1"/>
          <w:sz w:val="18"/>
          <w:szCs w:val="18"/>
          <w:lang w:val="en-US"/>
        </w:rPr>
        <w:t xml:space="preserve"> a </w:t>
      </w:r>
      <w:r w:rsidRPr="000A53F8">
        <w:rPr>
          <w:rFonts w:asciiTheme="minorBidi" w:hAnsiTheme="minorBidi" w:cstheme="minorBidi"/>
          <w:color w:val="000000" w:themeColor="text1"/>
          <w:sz w:val="18"/>
          <w:szCs w:val="18"/>
          <w:lang w:val="en-US"/>
        </w:rPr>
        <w:t>214</w:t>
      </w:r>
      <w:r w:rsidR="00A60516" w:rsidRPr="000A53F8">
        <w:rPr>
          <w:rFonts w:asciiTheme="minorBidi" w:hAnsiTheme="minorBidi" w:cstheme="minorBidi"/>
          <w:color w:val="000000" w:themeColor="text1"/>
          <w:sz w:val="18"/>
          <w:szCs w:val="18"/>
          <w:lang w:val="en-US"/>
        </w:rPr>
        <w:t>.</w:t>
      </w:r>
      <w:r w:rsidR="005F2E0B" w:rsidRPr="000A53F8">
        <w:rPr>
          <w:rFonts w:asciiTheme="minorBidi" w:hAnsiTheme="minorBidi" w:cstheme="minorBidi"/>
          <w:sz w:val="18"/>
          <w:szCs w:val="18"/>
          <w:lang w:val="en-US"/>
        </w:rPr>
        <w:t xml:space="preserve"> </w:t>
      </w:r>
    </w:p>
  </w:footnote>
  <w:footnote w:id="82">
    <w:p w14:paraId="456716D3" w14:textId="04BA1482" w:rsidR="00C94348" w:rsidRPr="000A53F8" w:rsidRDefault="00C94348" w:rsidP="00FD3784">
      <w:pPr>
        <w:pStyle w:val="Textonotapie"/>
        <w:jc w:val="both"/>
        <w:rPr>
          <w:rFonts w:asciiTheme="minorBidi" w:hAnsiTheme="minorBidi" w:cstheme="minorBidi"/>
          <w:sz w:val="18"/>
          <w:szCs w:val="18"/>
        </w:rPr>
      </w:pPr>
      <w:r w:rsidRPr="000A53F8">
        <w:rPr>
          <w:rStyle w:val="Refdenotaalpie"/>
          <w:rFonts w:asciiTheme="minorBidi" w:hAnsiTheme="minorBidi" w:cstheme="minorBidi"/>
          <w:sz w:val="18"/>
          <w:szCs w:val="18"/>
        </w:rPr>
        <w:footnoteRef/>
      </w:r>
      <w:r w:rsidR="00625809" w:rsidRPr="000A53F8">
        <w:rPr>
          <w:rFonts w:asciiTheme="minorBidi" w:hAnsiTheme="minorBidi" w:cstheme="minorBidi"/>
          <w:sz w:val="18"/>
          <w:szCs w:val="18"/>
          <w:lang w:val="en-US"/>
        </w:rPr>
        <w:t xml:space="preserve"> McKinnon, Rachel. 2014. Stereotype Threat and Attributional Ambiguity for Trans Women. </w:t>
      </w:r>
      <w:r w:rsidR="00625809" w:rsidRPr="000A53F8">
        <w:rPr>
          <w:rFonts w:asciiTheme="minorBidi" w:hAnsiTheme="minorBidi" w:cstheme="minorBidi"/>
          <w:sz w:val="18"/>
          <w:szCs w:val="18"/>
        </w:rPr>
        <w:t>Wiley on behalf</w:t>
      </w:r>
      <w:r w:rsidR="00D36CD0" w:rsidRPr="000A53F8">
        <w:rPr>
          <w:rFonts w:asciiTheme="minorBidi" w:hAnsiTheme="minorBidi" w:cstheme="minorBidi"/>
          <w:sz w:val="18"/>
          <w:szCs w:val="18"/>
        </w:rPr>
        <w:t xml:space="preserve"> </w:t>
      </w:r>
      <w:r w:rsidR="00625809" w:rsidRPr="000A53F8">
        <w:rPr>
          <w:rFonts w:asciiTheme="minorBidi" w:hAnsiTheme="minorBidi" w:cstheme="minorBidi"/>
          <w:sz w:val="18"/>
          <w:szCs w:val="18"/>
        </w:rPr>
        <w:t>of Hypatia, Inc., Vol. 29, No. 4; p. 866.</w:t>
      </w:r>
      <w:r w:rsidR="002F4270" w:rsidRPr="000A53F8">
        <w:rPr>
          <w:rFonts w:asciiTheme="minorBidi" w:hAnsiTheme="minorBidi" w:cstheme="minorBidi"/>
          <w:sz w:val="18"/>
          <w:szCs w:val="18"/>
        </w:rPr>
        <w:t xml:space="preserve"> </w:t>
      </w:r>
      <w:r w:rsidR="002F4270" w:rsidRPr="001E1E45">
        <w:rPr>
          <w:rFonts w:asciiTheme="minorBidi" w:hAnsiTheme="minorBidi" w:cstheme="minorBidi"/>
          <w:sz w:val="18"/>
          <w:szCs w:val="18"/>
        </w:rPr>
        <w:t>[</w:t>
      </w:r>
      <w:r w:rsidR="00074427">
        <w:rPr>
          <w:rFonts w:asciiTheme="minorBidi" w:hAnsiTheme="minorBidi" w:cstheme="minorBidi"/>
          <w:sz w:val="18"/>
          <w:szCs w:val="18"/>
        </w:rPr>
        <w:t xml:space="preserve">La </w:t>
      </w:r>
      <w:r w:rsidR="00EB0426">
        <w:rPr>
          <w:rFonts w:asciiTheme="minorBidi" w:hAnsiTheme="minorBidi" w:cstheme="minorBidi"/>
          <w:sz w:val="18"/>
          <w:szCs w:val="18"/>
        </w:rPr>
        <w:t xml:space="preserve">relevancia de estas fuentes en la comunidad científica </w:t>
      </w:r>
      <w:r w:rsidR="00482EAC">
        <w:rPr>
          <w:rFonts w:asciiTheme="minorBidi" w:hAnsiTheme="minorBidi" w:cstheme="minorBidi"/>
          <w:sz w:val="18"/>
          <w:szCs w:val="18"/>
        </w:rPr>
        <w:t xml:space="preserve">correspondiente </w:t>
      </w:r>
      <w:r w:rsidR="00EB0426">
        <w:rPr>
          <w:rFonts w:asciiTheme="minorBidi" w:hAnsiTheme="minorBidi" w:cstheme="minorBidi"/>
          <w:sz w:val="18"/>
          <w:szCs w:val="18"/>
        </w:rPr>
        <w:t>fue verificada</w:t>
      </w:r>
      <w:r w:rsidR="002F4270" w:rsidRPr="001E1E45">
        <w:rPr>
          <w:rFonts w:asciiTheme="minorBidi" w:hAnsiTheme="minorBidi" w:cstheme="minorBidi"/>
          <w:sz w:val="18"/>
          <w:szCs w:val="18"/>
        </w:rPr>
        <w:t xml:space="preserve"> por la Unidad General de Conocimiento Científico y Derechos Humanos de la Suprema Corte de Justicia de la Nación].</w:t>
      </w:r>
    </w:p>
  </w:footnote>
  <w:footnote w:id="83">
    <w:p w14:paraId="5027F21C" w14:textId="25F0C0BA" w:rsidR="00FD028B" w:rsidRDefault="00FD028B" w:rsidP="00FD3784">
      <w:pPr>
        <w:pStyle w:val="Textonotapie"/>
        <w:jc w:val="both"/>
        <w:rPr>
          <w:rFonts w:asciiTheme="minorBidi" w:hAnsiTheme="minorBidi" w:cstheme="minorBidi"/>
          <w:sz w:val="18"/>
          <w:szCs w:val="18"/>
          <w:lang w:val="en-US"/>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007B3E8E" w:rsidRPr="000A53F8">
        <w:rPr>
          <w:rFonts w:asciiTheme="minorBidi" w:hAnsiTheme="minorBidi" w:cstheme="minorBidi"/>
          <w:color w:val="000000" w:themeColor="text1"/>
          <w:sz w:val="18"/>
          <w:szCs w:val="18"/>
        </w:rPr>
        <w:t>Si bien los estudios</w:t>
      </w:r>
      <w:r w:rsidR="00370599" w:rsidRPr="000A53F8">
        <w:rPr>
          <w:rFonts w:asciiTheme="minorBidi" w:hAnsiTheme="minorBidi" w:cstheme="minorBidi"/>
          <w:color w:val="000000" w:themeColor="text1"/>
          <w:sz w:val="18"/>
          <w:szCs w:val="18"/>
        </w:rPr>
        <w:t xml:space="preserve"> más específicos</w:t>
      </w:r>
      <w:r w:rsidR="007B3E8E" w:rsidRPr="000A53F8">
        <w:rPr>
          <w:rFonts w:asciiTheme="minorBidi" w:hAnsiTheme="minorBidi" w:cstheme="minorBidi"/>
          <w:color w:val="000000" w:themeColor="text1"/>
          <w:sz w:val="18"/>
          <w:szCs w:val="18"/>
        </w:rPr>
        <w:t xml:space="preserve"> </w:t>
      </w:r>
      <w:r w:rsidR="002219A1" w:rsidRPr="000A53F8">
        <w:rPr>
          <w:rFonts w:asciiTheme="minorBidi" w:hAnsiTheme="minorBidi" w:cstheme="minorBidi"/>
          <w:color w:val="000000" w:themeColor="text1"/>
          <w:sz w:val="18"/>
          <w:szCs w:val="18"/>
        </w:rPr>
        <w:t>no se han realizado en México</w:t>
      </w:r>
      <w:r w:rsidR="00922ACF" w:rsidRPr="000A53F8">
        <w:rPr>
          <w:rFonts w:asciiTheme="minorBidi" w:hAnsiTheme="minorBidi" w:cstheme="minorBidi"/>
          <w:color w:val="000000" w:themeColor="text1"/>
          <w:sz w:val="18"/>
          <w:szCs w:val="18"/>
        </w:rPr>
        <w:t>, esto no impide que podamos</w:t>
      </w:r>
      <w:r w:rsidR="00384B5A" w:rsidRPr="000A53F8">
        <w:rPr>
          <w:rFonts w:asciiTheme="minorBidi" w:hAnsiTheme="minorBidi" w:cstheme="minorBidi"/>
          <w:color w:val="000000" w:themeColor="text1"/>
          <w:sz w:val="18"/>
          <w:szCs w:val="18"/>
        </w:rPr>
        <w:t xml:space="preserve"> extraer algunas conclusiones</w:t>
      </w:r>
      <w:r w:rsidR="00C856B2" w:rsidRPr="000A53F8">
        <w:rPr>
          <w:rFonts w:asciiTheme="minorBidi" w:hAnsiTheme="minorBidi" w:cstheme="minorBidi"/>
          <w:color w:val="000000" w:themeColor="text1"/>
          <w:sz w:val="18"/>
          <w:szCs w:val="18"/>
        </w:rPr>
        <w:t xml:space="preserve">, pues existe correspondencia con la información recabada </w:t>
      </w:r>
      <w:r w:rsidR="009725BF" w:rsidRPr="000A53F8">
        <w:rPr>
          <w:rFonts w:asciiTheme="minorBidi" w:hAnsiTheme="minorBidi" w:cstheme="minorBidi"/>
          <w:color w:val="000000" w:themeColor="text1"/>
          <w:sz w:val="18"/>
          <w:szCs w:val="18"/>
        </w:rPr>
        <w:t>por</w:t>
      </w:r>
      <w:r w:rsidR="00C856B2" w:rsidRPr="000A53F8">
        <w:rPr>
          <w:rFonts w:asciiTheme="minorBidi" w:hAnsiTheme="minorBidi" w:cstheme="minorBidi"/>
          <w:color w:val="000000" w:themeColor="text1"/>
          <w:sz w:val="18"/>
          <w:szCs w:val="18"/>
        </w:rPr>
        <w:t xml:space="preserve"> encuestas realizadas por autoridades </w:t>
      </w:r>
      <w:r w:rsidR="00F5107F" w:rsidRPr="000A53F8">
        <w:rPr>
          <w:rFonts w:asciiTheme="minorBidi" w:hAnsiTheme="minorBidi" w:cstheme="minorBidi"/>
          <w:color w:val="000000" w:themeColor="text1"/>
          <w:sz w:val="18"/>
          <w:szCs w:val="18"/>
        </w:rPr>
        <w:t>públicas</w:t>
      </w:r>
      <w:r w:rsidR="00C856B2" w:rsidRPr="000A53F8">
        <w:rPr>
          <w:rFonts w:asciiTheme="minorBidi" w:hAnsiTheme="minorBidi" w:cstheme="minorBidi"/>
          <w:color w:val="000000" w:themeColor="text1"/>
          <w:sz w:val="18"/>
          <w:szCs w:val="18"/>
        </w:rPr>
        <w:t xml:space="preserve"> en nuestro país</w:t>
      </w:r>
      <w:r w:rsidR="00506037" w:rsidRPr="000A53F8">
        <w:rPr>
          <w:rFonts w:asciiTheme="minorBidi" w:hAnsiTheme="minorBidi" w:cstheme="minorBidi"/>
          <w:color w:val="000000" w:themeColor="text1"/>
          <w:sz w:val="18"/>
          <w:szCs w:val="18"/>
        </w:rPr>
        <w:t>,</w:t>
      </w:r>
      <w:r w:rsidR="0055080D" w:rsidRPr="000A53F8">
        <w:rPr>
          <w:rFonts w:asciiTheme="minorBidi" w:hAnsiTheme="minorBidi" w:cstheme="minorBidi"/>
          <w:color w:val="000000" w:themeColor="text1"/>
          <w:sz w:val="18"/>
          <w:szCs w:val="18"/>
        </w:rPr>
        <w:t xml:space="preserve"> </w:t>
      </w:r>
      <w:r w:rsidR="00506037" w:rsidRPr="000A53F8">
        <w:rPr>
          <w:rFonts w:asciiTheme="minorBidi" w:hAnsiTheme="minorBidi" w:cstheme="minorBidi"/>
          <w:color w:val="000000" w:themeColor="text1"/>
          <w:sz w:val="18"/>
          <w:szCs w:val="18"/>
        </w:rPr>
        <w:t>citadas en la presente sentencia</w:t>
      </w:r>
      <w:r w:rsidR="00C856B2" w:rsidRPr="000A53F8">
        <w:rPr>
          <w:rFonts w:asciiTheme="minorBidi" w:hAnsiTheme="minorBidi" w:cstheme="minorBidi"/>
          <w:color w:val="000000" w:themeColor="text1"/>
          <w:sz w:val="18"/>
          <w:szCs w:val="18"/>
        </w:rPr>
        <w:t>.</w:t>
      </w:r>
      <w:r w:rsidR="00922ACF" w:rsidRPr="000A53F8">
        <w:rPr>
          <w:rFonts w:asciiTheme="minorBidi" w:hAnsiTheme="minorBidi" w:cstheme="minorBidi"/>
          <w:color w:val="000000" w:themeColor="text1"/>
          <w:sz w:val="18"/>
          <w:szCs w:val="18"/>
        </w:rPr>
        <w:t xml:space="preserve"> </w:t>
      </w:r>
      <w:r w:rsidRPr="000A53F8">
        <w:rPr>
          <w:rFonts w:asciiTheme="minorBidi" w:hAnsiTheme="minorBidi" w:cstheme="minorBidi"/>
          <w:i/>
          <w:iCs/>
          <w:color w:val="000000" w:themeColor="text1"/>
          <w:sz w:val="18"/>
          <w:szCs w:val="18"/>
          <w:lang w:val="en-US"/>
        </w:rPr>
        <w:t>Vid</w:t>
      </w:r>
      <w:r w:rsidRPr="000A53F8">
        <w:rPr>
          <w:rFonts w:asciiTheme="minorBidi" w:hAnsiTheme="minorBidi" w:cstheme="minorBidi"/>
          <w:color w:val="000000" w:themeColor="text1"/>
          <w:sz w:val="18"/>
          <w:szCs w:val="18"/>
          <w:lang w:val="en-US"/>
        </w:rPr>
        <w:t xml:space="preserve">., </w:t>
      </w:r>
      <w:r w:rsidR="005D116B" w:rsidRPr="000A53F8">
        <w:rPr>
          <w:rFonts w:asciiTheme="minorBidi" w:hAnsiTheme="minorBidi" w:cstheme="minorBidi"/>
          <w:color w:val="000000" w:themeColor="text1"/>
          <w:sz w:val="18"/>
          <w:szCs w:val="18"/>
          <w:lang w:val="en-US"/>
        </w:rPr>
        <w:t xml:space="preserve">entre otros, </w:t>
      </w:r>
      <w:r w:rsidR="0052081E" w:rsidRPr="000A53F8">
        <w:rPr>
          <w:rFonts w:asciiTheme="minorBidi" w:hAnsiTheme="minorBidi" w:cstheme="minorBidi"/>
          <w:color w:val="000000" w:themeColor="text1"/>
          <w:sz w:val="18"/>
          <w:szCs w:val="18"/>
          <w:lang w:val="en-US"/>
        </w:rPr>
        <w:t>S</w:t>
      </w:r>
      <w:r w:rsidR="00DF5762" w:rsidRPr="000A53F8">
        <w:rPr>
          <w:rFonts w:asciiTheme="minorBidi" w:hAnsiTheme="minorBidi" w:cstheme="minorBidi"/>
          <w:color w:val="000000" w:themeColor="text1"/>
          <w:sz w:val="18"/>
          <w:szCs w:val="18"/>
          <w:lang w:val="en-US"/>
        </w:rPr>
        <w:t>chilt</w:t>
      </w:r>
      <w:r w:rsidR="0052081E" w:rsidRPr="000A53F8">
        <w:rPr>
          <w:rFonts w:asciiTheme="minorBidi" w:hAnsiTheme="minorBidi" w:cstheme="minorBidi"/>
          <w:color w:val="000000" w:themeColor="text1"/>
          <w:sz w:val="18"/>
          <w:szCs w:val="18"/>
          <w:lang w:val="en-US"/>
        </w:rPr>
        <w:t>, Kristen; W</w:t>
      </w:r>
      <w:r w:rsidR="00DF5762" w:rsidRPr="000A53F8">
        <w:rPr>
          <w:rFonts w:asciiTheme="minorBidi" w:hAnsiTheme="minorBidi" w:cstheme="minorBidi"/>
          <w:color w:val="000000" w:themeColor="text1"/>
          <w:sz w:val="18"/>
          <w:szCs w:val="18"/>
          <w:lang w:val="en-US"/>
        </w:rPr>
        <w:t>estbrook</w:t>
      </w:r>
      <w:r w:rsidR="0052081E" w:rsidRPr="000A53F8">
        <w:rPr>
          <w:rFonts w:asciiTheme="minorBidi" w:hAnsiTheme="minorBidi" w:cstheme="minorBidi"/>
          <w:color w:val="000000" w:themeColor="text1"/>
          <w:sz w:val="18"/>
          <w:szCs w:val="18"/>
          <w:lang w:val="en-US"/>
        </w:rPr>
        <w:t xml:space="preserve">, Laurel. </w:t>
      </w:r>
      <w:r w:rsidR="001E1413" w:rsidRPr="000A53F8">
        <w:rPr>
          <w:rFonts w:asciiTheme="minorBidi" w:hAnsiTheme="minorBidi" w:cstheme="minorBidi"/>
          <w:color w:val="000000" w:themeColor="text1"/>
          <w:sz w:val="18"/>
          <w:szCs w:val="18"/>
          <w:lang w:val="en-US"/>
        </w:rPr>
        <w:t xml:space="preserve">2025. </w:t>
      </w:r>
      <w:r w:rsidR="00244456" w:rsidRPr="000A53F8">
        <w:rPr>
          <w:rFonts w:asciiTheme="minorBidi" w:hAnsiTheme="minorBidi" w:cstheme="minorBidi"/>
          <w:color w:val="000000" w:themeColor="text1"/>
          <w:sz w:val="18"/>
          <w:szCs w:val="18"/>
          <w:lang w:val="en-US"/>
        </w:rPr>
        <w:t>Bathroom Battlegrounds and Penis Panics.</w:t>
      </w:r>
      <w:r w:rsidR="001E1413" w:rsidRPr="000A53F8">
        <w:rPr>
          <w:rFonts w:asciiTheme="minorBidi" w:hAnsiTheme="minorBidi" w:cstheme="minorBidi"/>
          <w:color w:val="000000" w:themeColor="text1"/>
          <w:sz w:val="18"/>
          <w:szCs w:val="18"/>
          <w:lang w:val="en-US"/>
        </w:rPr>
        <w:t xml:space="preserve"> </w:t>
      </w:r>
      <w:r w:rsidR="00ED1D90" w:rsidRPr="000A53F8">
        <w:rPr>
          <w:rFonts w:asciiTheme="minorBidi" w:hAnsiTheme="minorBidi" w:cstheme="minorBidi"/>
          <w:color w:val="000000" w:themeColor="text1"/>
          <w:sz w:val="18"/>
          <w:szCs w:val="18"/>
          <w:lang w:val="en-US"/>
        </w:rPr>
        <w:t>Sage Publications, American Sociological Association</w:t>
      </w:r>
      <w:r w:rsidR="00D62F16" w:rsidRPr="000A53F8">
        <w:rPr>
          <w:rFonts w:asciiTheme="minorBidi" w:hAnsiTheme="minorBidi" w:cstheme="minorBidi"/>
          <w:color w:val="000000" w:themeColor="text1"/>
          <w:sz w:val="18"/>
          <w:szCs w:val="18"/>
          <w:lang w:val="en-US"/>
        </w:rPr>
        <w:t>,</w:t>
      </w:r>
      <w:r w:rsidR="00ED1D90" w:rsidRPr="000A53F8">
        <w:rPr>
          <w:rFonts w:asciiTheme="minorBidi" w:hAnsiTheme="minorBidi" w:cstheme="minorBidi"/>
          <w:color w:val="000000" w:themeColor="text1"/>
          <w:sz w:val="18"/>
          <w:szCs w:val="18"/>
          <w:lang w:val="en-US"/>
        </w:rPr>
        <w:t xml:space="preserve"> </w:t>
      </w:r>
      <w:r w:rsidR="001E1413" w:rsidRPr="000A53F8">
        <w:rPr>
          <w:rFonts w:asciiTheme="minorBidi" w:hAnsiTheme="minorBidi" w:cstheme="minorBidi"/>
          <w:color w:val="000000" w:themeColor="text1"/>
          <w:sz w:val="18"/>
          <w:szCs w:val="18"/>
          <w:lang w:val="en-US"/>
        </w:rPr>
        <w:t>14</w:t>
      </w:r>
      <w:r w:rsidR="00357E09" w:rsidRPr="000A53F8">
        <w:rPr>
          <w:rFonts w:asciiTheme="minorBidi" w:hAnsiTheme="minorBidi" w:cstheme="minorBidi"/>
          <w:color w:val="000000" w:themeColor="text1"/>
          <w:sz w:val="18"/>
          <w:szCs w:val="18"/>
          <w:lang w:val="en-US"/>
        </w:rPr>
        <w:t>(</w:t>
      </w:r>
      <w:r w:rsidR="001E1413" w:rsidRPr="000A53F8">
        <w:rPr>
          <w:rFonts w:asciiTheme="minorBidi" w:hAnsiTheme="minorBidi" w:cstheme="minorBidi"/>
          <w:color w:val="000000" w:themeColor="text1"/>
          <w:sz w:val="18"/>
          <w:szCs w:val="18"/>
          <w:lang w:val="en-US"/>
        </w:rPr>
        <w:t>3</w:t>
      </w:r>
      <w:r w:rsidR="00357E09" w:rsidRPr="000A53F8">
        <w:rPr>
          <w:rFonts w:asciiTheme="minorBidi" w:hAnsiTheme="minorBidi" w:cstheme="minorBidi"/>
          <w:color w:val="000000" w:themeColor="text1"/>
          <w:sz w:val="18"/>
          <w:szCs w:val="18"/>
          <w:lang w:val="en-US"/>
        </w:rPr>
        <w:t>)</w:t>
      </w:r>
      <w:r w:rsidR="00A60516" w:rsidRPr="000A53F8">
        <w:rPr>
          <w:rFonts w:asciiTheme="minorBidi" w:hAnsiTheme="minorBidi" w:cstheme="minorBidi"/>
          <w:color w:val="000000" w:themeColor="text1"/>
          <w:sz w:val="18"/>
          <w:szCs w:val="18"/>
          <w:lang w:val="en-US"/>
        </w:rPr>
        <w:t xml:space="preserve">; así como </w:t>
      </w:r>
      <w:r w:rsidR="00A60516" w:rsidRPr="000A53F8">
        <w:rPr>
          <w:rFonts w:asciiTheme="minorBidi" w:hAnsiTheme="minorBidi" w:cstheme="minorBidi"/>
          <w:sz w:val="18"/>
          <w:szCs w:val="18"/>
          <w:lang w:val="en-US"/>
        </w:rPr>
        <w:t>Barnett, Brian S.;</w:t>
      </w:r>
      <w:r w:rsidR="00A60516" w:rsidRPr="000A53F8">
        <w:rPr>
          <w:rFonts w:asciiTheme="minorBidi" w:hAnsiTheme="minorBidi" w:cstheme="minorBidi"/>
          <w:i/>
          <w:iCs/>
          <w:sz w:val="18"/>
          <w:szCs w:val="18"/>
          <w:lang w:val="en-US"/>
        </w:rPr>
        <w:t xml:space="preserve"> et. al</w:t>
      </w:r>
      <w:r w:rsidR="00A60516" w:rsidRPr="000A53F8">
        <w:rPr>
          <w:rFonts w:asciiTheme="minorBidi" w:hAnsiTheme="minorBidi" w:cstheme="minorBidi"/>
          <w:sz w:val="18"/>
          <w:szCs w:val="18"/>
          <w:lang w:val="en-US"/>
        </w:rPr>
        <w:t xml:space="preserve">. 2018. The Transgender Bathroom Debate at the Intersection of Politics, Law, Ethics, and Science. The Journal of the American Academy of Psychiatry and the Law, 46. </w:t>
      </w:r>
    </w:p>
    <w:p w14:paraId="3BB83510" w14:textId="77777777" w:rsidR="00AF2114" w:rsidRDefault="00AF2114" w:rsidP="00FD3784">
      <w:pPr>
        <w:pStyle w:val="Textonotapie"/>
        <w:jc w:val="both"/>
        <w:rPr>
          <w:rFonts w:asciiTheme="minorBidi" w:hAnsiTheme="minorBidi" w:cstheme="minorBidi"/>
          <w:sz w:val="18"/>
          <w:szCs w:val="18"/>
          <w:lang w:val="en-US"/>
        </w:rPr>
      </w:pPr>
    </w:p>
    <w:p w14:paraId="202B5F96" w14:textId="77777777" w:rsidR="00AF2114" w:rsidRDefault="00AF2114" w:rsidP="00FD3784">
      <w:pPr>
        <w:pStyle w:val="Textonotapie"/>
        <w:jc w:val="both"/>
        <w:rPr>
          <w:rFonts w:asciiTheme="minorBidi" w:hAnsiTheme="minorBidi" w:cstheme="minorBidi"/>
          <w:sz w:val="18"/>
          <w:szCs w:val="18"/>
          <w:lang w:val="en-US"/>
        </w:rPr>
      </w:pPr>
    </w:p>
    <w:p w14:paraId="57DDAB81" w14:textId="77777777" w:rsidR="00AF2114" w:rsidRPr="000A53F8" w:rsidRDefault="00AF2114" w:rsidP="00FD3784">
      <w:pPr>
        <w:pStyle w:val="Textonotapie"/>
        <w:jc w:val="both"/>
        <w:rPr>
          <w:rFonts w:asciiTheme="minorBidi" w:hAnsiTheme="minorBidi" w:cstheme="minorBidi"/>
          <w:sz w:val="18"/>
          <w:szCs w:val="18"/>
          <w:lang w:val="en-US"/>
        </w:rPr>
      </w:pPr>
    </w:p>
  </w:footnote>
  <w:footnote w:id="84">
    <w:p w14:paraId="277FED65" w14:textId="77777777" w:rsidR="00052165" w:rsidRPr="000A53F8" w:rsidRDefault="00052165" w:rsidP="00FD3784">
      <w:pPr>
        <w:pStyle w:val="Textonotapie"/>
        <w:tabs>
          <w:tab w:val="left" w:pos="284"/>
        </w:tabs>
        <w:jc w:val="both"/>
        <w:rPr>
          <w:rFonts w:asciiTheme="minorBidi" w:hAnsiTheme="minorBidi" w:cstheme="minorBidi"/>
          <w:color w:val="000000" w:themeColor="text1"/>
          <w:sz w:val="18"/>
          <w:szCs w:val="18"/>
          <w:lang w:val="en-US"/>
        </w:rPr>
      </w:pPr>
      <w:r w:rsidRPr="000A53F8">
        <w:rPr>
          <w:rStyle w:val="Refdenotaalpie"/>
          <w:rFonts w:asciiTheme="minorBidi" w:hAnsiTheme="minorBidi" w:cstheme="minorBidi"/>
          <w:color w:val="000000" w:themeColor="text1"/>
          <w:sz w:val="18"/>
          <w:szCs w:val="18"/>
        </w:rPr>
        <w:footnoteRef/>
      </w:r>
      <w:r w:rsidR="0049610D" w:rsidRPr="000A53F8">
        <w:rPr>
          <w:rFonts w:asciiTheme="minorBidi" w:hAnsiTheme="minorBidi" w:cstheme="minorBidi"/>
          <w:color w:val="000000" w:themeColor="text1"/>
          <w:sz w:val="18"/>
          <w:szCs w:val="18"/>
        </w:rPr>
        <w:t xml:space="preserve"> </w:t>
      </w:r>
      <w:r w:rsidR="00C97559" w:rsidRPr="000A53F8">
        <w:rPr>
          <w:rFonts w:asciiTheme="minorBidi" w:hAnsiTheme="minorBidi" w:cstheme="minorBidi"/>
          <w:color w:val="000000" w:themeColor="text1"/>
          <w:sz w:val="18"/>
          <w:szCs w:val="18"/>
        </w:rPr>
        <w:t>Los investigadores Amira Hasenbush, Andrew R. Flores y Jody L. Herman</w:t>
      </w:r>
      <w:r w:rsidR="00923959" w:rsidRPr="000A53F8">
        <w:rPr>
          <w:rFonts w:asciiTheme="minorBidi" w:hAnsiTheme="minorBidi" w:cstheme="minorBidi"/>
          <w:color w:val="000000" w:themeColor="text1"/>
          <w:sz w:val="18"/>
          <w:szCs w:val="18"/>
        </w:rPr>
        <w:t xml:space="preserve"> realizaron un estudio comparativo en diversas</w:t>
      </w:r>
      <w:r w:rsidR="001E301C" w:rsidRPr="000A53F8">
        <w:rPr>
          <w:rFonts w:asciiTheme="minorBidi" w:hAnsiTheme="minorBidi" w:cstheme="minorBidi"/>
          <w:color w:val="000000" w:themeColor="text1"/>
          <w:sz w:val="18"/>
          <w:szCs w:val="18"/>
        </w:rPr>
        <w:t xml:space="preserve"> localidades en Massachusetts,</w:t>
      </w:r>
      <w:r w:rsidR="00923959" w:rsidRPr="000A53F8">
        <w:rPr>
          <w:rFonts w:asciiTheme="minorBidi" w:hAnsiTheme="minorBidi" w:cstheme="minorBidi"/>
          <w:color w:val="000000" w:themeColor="text1"/>
          <w:sz w:val="18"/>
          <w:szCs w:val="18"/>
        </w:rPr>
        <w:t xml:space="preserve"> Estados Unidos, </w:t>
      </w:r>
      <w:r w:rsidR="002B00CC" w:rsidRPr="000A53F8">
        <w:rPr>
          <w:rFonts w:asciiTheme="minorBidi" w:hAnsiTheme="minorBidi" w:cstheme="minorBidi"/>
          <w:color w:val="000000" w:themeColor="text1"/>
          <w:sz w:val="18"/>
          <w:szCs w:val="18"/>
        </w:rPr>
        <w:t>en los que algunos lugares habían implementado disposiciones sobre la prohibición de</w:t>
      </w:r>
      <w:r w:rsidR="001E301C" w:rsidRPr="000A53F8">
        <w:rPr>
          <w:rFonts w:asciiTheme="minorBidi" w:hAnsiTheme="minorBidi" w:cstheme="minorBidi"/>
          <w:color w:val="000000" w:themeColor="text1"/>
          <w:sz w:val="18"/>
          <w:szCs w:val="18"/>
        </w:rPr>
        <w:t xml:space="preserve"> discriminación en </w:t>
      </w:r>
      <w:r w:rsidR="002B00CC" w:rsidRPr="000A53F8">
        <w:rPr>
          <w:rFonts w:asciiTheme="minorBidi" w:hAnsiTheme="minorBidi" w:cstheme="minorBidi"/>
          <w:color w:val="000000" w:themeColor="text1"/>
          <w:sz w:val="18"/>
          <w:szCs w:val="18"/>
        </w:rPr>
        <w:t>espacios</w:t>
      </w:r>
      <w:r w:rsidR="001E301C" w:rsidRPr="000A53F8">
        <w:rPr>
          <w:rFonts w:asciiTheme="minorBidi" w:hAnsiTheme="minorBidi" w:cstheme="minorBidi"/>
          <w:color w:val="000000" w:themeColor="text1"/>
          <w:sz w:val="18"/>
          <w:szCs w:val="18"/>
        </w:rPr>
        <w:t xml:space="preserve"> públicos</w:t>
      </w:r>
      <w:r w:rsidR="002B00CC" w:rsidRPr="000A53F8">
        <w:rPr>
          <w:rFonts w:asciiTheme="minorBidi" w:hAnsiTheme="minorBidi" w:cstheme="minorBidi"/>
          <w:color w:val="000000" w:themeColor="text1"/>
          <w:sz w:val="18"/>
          <w:szCs w:val="18"/>
        </w:rPr>
        <w:t xml:space="preserve">, </w:t>
      </w:r>
      <w:r w:rsidR="00DB7DDC" w:rsidRPr="000A53F8">
        <w:rPr>
          <w:rFonts w:asciiTheme="minorBidi" w:hAnsiTheme="minorBidi" w:cstheme="minorBidi"/>
          <w:color w:val="000000" w:themeColor="text1"/>
          <w:sz w:val="18"/>
          <w:szCs w:val="18"/>
        </w:rPr>
        <w:t xml:space="preserve">con inclusión de cuestiones relacionadas con </w:t>
      </w:r>
      <w:r w:rsidR="001E301C" w:rsidRPr="000A53F8">
        <w:rPr>
          <w:rFonts w:asciiTheme="minorBidi" w:hAnsiTheme="minorBidi" w:cstheme="minorBidi"/>
          <w:color w:val="000000" w:themeColor="text1"/>
          <w:sz w:val="18"/>
          <w:szCs w:val="18"/>
        </w:rPr>
        <w:t>la identidad de género</w:t>
      </w:r>
      <w:r w:rsidR="002B00CC" w:rsidRPr="000A53F8">
        <w:rPr>
          <w:rFonts w:asciiTheme="minorBidi" w:hAnsiTheme="minorBidi" w:cstheme="minorBidi"/>
          <w:color w:val="000000" w:themeColor="text1"/>
          <w:sz w:val="18"/>
          <w:szCs w:val="18"/>
        </w:rPr>
        <w:t xml:space="preserve">, mientras que otros lugares no tenían tales </w:t>
      </w:r>
      <w:r w:rsidR="006707A9" w:rsidRPr="000A53F8">
        <w:rPr>
          <w:rFonts w:asciiTheme="minorBidi" w:hAnsiTheme="minorBidi" w:cstheme="minorBidi"/>
          <w:color w:val="000000" w:themeColor="text1"/>
          <w:sz w:val="18"/>
          <w:szCs w:val="18"/>
        </w:rPr>
        <w:t>leyes</w:t>
      </w:r>
      <w:r w:rsidR="001E301C" w:rsidRPr="000A53F8">
        <w:rPr>
          <w:rFonts w:asciiTheme="minorBidi" w:hAnsiTheme="minorBidi" w:cstheme="minorBidi"/>
          <w:color w:val="000000" w:themeColor="text1"/>
          <w:sz w:val="18"/>
          <w:szCs w:val="18"/>
        </w:rPr>
        <w:t xml:space="preserve">. El estudio </w:t>
      </w:r>
      <w:r w:rsidR="006707A9" w:rsidRPr="000A53F8">
        <w:rPr>
          <w:rFonts w:asciiTheme="minorBidi" w:hAnsiTheme="minorBidi" w:cstheme="minorBidi"/>
          <w:color w:val="000000" w:themeColor="text1"/>
          <w:sz w:val="18"/>
          <w:szCs w:val="18"/>
        </w:rPr>
        <w:t>concluyó</w:t>
      </w:r>
      <w:r w:rsidR="001E301C" w:rsidRPr="000A53F8">
        <w:rPr>
          <w:rFonts w:asciiTheme="minorBidi" w:hAnsiTheme="minorBidi" w:cstheme="minorBidi"/>
          <w:color w:val="000000" w:themeColor="text1"/>
          <w:sz w:val="18"/>
          <w:szCs w:val="18"/>
        </w:rPr>
        <w:t xml:space="preserve"> que la </w:t>
      </w:r>
      <w:r w:rsidR="00487BDE" w:rsidRPr="000A53F8">
        <w:rPr>
          <w:rFonts w:asciiTheme="minorBidi" w:hAnsiTheme="minorBidi" w:cstheme="minorBidi"/>
          <w:color w:val="000000" w:themeColor="text1"/>
          <w:sz w:val="18"/>
          <w:szCs w:val="18"/>
        </w:rPr>
        <w:t>implementación</w:t>
      </w:r>
      <w:r w:rsidR="001E301C" w:rsidRPr="000A53F8">
        <w:rPr>
          <w:rFonts w:asciiTheme="minorBidi" w:hAnsiTheme="minorBidi" w:cstheme="minorBidi"/>
          <w:color w:val="000000" w:themeColor="text1"/>
          <w:sz w:val="18"/>
          <w:szCs w:val="18"/>
        </w:rPr>
        <w:t xml:space="preserve"> de dichas leyes no está relacionada con el número ni la frecuencia de incidentes delictivos en </w:t>
      </w:r>
      <w:r w:rsidR="001255F1" w:rsidRPr="000A53F8">
        <w:rPr>
          <w:rFonts w:asciiTheme="minorBidi" w:hAnsiTheme="minorBidi" w:cstheme="minorBidi"/>
          <w:color w:val="000000" w:themeColor="text1"/>
          <w:sz w:val="18"/>
          <w:szCs w:val="18"/>
        </w:rPr>
        <w:t>sanitarios públicos ni vestidores</w:t>
      </w:r>
      <w:r w:rsidR="001E301C" w:rsidRPr="000A53F8">
        <w:rPr>
          <w:rFonts w:asciiTheme="minorBidi" w:hAnsiTheme="minorBidi" w:cstheme="minorBidi"/>
          <w:color w:val="000000" w:themeColor="text1"/>
          <w:sz w:val="18"/>
          <w:szCs w:val="18"/>
        </w:rPr>
        <w:t xml:space="preserve">. Además, </w:t>
      </w:r>
      <w:r w:rsidR="00487BDE" w:rsidRPr="000A53F8">
        <w:rPr>
          <w:rFonts w:asciiTheme="minorBidi" w:hAnsiTheme="minorBidi" w:cstheme="minorBidi"/>
          <w:color w:val="000000" w:themeColor="text1"/>
          <w:sz w:val="18"/>
          <w:szCs w:val="18"/>
        </w:rPr>
        <w:t>los autores sostienen</w:t>
      </w:r>
      <w:r w:rsidR="001E301C" w:rsidRPr="000A53F8">
        <w:rPr>
          <w:rFonts w:asciiTheme="minorBidi" w:hAnsiTheme="minorBidi" w:cstheme="minorBidi"/>
          <w:color w:val="000000" w:themeColor="text1"/>
          <w:sz w:val="18"/>
          <w:szCs w:val="18"/>
        </w:rPr>
        <w:t xml:space="preserve"> que los reportes de violaciones a la privacidad y la seguridad en</w:t>
      </w:r>
      <w:r w:rsidR="001255F1" w:rsidRPr="000A53F8">
        <w:rPr>
          <w:rFonts w:asciiTheme="minorBidi" w:hAnsiTheme="minorBidi" w:cstheme="minorBidi"/>
          <w:color w:val="000000" w:themeColor="text1"/>
          <w:sz w:val="18"/>
          <w:szCs w:val="18"/>
        </w:rPr>
        <w:t xml:space="preserve"> estos espacios </w:t>
      </w:r>
      <w:r w:rsidR="001E301C" w:rsidRPr="000A53F8">
        <w:rPr>
          <w:rFonts w:asciiTheme="minorBidi" w:hAnsiTheme="minorBidi" w:cstheme="minorBidi"/>
          <w:color w:val="000000" w:themeColor="text1"/>
          <w:sz w:val="18"/>
          <w:szCs w:val="18"/>
        </w:rPr>
        <w:t xml:space="preserve">son extremadamente raros. </w:t>
      </w:r>
      <w:r w:rsidR="00693AE1" w:rsidRPr="000A53F8">
        <w:rPr>
          <w:rFonts w:asciiTheme="minorBidi" w:hAnsiTheme="minorBidi" w:cstheme="minorBidi"/>
          <w:color w:val="000000" w:themeColor="text1"/>
          <w:sz w:val="18"/>
          <w:szCs w:val="18"/>
        </w:rPr>
        <w:t>Por ello, los investigadores sostienen que este</w:t>
      </w:r>
      <w:r w:rsidR="001E301C" w:rsidRPr="000A53F8">
        <w:rPr>
          <w:rFonts w:asciiTheme="minorBidi" w:hAnsiTheme="minorBidi" w:cstheme="minorBidi"/>
          <w:color w:val="000000" w:themeColor="text1"/>
          <w:sz w:val="18"/>
          <w:szCs w:val="18"/>
        </w:rPr>
        <w:t xml:space="preserve"> estudio proporciona evidencia de que los temores sobre un aumento en las violaciones de seguridad y privacidad como resultado de leyes de no discriminación no tienen sustento empírico.</w:t>
      </w:r>
      <w:r w:rsidR="00693AE1" w:rsidRPr="000A53F8">
        <w:rPr>
          <w:rFonts w:asciiTheme="minorBidi" w:hAnsiTheme="minorBidi" w:cstheme="minorBidi"/>
          <w:color w:val="000000" w:themeColor="text1"/>
          <w:sz w:val="18"/>
          <w:szCs w:val="18"/>
        </w:rPr>
        <w:t xml:space="preserve"> </w:t>
      </w:r>
      <w:r w:rsidR="00693AE1" w:rsidRPr="000A53F8">
        <w:rPr>
          <w:rFonts w:asciiTheme="minorBidi" w:hAnsiTheme="minorBidi" w:cstheme="minorBidi"/>
          <w:i/>
          <w:iCs/>
          <w:color w:val="000000" w:themeColor="text1"/>
          <w:sz w:val="18"/>
          <w:szCs w:val="18"/>
          <w:lang w:val="en-US"/>
        </w:rPr>
        <w:t>Vid</w:t>
      </w:r>
      <w:r w:rsidR="00693AE1" w:rsidRPr="000A53F8">
        <w:rPr>
          <w:rFonts w:asciiTheme="minorBidi" w:hAnsiTheme="minorBidi" w:cstheme="minorBidi"/>
          <w:color w:val="000000" w:themeColor="text1"/>
          <w:sz w:val="18"/>
          <w:szCs w:val="18"/>
          <w:lang w:val="en-US"/>
        </w:rPr>
        <w:t xml:space="preserve">., Hasenbush, Amira, Flores, Andrew, y Herman Jody, </w:t>
      </w:r>
      <w:r w:rsidR="0027479F" w:rsidRPr="000A53F8">
        <w:rPr>
          <w:rFonts w:asciiTheme="minorBidi" w:hAnsiTheme="minorBidi" w:cstheme="minorBidi"/>
          <w:color w:val="000000" w:themeColor="text1"/>
          <w:sz w:val="18"/>
          <w:szCs w:val="18"/>
          <w:lang w:val="en-US"/>
        </w:rPr>
        <w:t xml:space="preserve">2019, </w:t>
      </w:r>
      <w:r w:rsidR="00693AE1" w:rsidRPr="000A53F8">
        <w:rPr>
          <w:rFonts w:asciiTheme="minorBidi" w:hAnsiTheme="minorBidi" w:cstheme="minorBidi"/>
          <w:color w:val="000000" w:themeColor="text1"/>
          <w:sz w:val="18"/>
          <w:szCs w:val="18"/>
          <w:lang w:val="en-US"/>
        </w:rPr>
        <w:t xml:space="preserve">Gender Identity Nondiscrimination Laws in Public Accommodations: </w:t>
      </w:r>
      <w:r w:rsidR="001255F1" w:rsidRPr="000A53F8">
        <w:rPr>
          <w:rFonts w:asciiTheme="minorBidi" w:hAnsiTheme="minorBidi" w:cstheme="minorBidi"/>
          <w:color w:val="000000" w:themeColor="text1"/>
          <w:sz w:val="18"/>
          <w:szCs w:val="18"/>
          <w:lang w:val="en-US"/>
        </w:rPr>
        <w:t>A</w:t>
      </w:r>
      <w:r w:rsidR="00693AE1" w:rsidRPr="000A53F8">
        <w:rPr>
          <w:rFonts w:asciiTheme="minorBidi" w:hAnsiTheme="minorBidi" w:cstheme="minorBidi"/>
          <w:color w:val="000000" w:themeColor="text1"/>
          <w:sz w:val="18"/>
          <w:szCs w:val="18"/>
          <w:lang w:val="en-US"/>
        </w:rPr>
        <w:t xml:space="preserve"> Review of Evidence Regarding Safety and Privacy in Public Restrooms, Locker Rooms, and Changing Rooms, Sexuality Research and Social Policy, 16</w:t>
      </w:r>
      <w:r w:rsidR="00FD028B" w:rsidRPr="000A53F8">
        <w:rPr>
          <w:rFonts w:asciiTheme="minorBidi" w:hAnsiTheme="minorBidi" w:cstheme="minorBidi"/>
          <w:color w:val="000000" w:themeColor="text1"/>
          <w:sz w:val="18"/>
          <w:szCs w:val="18"/>
          <w:lang w:val="en-US"/>
        </w:rPr>
        <w:t>.</w:t>
      </w:r>
      <w:r w:rsidR="003B4C04" w:rsidRPr="000A53F8">
        <w:rPr>
          <w:rFonts w:asciiTheme="minorBidi" w:hAnsiTheme="minorBidi" w:cstheme="minorBidi"/>
          <w:color w:val="000000" w:themeColor="text1"/>
          <w:sz w:val="18"/>
          <w:szCs w:val="18"/>
          <w:lang w:val="en-US"/>
        </w:rPr>
        <w:t xml:space="preserve"> En similar sentido</w:t>
      </w:r>
      <w:r w:rsidR="003C306F" w:rsidRPr="000A53F8">
        <w:rPr>
          <w:rFonts w:asciiTheme="minorBidi" w:hAnsiTheme="minorBidi" w:cstheme="minorBidi"/>
          <w:color w:val="000000" w:themeColor="text1"/>
          <w:sz w:val="18"/>
          <w:szCs w:val="18"/>
          <w:lang w:val="en-US"/>
        </w:rPr>
        <w:t>,</w:t>
      </w:r>
      <w:r w:rsidR="003B4C04" w:rsidRPr="000A53F8">
        <w:rPr>
          <w:rFonts w:asciiTheme="minorBidi" w:hAnsiTheme="minorBidi" w:cstheme="minorBidi"/>
          <w:color w:val="000000" w:themeColor="text1"/>
          <w:sz w:val="18"/>
          <w:szCs w:val="18"/>
          <w:lang w:val="en-US"/>
        </w:rPr>
        <w:t xml:space="preserve"> </w:t>
      </w:r>
      <w:r w:rsidR="003B4C04" w:rsidRPr="000A53F8">
        <w:rPr>
          <w:rFonts w:asciiTheme="minorBidi" w:hAnsiTheme="minorBidi" w:cstheme="minorBidi"/>
          <w:i/>
          <w:iCs/>
          <w:color w:val="000000" w:themeColor="text1"/>
          <w:sz w:val="18"/>
          <w:szCs w:val="18"/>
          <w:lang w:val="en-US"/>
        </w:rPr>
        <w:t>vid</w:t>
      </w:r>
      <w:r w:rsidR="003B4C04" w:rsidRPr="000A53F8">
        <w:rPr>
          <w:rFonts w:asciiTheme="minorBidi" w:hAnsiTheme="minorBidi" w:cstheme="minorBidi"/>
          <w:color w:val="000000" w:themeColor="text1"/>
          <w:sz w:val="18"/>
          <w:szCs w:val="18"/>
          <w:lang w:val="en-US"/>
        </w:rPr>
        <w:t>.,</w:t>
      </w:r>
      <w:r w:rsidR="0058360F" w:rsidRPr="000A53F8">
        <w:rPr>
          <w:rFonts w:asciiTheme="minorBidi" w:hAnsiTheme="minorBidi" w:cstheme="minorBidi"/>
          <w:color w:val="000000" w:themeColor="text1"/>
          <w:sz w:val="18"/>
          <w:szCs w:val="18"/>
          <w:lang w:val="en-US"/>
        </w:rPr>
        <w:t xml:space="preserve"> </w:t>
      </w:r>
      <w:r w:rsidR="009A5760" w:rsidRPr="000A53F8">
        <w:rPr>
          <w:rFonts w:asciiTheme="minorBidi" w:hAnsiTheme="minorBidi" w:cstheme="minorBidi"/>
          <w:color w:val="000000" w:themeColor="text1"/>
          <w:sz w:val="18"/>
          <w:szCs w:val="18"/>
          <w:lang w:val="en-US"/>
        </w:rPr>
        <w:t>Beatriz Pagliarini</w:t>
      </w:r>
      <w:r w:rsidR="0058360F" w:rsidRPr="000A53F8">
        <w:rPr>
          <w:rFonts w:asciiTheme="minorBidi" w:hAnsiTheme="minorBidi" w:cstheme="minorBidi"/>
          <w:color w:val="000000" w:themeColor="text1"/>
          <w:sz w:val="18"/>
          <w:szCs w:val="18"/>
          <w:lang w:val="en-US"/>
        </w:rPr>
        <w:t xml:space="preserve">; </w:t>
      </w:r>
      <w:r w:rsidR="009A5760" w:rsidRPr="000A53F8">
        <w:rPr>
          <w:rFonts w:asciiTheme="minorBidi" w:hAnsiTheme="minorBidi" w:cstheme="minorBidi"/>
          <w:color w:val="000000" w:themeColor="text1"/>
          <w:sz w:val="18"/>
          <w:szCs w:val="18"/>
          <w:lang w:val="en-US"/>
        </w:rPr>
        <w:t xml:space="preserve">Tyara </w:t>
      </w:r>
      <w:r w:rsidR="0058360F" w:rsidRPr="000A53F8">
        <w:rPr>
          <w:rFonts w:asciiTheme="minorBidi" w:hAnsiTheme="minorBidi" w:cstheme="minorBidi"/>
          <w:color w:val="000000" w:themeColor="text1"/>
          <w:sz w:val="18"/>
          <w:szCs w:val="18"/>
          <w:lang w:val="en-US"/>
        </w:rPr>
        <w:t xml:space="preserve">V. </w:t>
      </w:r>
      <w:r w:rsidR="009A5760" w:rsidRPr="000A53F8">
        <w:rPr>
          <w:rFonts w:asciiTheme="minorBidi" w:hAnsiTheme="minorBidi" w:cstheme="minorBidi"/>
          <w:color w:val="000000" w:themeColor="text1"/>
          <w:sz w:val="18"/>
          <w:szCs w:val="18"/>
          <w:lang w:val="en-US"/>
        </w:rPr>
        <w:t>Chaves</w:t>
      </w:r>
      <w:r w:rsidR="0058360F" w:rsidRPr="000A53F8">
        <w:rPr>
          <w:rFonts w:asciiTheme="minorBidi" w:hAnsiTheme="minorBidi" w:cstheme="minorBidi"/>
          <w:color w:val="000000" w:themeColor="text1"/>
          <w:sz w:val="18"/>
          <w:szCs w:val="18"/>
          <w:lang w:val="en-US"/>
        </w:rPr>
        <w:t xml:space="preserve">; </w:t>
      </w:r>
      <w:r w:rsidR="009A5760" w:rsidRPr="000A53F8">
        <w:rPr>
          <w:rFonts w:asciiTheme="minorBidi" w:hAnsiTheme="minorBidi" w:cstheme="minorBidi"/>
          <w:color w:val="000000" w:themeColor="text1"/>
          <w:sz w:val="18"/>
          <w:szCs w:val="18"/>
          <w:lang w:val="en-US"/>
        </w:rPr>
        <w:t xml:space="preserve">Mónica G. Zoppi, </w:t>
      </w:r>
      <w:r w:rsidR="0058360F" w:rsidRPr="000A53F8">
        <w:rPr>
          <w:rFonts w:asciiTheme="minorBidi" w:hAnsiTheme="minorBidi" w:cstheme="minorBidi"/>
          <w:color w:val="000000" w:themeColor="text1"/>
          <w:sz w:val="18"/>
          <w:szCs w:val="18"/>
          <w:lang w:val="en-US"/>
        </w:rPr>
        <w:t xml:space="preserve">2021, </w:t>
      </w:r>
      <w:r w:rsidR="009A5760" w:rsidRPr="000A53F8">
        <w:rPr>
          <w:rFonts w:asciiTheme="minorBidi" w:hAnsiTheme="minorBidi" w:cstheme="minorBidi"/>
          <w:color w:val="000000" w:themeColor="text1"/>
          <w:sz w:val="18"/>
          <w:szCs w:val="18"/>
          <w:lang w:val="en-US"/>
        </w:rPr>
        <w:t>Trans Women and Public Restrooms:</w:t>
      </w:r>
      <w:r w:rsidR="0058360F" w:rsidRPr="000A53F8">
        <w:rPr>
          <w:rFonts w:asciiTheme="minorBidi" w:hAnsiTheme="minorBidi" w:cstheme="minorBidi"/>
          <w:color w:val="000000" w:themeColor="text1"/>
          <w:sz w:val="18"/>
          <w:szCs w:val="18"/>
          <w:lang w:val="en-US"/>
        </w:rPr>
        <w:t xml:space="preserve"> </w:t>
      </w:r>
      <w:r w:rsidR="009A5760" w:rsidRPr="000A53F8">
        <w:rPr>
          <w:rFonts w:asciiTheme="minorBidi" w:hAnsiTheme="minorBidi" w:cstheme="minorBidi"/>
          <w:color w:val="000000" w:themeColor="text1"/>
          <w:sz w:val="18"/>
          <w:szCs w:val="18"/>
          <w:lang w:val="en-US"/>
        </w:rPr>
        <w:t>The Legal Discourse and Its Violence</w:t>
      </w:r>
      <w:r w:rsidR="000B5329" w:rsidRPr="000A53F8">
        <w:rPr>
          <w:rFonts w:asciiTheme="minorBidi" w:hAnsiTheme="minorBidi" w:cstheme="minorBidi"/>
          <w:color w:val="000000" w:themeColor="text1"/>
          <w:sz w:val="18"/>
          <w:szCs w:val="18"/>
          <w:lang w:val="en-US"/>
        </w:rPr>
        <w:t>, Frontiers in</w:t>
      </w:r>
      <w:r w:rsidR="000132CF" w:rsidRPr="000A53F8">
        <w:rPr>
          <w:rFonts w:asciiTheme="minorBidi" w:hAnsiTheme="minorBidi" w:cstheme="minorBidi"/>
          <w:color w:val="000000" w:themeColor="text1"/>
          <w:sz w:val="18"/>
          <w:szCs w:val="18"/>
          <w:lang w:val="en-US"/>
        </w:rPr>
        <w:t xml:space="preserve"> </w:t>
      </w:r>
      <w:r w:rsidR="000B5329" w:rsidRPr="000A53F8">
        <w:rPr>
          <w:rFonts w:asciiTheme="minorBidi" w:hAnsiTheme="minorBidi" w:cstheme="minorBidi"/>
          <w:color w:val="000000" w:themeColor="text1"/>
          <w:sz w:val="18"/>
          <w:szCs w:val="18"/>
          <w:lang w:val="en-US"/>
        </w:rPr>
        <w:t xml:space="preserve">Sociology. </w:t>
      </w:r>
    </w:p>
  </w:footnote>
  <w:footnote w:id="85">
    <w:p w14:paraId="522C21CD" w14:textId="77777777" w:rsidR="00AA3BE9" w:rsidRPr="000A53F8" w:rsidRDefault="00AA3BE9" w:rsidP="00FD3784">
      <w:pPr>
        <w:pStyle w:val="Textonotapie"/>
        <w:tabs>
          <w:tab w:val="left" w:pos="284"/>
        </w:tabs>
        <w:jc w:val="both"/>
        <w:rPr>
          <w:rFonts w:asciiTheme="minorBidi" w:hAnsiTheme="minorBidi" w:cstheme="minorBidi"/>
          <w:color w:val="000000" w:themeColor="text1"/>
          <w:sz w:val="18"/>
          <w:szCs w:val="18"/>
          <w:lang w:val="en-US"/>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lang w:val="en-US"/>
        </w:rPr>
        <w:t xml:space="preserve"> National Task Force to End Sexual and Domestic Violence Against Women, 2018, National Consensus Statement of Anti-Sexual Assault and Domestic Violence Organizations in Support of Full and Equal Access for the Transgender Community. </w:t>
      </w:r>
      <w:r w:rsidRPr="000A53F8">
        <w:rPr>
          <w:rFonts w:asciiTheme="minorBidi" w:hAnsiTheme="minorBidi" w:cstheme="minorBidi"/>
          <w:color w:val="000000" w:themeColor="text1"/>
          <w:sz w:val="18"/>
          <w:szCs w:val="18"/>
        </w:rPr>
        <w:t xml:space="preserve">Para ejemplificar lo anterior, Bagagli recuenta que, en el 2019, un diputado local de Brasil señaló lo siguiente en una sesión de la Asamblea Legislativa de São Paulo, en contra de las mujeres trans: “Si por casualidad, dentro de un sanitario de mujeres, que mi hermana o mi madre está usando, entra un hombre que se siente mujer o que puede haberse quitado o puesto lo que quiera, no me importa: lo voy a sacar a golpes de allí primero y luego llamaré a la policía”. </w:t>
      </w:r>
      <w:r w:rsidRPr="000A53F8">
        <w:rPr>
          <w:rFonts w:asciiTheme="minorBidi" w:hAnsiTheme="minorBidi" w:cstheme="minorBidi"/>
          <w:i/>
          <w:color w:val="000000" w:themeColor="text1"/>
          <w:sz w:val="18"/>
          <w:szCs w:val="18"/>
          <w:lang w:val="en-US"/>
        </w:rPr>
        <w:t>Vid</w:t>
      </w:r>
      <w:r w:rsidRPr="000A53F8">
        <w:rPr>
          <w:rFonts w:asciiTheme="minorBidi" w:hAnsiTheme="minorBidi" w:cstheme="minorBidi"/>
          <w:color w:val="000000" w:themeColor="text1"/>
          <w:sz w:val="18"/>
          <w:szCs w:val="18"/>
          <w:lang w:val="en-US"/>
        </w:rPr>
        <w:t xml:space="preserve">., Bagagli, Trans Women and Public Restrooms: The Legal Discourse and Its Violence; p. 2. </w:t>
      </w:r>
    </w:p>
  </w:footnote>
  <w:footnote w:id="86">
    <w:p w14:paraId="5A4E11CD" w14:textId="5ECABB0D" w:rsidR="0000088F" w:rsidRPr="000A53F8" w:rsidDel="009B39E3" w:rsidRDefault="00861197" w:rsidP="00FD3784">
      <w:pPr>
        <w:jc w:val="both"/>
        <w:rPr>
          <w:rFonts w:asciiTheme="minorBidi" w:hAnsiTheme="minorBidi"/>
          <w:sz w:val="18"/>
          <w:szCs w:val="18"/>
          <w:lang w:val="en-US"/>
        </w:rPr>
      </w:pPr>
      <w:r w:rsidRPr="000A53F8" w:rsidDel="009B39E3">
        <w:rPr>
          <w:rStyle w:val="Refdenotaalpie"/>
          <w:rFonts w:asciiTheme="minorBidi" w:hAnsiTheme="minorBidi"/>
          <w:sz w:val="18"/>
          <w:szCs w:val="18"/>
        </w:rPr>
        <w:footnoteRef/>
      </w:r>
      <w:r w:rsidR="00B611E3" w:rsidRPr="000A53F8">
        <w:rPr>
          <w:rFonts w:asciiTheme="minorBidi" w:hAnsiTheme="minorBidi"/>
          <w:sz w:val="18"/>
          <w:szCs w:val="18"/>
        </w:rPr>
        <w:t xml:space="preserve"> </w:t>
      </w:r>
      <w:r w:rsidR="009B39E3" w:rsidRPr="000A53F8">
        <w:rPr>
          <w:rFonts w:asciiTheme="minorBidi" w:hAnsiTheme="minorBidi"/>
          <w:sz w:val="18"/>
          <w:szCs w:val="18"/>
        </w:rPr>
        <w:t xml:space="preserve">Un estudio reciente sobre políticas restrictivas frente a personas trans jóvenes concluyó que </w:t>
      </w:r>
      <w:r w:rsidR="009B39E3" w:rsidRPr="000A53F8">
        <w:rPr>
          <w:rFonts w:asciiTheme="minorBidi" w:hAnsiTheme="minorBidi"/>
          <w:color w:val="000000" w:themeColor="text1"/>
          <w:sz w:val="18"/>
          <w:szCs w:val="18"/>
          <w:lang w:val="es-ES"/>
        </w:rPr>
        <w:t xml:space="preserve">las personas trans que tenían restringido el uso de los sanitarios y vestidores conforme al género con el que se identifican tenían más probabilidades de ser víctimas de agresiones sexuales que los que no tenían tales restricciones. </w:t>
      </w:r>
      <w:r w:rsidR="003504EC" w:rsidRPr="000A53F8">
        <w:rPr>
          <w:rFonts w:asciiTheme="minorBidi" w:hAnsiTheme="minorBidi"/>
          <w:sz w:val="18"/>
          <w:szCs w:val="18"/>
        </w:rPr>
        <w:t xml:space="preserve">Este estudio transversal de 2017 </w:t>
      </w:r>
      <w:r w:rsidR="001B528A" w:rsidRPr="000A53F8">
        <w:rPr>
          <w:rFonts w:asciiTheme="minorBidi" w:hAnsiTheme="minorBidi"/>
          <w:sz w:val="18"/>
          <w:szCs w:val="18"/>
        </w:rPr>
        <w:t>se realizó</w:t>
      </w:r>
      <w:r w:rsidR="003504EC" w:rsidRPr="000A53F8">
        <w:rPr>
          <w:rFonts w:asciiTheme="minorBidi" w:hAnsiTheme="minorBidi"/>
          <w:sz w:val="18"/>
          <w:szCs w:val="18"/>
        </w:rPr>
        <w:t xml:space="preserve"> con 3,673 adolescentes trans</w:t>
      </w:r>
      <w:r w:rsidR="00095D67" w:rsidRPr="000A53F8">
        <w:rPr>
          <w:rFonts w:asciiTheme="minorBidi" w:hAnsiTheme="minorBidi"/>
          <w:sz w:val="18"/>
          <w:szCs w:val="18"/>
        </w:rPr>
        <w:t xml:space="preserve"> </w:t>
      </w:r>
      <w:r w:rsidR="003504EC" w:rsidRPr="000A53F8">
        <w:rPr>
          <w:rFonts w:asciiTheme="minorBidi" w:hAnsiTheme="minorBidi"/>
          <w:sz w:val="18"/>
          <w:szCs w:val="18"/>
        </w:rPr>
        <w:t>y no binarios de séptimo a duodécimo grado de escolaridad</w:t>
      </w:r>
      <w:r w:rsidR="001B528A" w:rsidRPr="000A53F8">
        <w:rPr>
          <w:rFonts w:asciiTheme="minorBidi" w:hAnsiTheme="minorBidi"/>
          <w:sz w:val="18"/>
          <w:szCs w:val="18"/>
        </w:rPr>
        <w:t xml:space="preserve">. El estudio </w:t>
      </w:r>
      <w:r w:rsidR="003504EC" w:rsidRPr="000A53F8">
        <w:rPr>
          <w:rFonts w:asciiTheme="minorBidi" w:hAnsiTheme="minorBidi"/>
          <w:sz w:val="18"/>
          <w:szCs w:val="18"/>
        </w:rPr>
        <w:t xml:space="preserve">reveló tasas alarmantes de victimización por agresión sexual dentro de esta población. Durante un período de 12 meses, la prevalencia de agresión sexual fue más alta entre los </w:t>
      </w:r>
      <w:r w:rsidR="00F76DC8" w:rsidRPr="000A53F8">
        <w:rPr>
          <w:rFonts w:asciiTheme="minorBidi" w:hAnsiTheme="minorBidi"/>
          <w:sz w:val="18"/>
          <w:szCs w:val="18"/>
        </w:rPr>
        <w:t>jóvenes</w:t>
      </w:r>
      <w:r w:rsidR="003504EC" w:rsidRPr="000A53F8">
        <w:rPr>
          <w:rFonts w:asciiTheme="minorBidi" w:hAnsiTheme="minorBidi"/>
          <w:sz w:val="18"/>
          <w:szCs w:val="18"/>
        </w:rPr>
        <w:t xml:space="preserve"> trans (26.5%) y los jóvenes no binarios asignados mujer al nacer (27.0%), seguidos de las </w:t>
      </w:r>
      <w:r w:rsidR="00F76DC8" w:rsidRPr="000A53F8">
        <w:rPr>
          <w:rFonts w:asciiTheme="minorBidi" w:hAnsiTheme="minorBidi"/>
          <w:sz w:val="18"/>
          <w:szCs w:val="18"/>
        </w:rPr>
        <w:t>jóvenes</w:t>
      </w:r>
      <w:r w:rsidR="003504EC" w:rsidRPr="000A53F8">
        <w:rPr>
          <w:rFonts w:asciiTheme="minorBidi" w:hAnsiTheme="minorBidi"/>
          <w:sz w:val="18"/>
          <w:szCs w:val="18"/>
        </w:rPr>
        <w:t xml:space="preserve"> trans (18.5%) y los jóvenes no binarios asignados hombre al nacer (17.6%). </w:t>
      </w:r>
      <w:r w:rsidR="00F76DC8" w:rsidRPr="000A53F8">
        <w:rPr>
          <w:rFonts w:asciiTheme="minorBidi" w:hAnsiTheme="minorBidi"/>
          <w:sz w:val="18"/>
          <w:szCs w:val="18"/>
        </w:rPr>
        <w:t>Asimismo, l</w:t>
      </w:r>
      <w:r w:rsidR="003504EC" w:rsidRPr="000A53F8">
        <w:rPr>
          <w:rFonts w:asciiTheme="minorBidi" w:hAnsiTheme="minorBidi"/>
          <w:sz w:val="18"/>
          <w:szCs w:val="18"/>
        </w:rPr>
        <w:t xml:space="preserve">as políticas escolares restrictivas que impiden a estos adolescentes usar baños y vestidores acordes a su identidad de género se asociaron con un mayor riesgo de agresión sexual, particularmente en las </w:t>
      </w:r>
      <w:r w:rsidR="003F07BB" w:rsidRPr="000A53F8">
        <w:rPr>
          <w:rFonts w:asciiTheme="minorBidi" w:hAnsiTheme="minorBidi"/>
          <w:sz w:val="18"/>
          <w:szCs w:val="18"/>
        </w:rPr>
        <w:t>jóvenes</w:t>
      </w:r>
      <w:r w:rsidR="003504EC" w:rsidRPr="000A53F8">
        <w:rPr>
          <w:rFonts w:asciiTheme="minorBidi" w:hAnsiTheme="minorBidi"/>
          <w:sz w:val="18"/>
          <w:szCs w:val="18"/>
        </w:rPr>
        <w:t xml:space="preserve"> trans</w:t>
      </w:r>
      <w:r w:rsidR="00095D67" w:rsidRPr="000A53F8">
        <w:rPr>
          <w:rFonts w:asciiTheme="minorBidi" w:hAnsiTheme="minorBidi"/>
          <w:sz w:val="18"/>
          <w:szCs w:val="18"/>
        </w:rPr>
        <w:t xml:space="preserve"> </w:t>
      </w:r>
      <w:r w:rsidR="003504EC" w:rsidRPr="000A53F8">
        <w:rPr>
          <w:rFonts w:asciiTheme="minorBidi" w:hAnsiTheme="minorBidi"/>
          <w:sz w:val="18"/>
          <w:szCs w:val="18"/>
        </w:rPr>
        <w:t>y los jóvenes no binarios asignados mujer al nacer</w:t>
      </w:r>
      <w:r w:rsidR="00F76DC8" w:rsidRPr="000A53F8">
        <w:rPr>
          <w:rFonts w:asciiTheme="minorBidi" w:hAnsiTheme="minorBidi"/>
          <w:sz w:val="18"/>
          <w:szCs w:val="18"/>
        </w:rPr>
        <w:t>.</w:t>
      </w:r>
      <w:r w:rsidR="003504EC" w:rsidRPr="000A53F8">
        <w:rPr>
          <w:rFonts w:asciiTheme="minorBidi" w:hAnsiTheme="minorBidi"/>
          <w:sz w:val="18"/>
          <w:szCs w:val="18"/>
        </w:rPr>
        <w:t xml:space="preserve"> Estos hallazgos resaltan el posible daño de dichas políticas</w:t>
      </w:r>
      <w:r w:rsidR="008D6C7A" w:rsidRPr="000A53F8">
        <w:rPr>
          <w:rFonts w:asciiTheme="minorBidi" w:hAnsiTheme="minorBidi"/>
          <w:sz w:val="18"/>
          <w:szCs w:val="18"/>
        </w:rPr>
        <w:t xml:space="preserve"> a</w:t>
      </w:r>
      <w:r w:rsidR="003504EC" w:rsidRPr="000A53F8">
        <w:rPr>
          <w:rFonts w:asciiTheme="minorBidi" w:hAnsiTheme="minorBidi"/>
          <w:sz w:val="18"/>
          <w:szCs w:val="18"/>
        </w:rPr>
        <w:t xml:space="preserve"> y la necesidad de que pediatras y educadores promuevan entornos inclusivos para reducir los riesgos de victimización en los jóvenes </w:t>
      </w:r>
      <w:r w:rsidR="008D6C7A" w:rsidRPr="000A53F8">
        <w:rPr>
          <w:rFonts w:asciiTheme="minorBidi" w:hAnsiTheme="minorBidi"/>
          <w:sz w:val="18"/>
          <w:szCs w:val="18"/>
        </w:rPr>
        <w:t>trans</w:t>
      </w:r>
      <w:r w:rsidR="003504EC" w:rsidRPr="000A53F8">
        <w:rPr>
          <w:rFonts w:asciiTheme="minorBidi" w:hAnsiTheme="minorBidi"/>
          <w:sz w:val="18"/>
          <w:szCs w:val="18"/>
        </w:rPr>
        <w:t xml:space="preserve"> y no binarios.</w:t>
      </w:r>
      <w:r w:rsidR="008D6C7A" w:rsidRPr="000A53F8">
        <w:rPr>
          <w:rFonts w:asciiTheme="minorBidi" w:hAnsiTheme="minorBidi"/>
          <w:sz w:val="18"/>
          <w:szCs w:val="18"/>
        </w:rPr>
        <w:t xml:space="preserve"> </w:t>
      </w:r>
      <w:r w:rsidR="008D6C7A" w:rsidRPr="000A53F8">
        <w:rPr>
          <w:rFonts w:asciiTheme="minorBidi" w:hAnsiTheme="minorBidi"/>
          <w:i/>
          <w:iCs/>
          <w:sz w:val="18"/>
          <w:szCs w:val="18"/>
          <w:lang w:val="en-US"/>
        </w:rPr>
        <w:t>Vid</w:t>
      </w:r>
      <w:r w:rsidR="008D6C7A" w:rsidRPr="000A53F8">
        <w:rPr>
          <w:rFonts w:asciiTheme="minorBidi" w:hAnsiTheme="minorBidi"/>
          <w:sz w:val="18"/>
          <w:szCs w:val="18"/>
          <w:lang w:val="en-US"/>
        </w:rPr>
        <w:t>., Murchison, Gabriel R.;</w:t>
      </w:r>
      <w:r w:rsidR="008D6C7A" w:rsidRPr="000A53F8">
        <w:rPr>
          <w:rFonts w:asciiTheme="minorBidi" w:hAnsiTheme="minorBidi"/>
          <w:i/>
          <w:iCs/>
          <w:sz w:val="18"/>
          <w:szCs w:val="18"/>
          <w:lang w:val="en-US"/>
        </w:rPr>
        <w:t xml:space="preserve"> et al</w:t>
      </w:r>
      <w:r w:rsidR="008D6C7A" w:rsidRPr="000A53F8">
        <w:rPr>
          <w:rFonts w:asciiTheme="minorBidi" w:hAnsiTheme="minorBidi"/>
          <w:sz w:val="18"/>
          <w:szCs w:val="18"/>
          <w:lang w:val="en-US"/>
        </w:rPr>
        <w:t>. 2019. School restroom and locker room restrictions and sexual assault risk among transgender youth. Pediatrics, </w:t>
      </w:r>
      <w:r w:rsidR="00DD1CD7" w:rsidRPr="000A53F8">
        <w:rPr>
          <w:rFonts w:asciiTheme="minorBidi" w:hAnsiTheme="minorBidi"/>
          <w:sz w:val="18"/>
          <w:szCs w:val="18"/>
          <w:lang w:val="en-US"/>
        </w:rPr>
        <w:t xml:space="preserve">Vol. </w:t>
      </w:r>
      <w:r w:rsidR="008D6C7A" w:rsidRPr="000A53F8">
        <w:rPr>
          <w:rFonts w:asciiTheme="minorBidi" w:hAnsiTheme="minorBidi"/>
          <w:sz w:val="18"/>
          <w:szCs w:val="18"/>
          <w:lang w:val="en-US"/>
        </w:rPr>
        <w:t>143</w:t>
      </w:r>
      <w:r w:rsidR="00DD1CD7" w:rsidRPr="000A53F8">
        <w:rPr>
          <w:rFonts w:asciiTheme="minorBidi" w:hAnsiTheme="minorBidi"/>
          <w:sz w:val="18"/>
          <w:szCs w:val="18"/>
          <w:lang w:val="en-US"/>
        </w:rPr>
        <w:t xml:space="preserve">, No. </w:t>
      </w:r>
      <w:r w:rsidR="008D6C7A" w:rsidRPr="000A53F8">
        <w:rPr>
          <w:rFonts w:asciiTheme="minorBidi" w:hAnsiTheme="minorBidi"/>
          <w:sz w:val="18"/>
          <w:szCs w:val="18"/>
          <w:lang w:val="en-US"/>
        </w:rPr>
        <w:t>6.</w:t>
      </w:r>
    </w:p>
  </w:footnote>
  <w:footnote w:id="87">
    <w:p w14:paraId="5D33AE36" w14:textId="06C4459C" w:rsidR="00DD5366" w:rsidRPr="000A53F8" w:rsidRDefault="00DD5366" w:rsidP="00FD3784">
      <w:pPr>
        <w:pStyle w:val="Textonotapie"/>
        <w:jc w:val="both"/>
        <w:rPr>
          <w:rFonts w:asciiTheme="minorBidi" w:hAnsiTheme="minorBidi" w:cstheme="minorBidi"/>
          <w:sz w:val="18"/>
          <w:szCs w:val="18"/>
        </w:rPr>
      </w:pPr>
      <w:r w:rsidRPr="000A53F8">
        <w:rPr>
          <w:rStyle w:val="Refdenotaalpie"/>
          <w:rFonts w:asciiTheme="minorBidi" w:hAnsiTheme="minorBidi" w:cstheme="minorBidi"/>
          <w:sz w:val="18"/>
          <w:szCs w:val="18"/>
        </w:rPr>
        <w:footnoteRef/>
      </w:r>
      <w:r w:rsidRPr="000A53F8">
        <w:rPr>
          <w:rFonts w:asciiTheme="minorBidi" w:hAnsiTheme="minorBidi" w:cstheme="minorBidi"/>
          <w:sz w:val="18"/>
          <w:szCs w:val="18"/>
          <w:lang w:val="en-US"/>
        </w:rPr>
        <w:t xml:space="preserve"> </w:t>
      </w:r>
      <w:r w:rsidR="000949DA" w:rsidRPr="000A53F8">
        <w:rPr>
          <w:rFonts w:asciiTheme="minorBidi" w:hAnsiTheme="minorBidi" w:cstheme="minorBidi"/>
          <w:i/>
          <w:iCs/>
          <w:sz w:val="18"/>
          <w:szCs w:val="18"/>
          <w:lang w:val="en-US"/>
        </w:rPr>
        <w:t>Vid</w:t>
      </w:r>
      <w:r w:rsidR="000949DA" w:rsidRPr="000A53F8">
        <w:rPr>
          <w:rFonts w:asciiTheme="minorBidi" w:hAnsiTheme="minorBidi" w:cstheme="minorBidi"/>
          <w:sz w:val="18"/>
          <w:szCs w:val="18"/>
          <w:lang w:val="en-US"/>
        </w:rPr>
        <w:t xml:space="preserve">., </w:t>
      </w:r>
      <w:r w:rsidRPr="000A53F8">
        <w:rPr>
          <w:rFonts w:asciiTheme="minorBidi" w:hAnsiTheme="minorBidi" w:cstheme="minorBidi"/>
          <w:sz w:val="18"/>
          <w:szCs w:val="18"/>
          <w:lang w:val="en-US"/>
        </w:rPr>
        <w:t>Barnett, Brian S.;</w:t>
      </w:r>
      <w:r w:rsidRPr="000A53F8">
        <w:rPr>
          <w:rFonts w:asciiTheme="minorBidi" w:hAnsiTheme="minorBidi" w:cstheme="minorBidi"/>
          <w:i/>
          <w:iCs/>
          <w:sz w:val="18"/>
          <w:szCs w:val="18"/>
          <w:lang w:val="en-US"/>
        </w:rPr>
        <w:t xml:space="preserve"> et. al</w:t>
      </w:r>
      <w:r w:rsidRPr="000A53F8">
        <w:rPr>
          <w:rFonts w:asciiTheme="minorBidi" w:hAnsiTheme="minorBidi" w:cstheme="minorBidi"/>
          <w:sz w:val="18"/>
          <w:szCs w:val="18"/>
          <w:lang w:val="en-US"/>
        </w:rPr>
        <w:t>. 2018. The Transgender Bathroom Debate at the Intersection of Politics, Law, Ethics, and Science. The Journal of the American Academy of Psychiatry and the Law, 46; p. 234</w:t>
      </w:r>
      <w:r w:rsidR="000949DA" w:rsidRPr="000A53F8">
        <w:rPr>
          <w:rFonts w:asciiTheme="minorBidi" w:hAnsiTheme="minorBidi" w:cstheme="minorBidi"/>
          <w:sz w:val="18"/>
          <w:szCs w:val="18"/>
          <w:lang w:val="en-US"/>
        </w:rPr>
        <w:t xml:space="preserve">; </w:t>
      </w:r>
      <w:r w:rsidR="003076E4" w:rsidRPr="000A53F8">
        <w:rPr>
          <w:rFonts w:asciiTheme="minorBidi" w:hAnsiTheme="minorBidi" w:cstheme="minorBidi"/>
          <w:sz w:val="18"/>
          <w:szCs w:val="18"/>
          <w:lang w:val="en-US"/>
        </w:rPr>
        <w:t xml:space="preserve">2014. Developments in the Law: Sexual Orientation &amp; Gender. Harvard Law Review, </w:t>
      </w:r>
      <w:r w:rsidR="00DD1CD7" w:rsidRPr="000A53F8">
        <w:rPr>
          <w:rFonts w:asciiTheme="minorBidi" w:hAnsiTheme="minorBidi" w:cstheme="minorBidi"/>
          <w:sz w:val="18"/>
          <w:szCs w:val="18"/>
          <w:lang w:val="en-US"/>
        </w:rPr>
        <w:t xml:space="preserve">Vol. </w:t>
      </w:r>
      <w:r w:rsidR="003076E4" w:rsidRPr="000A53F8">
        <w:rPr>
          <w:rFonts w:asciiTheme="minorBidi" w:hAnsiTheme="minorBidi" w:cstheme="minorBidi"/>
          <w:sz w:val="18"/>
          <w:szCs w:val="18"/>
          <w:lang w:val="en-US"/>
        </w:rPr>
        <w:t>127</w:t>
      </w:r>
      <w:r w:rsidR="00DD1CD7" w:rsidRPr="000A53F8">
        <w:rPr>
          <w:rFonts w:asciiTheme="minorBidi" w:hAnsiTheme="minorBidi" w:cstheme="minorBidi"/>
          <w:sz w:val="18"/>
          <w:szCs w:val="18"/>
          <w:lang w:val="en-US"/>
        </w:rPr>
        <w:t xml:space="preserve">, No. </w:t>
      </w:r>
      <w:r w:rsidR="003076E4" w:rsidRPr="000A53F8">
        <w:rPr>
          <w:rFonts w:asciiTheme="minorBidi" w:hAnsiTheme="minorBidi" w:cstheme="minorBidi"/>
          <w:sz w:val="18"/>
          <w:szCs w:val="18"/>
          <w:lang w:val="en-US"/>
        </w:rPr>
        <w:t xml:space="preserve">6; </w:t>
      </w:r>
      <w:r w:rsidR="00CA320B" w:rsidRPr="000A53F8">
        <w:rPr>
          <w:rFonts w:asciiTheme="minorBidi" w:hAnsiTheme="minorBidi" w:cstheme="minorBidi"/>
          <w:sz w:val="18"/>
          <w:szCs w:val="18"/>
          <w:lang w:val="en-US"/>
        </w:rPr>
        <w:t>pp. 1728 y ss</w:t>
      </w:r>
      <w:r w:rsidR="00207FB0" w:rsidRPr="000A53F8">
        <w:rPr>
          <w:rFonts w:asciiTheme="minorBidi" w:hAnsiTheme="minorBidi" w:cstheme="minorBidi"/>
          <w:sz w:val="18"/>
          <w:szCs w:val="18"/>
          <w:lang w:val="en-US"/>
        </w:rPr>
        <w:t xml:space="preserve">.; </w:t>
      </w:r>
      <w:r w:rsidR="006F0C27" w:rsidRPr="000A53F8">
        <w:rPr>
          <w:rFonts w:asciiTheme="minorBidi" w:hAnsiTheme="minorBidi" w:cstheme="minorBidi"/>
          <w:sz w:val="18"/>
          <w:szCs w:val="18"/>
          <w:lang w:val="en-US"/>
        </w:rPr>
        <w:t xml:space="preserve">así como </w:t>
      </w:r>
      <w:r w:rsidR="00DD1CD7" w:rsidRPr="000A53F8">
        <w:rPr>
          <w:rFonts w:asciiTheme="minorBidi" w:hAnsiTheme="minorBidi" w:cstheme="minorBidi"/>
          <w:sz w:val="18"/>
          <w:szCs w:val="18"/>
          <w:lang w:val="en-US"/>
        </w:rPr>
        <w:t xml:space="preserve">McKinnon, Rachel. 2014. Stereotype Threat and Attributional Ambiguity for Trans Women. </w:t>
      </w:r>
      <w:r w:rsidR="00DD1CD7" w:rsidRPr="00605EBB">
        <w:rPr>
          <w:rFonts w:asciiTheme="minorBidi" w:hAnsiTheme="minorBidi" w:cstheme="minorBidi"/>
          <w:sz w:val="18"/>
          <w:szCs w:val="18"/>
        </w:rPr>
        <w:t>Wiley on behalf of Hypatia, Inc., Vol. 29, No. 4; p. 866</w:t>
      </w:r>
      <w:r w:rsidR="006E05F3" w:rsidRPr="00605EBB">
        <w:rPr>
          <w:rFonts w:asciiTheme="minorBidi" w:hAnsiTheme="minorBidi" w:cstheme="minorBidi"/>
          <w:sz w:val="18"/>
          <w:szCs w:val="18"/>
        </w:rPr>
        <w:t>.</w:t>
      </w:r>
      <w:r w:rsidR="00296218" w:rsidRPr="00605EBB">
        <w:rPr>
          <w:rFonts w:asciiTheme="minorBidi" w:hAnsiTheme="minorBidi" w:cstheme="minorBidi"/>
          <w:sz w:val="18"/>
          <w:szCs w:val="18"/>
        </w:rPr>
        <w:t xml:space="preserve"> </w:t>
      </w:r>
      <w:r w:rsidR="005F41EA" w:rsidRPr="001E1E45">
        <w:rPr>
          <w:rFonts w:asciiTheme="minorBidi" w:hAnsiTheme="minorBidi" w:cstheme="minorBidi"/>
          <w:sz w:val="18"/>
          <w:szCs w:val="18"/>
        </w:rPr>
        <w:t>[</w:t>
      </w:r>
      <w:r w:rsidR="005F41EA">
        <w:rPr>
          <w:rFonts w:asciiTheme="minorBidi" w:hAnsiTheme="minorBidi" w:cstheme="minorBidi"/>
          <w:sz w:val="18"/>
          <w:szCs w:val="18"/>
        </w:rPr>
        <w:t>La relevancia de estas fuentes en la comunidad científica correspondiente fue verificada</w:t>
      </w:r>
      <w:r w:rsidR="005F41EA" w:rsidRPr="001E1E45">
        <w:rPr>
          <w:rFonts w:asciiTheme="minorBidi" w:hAnsiTheme="minorBidi" w:cstheme="minorBidi"/>
          <w:sz w:val="18"/>
          <w:szCs w:val="18"/>
        </w:rPr>
        <w:t xml:space="preserve"> por la Unidad General de Conocimiento Científico y Derechos Humanos de la Suprema Corte de Justicia de la Nación].</w:t>
      </w:r>
    </w:p>
  </w:footnote>
  <w:footnote w:id="88">
    <w:p w14:paraId="1DC79DB7" w14:textId="2951827F" w:rsidR="00E93F6A" w:rsidRPr="000A53F8" w:rsidRDefault="00E93F6A" w:rsidP="00FD3784">
      <w:pPr>
        <w:pStyle w:val="Textonotapie"/>
        <w:jc w:val="both"/>
        <w:rPr>
          <w:rFonts w:asciiTheme="minorBidi" w:hAnsiTheme="minorBidi" w:cstheme="minorBidi"/>
          <w:sz w:val="18"/>
          <w:szCs w:val="18"/>
          <w:lang w:val="en-US"/>
        </w:rPr>
      </w:pPr>
      <w:r w:rsidRPr="000A53F8">
        <w:rPr>
          <w:rStyle w:val="Refdenotaalpie"/>
          <w:rFonts w:asciiTheme="minorBidi" w:hAnsiTheme="minorBidi" w:cstheme="minorBidi"/>
          <w:sz w:val="18"/>
          <w:szCs w:val="18"/>
        </w:rPr>
        <w:footnoteRef/>
      </w:r>
      <w:r w:rsidRPr="000A53F8">
        <w:rPr>
          <w:rFonts w:asciiTheme="minorBidi" w:hAnsiTheme="minorBidi" w:cstheme="minorBidi"/>
          <w:sz w:val="18"/>
          <w:szCs w:val="18"/>
          <w:lang w:val="en-US"/>
        </w:rPr>
        <w:t xml:space="preserve"> </w:t>
      </w:r>
      <w:r w:rsidR="00126C18" w:rsidRPr="000A53F8">
        <w:rPr>
          <w:rFonts w:asciiTheme="minorBidi" w:hAnsiTheme="minorBidi" w:cstheme="minorBidi"/>
          <w:i/>
          <w:iCs/>
          <w:sz w:val="18"/>
          <w:szCs w:val="18"/>
          <w:lang w:val="en-US"/>
        </w:rPr>
        <w:t>Vid</w:t>
      </w:r>
      <w:r w:rsidR="00126C18" w:rsidRPr="000A53F8">
        <w:rPr>
          <w:rFonts w:asciiTheme="minorBidi" w:hAnsiTheme="minorBidi" w:cstheme="minorBidi"/>
          <w:sz w:val="18"/>
          <w:szCs w:val="18"/>
          <w:lang w:val="en-US"/>
        </w:rPr>
        <w:t xml:space="preserve">., </w:t>
      </w:r>
      <w:r w:rsidR="007F1B51" w:rsidRPr="000A53F8">
        <w:rPr>
          <w:rFonts w:asciiTheme="minorBidi" w:hAnsiTheme="minorBidi" w:cstheme="minorBidi"/>
          <w:sz w:val="18"/>
          <w:szCs w:val="18"/>
          <w:lang w:val="en-US"/>
        </w:rPr>
        <w:t xml:space="preserve">Herman, Jody L. </w:t>
      </w:r>
      <w:r w:rsidR="00041370" w:rsidRPr="000A53F8">
        <w:rPr>
          <w:rFonts w:asciiTheme="minorBidi" w:hAnsiTheme="minorBidi" w:cstheme="minorBidi"/>
          <w:sz w:val="18"/>
          <w:szCs w:val="18"/>
          <w:lang w:val="en-US"/>
        </w:rPr>
        <w:t xml:space="preserve">2013. </w:t>
      </w:r>
      <w:r w:rsidR="007F1B51" w:rsidRPr="000A53F8">
        <w:rPr>
          <w:rFonts w:asciiTheme="minorBidi" w:hAnsiTheme="minorBidi" w:cstheme="minorBidi"/>
          <w:sz w:val="18"/>
          <w:szCs w:val="18"/>
          <w:lang w:val="en-US"/>
        </w:rPr>
        <w:t xml:space="preserve">Gendered Restrooms and Minority Stress: The Public Regulation of Gender and its Impact on Transgender People’s Lives. The Williams Institute, UCLA School of Law; pp. 74 y ss. </w:t>
      </w:r>
    </w:p>
  </w:footnote>
  <w:footnote w:id="89">
    <w:p w14:paraId="21A58941" w14:textId="4AC8B277" w:rsidR="003639CE" w:rsidRPr="000A53F8" w:rsidRDefault="003639CE" w:rsidP="00FD3784">
      <w:pPr>
        <w:pStyle w:val="Textonotapie"/>
        <w:jc w:val="both"/>
        <w:rPr>
          <w:rFonts w:asciiTheme="minorBidi" w:hAnsiTheme="minorBidi" w:cstheme="minorBidi"/>
          <w:color w:val="000000" w:themeColor="text1"/>
          <w:sz w:val="18"/>
          <w:szCs w:val="18"/>
        </w:rPr>
      </w:pPr>
      <w:r w:rsidRPr="000A53F8">
        <w:rPr>
          <w:rStyle w:val="Refdenotaalpie"/>
          <w:rFonts w:asciiTheme="minorBidi" w:hAnsiTheme="minorBidi" w:cstheme="minorBidi"/>
          <w:sz w:val="18"/>
          <w:szCs w:val="18"/>
        </w:rPr>
        <w:footnoteRef/>
      </w:r>
      <w:r w:rsidRPr="000A53F8">
        <w:rPr>
          <w:rFonts w:asciiTheme="minorBidi" w:hAnsiTheme="minorBidi" w:cstheme="minorBidi"/>
          <w:sz w:val="18"/>
          <w:szCs w:val="18"/>
        </w:rPr>
        <w:t xml:space="preserve"> Al respecto, la Comisión Interamericana de Derechos Humanos ha expresado que “dentro del universo de las personas LGBTI+, las personas trans y de género diverso son aquellas que se encuentran expuestas a mayores niveles de vulnerabilidad y son quienes suelen padecer mayores niveles de exclusión, estigma y prejuicio social”. De acuerdo con la Comisión, “la situación de exclusión social agravada en la que se encuentran las personas trans y de género diverso constituye un fenómeno de dimensiones estructurales en la región”. </w:t>
      </w:r>
      <w:r w:rsidRPr="000A53F8">
        <w:rPr>
          <w:rFonts w:asciiTheme="minorBidi" w:hAnsiTheme="minorBidi" w:cstheme="minorBidi"/>
          <w:i/>
          <w:iCs/>
          <w:sz w:val="18"/>
          <w:szCs w:val="18"/>
        </w:rPr>
        <w:t>Vid</w:t>
      </w:r>
      <w:r w:rsidRPr="000A53F8">
        <w:rPr>
          <w:rFonts w:asciiTheme="minorBidi" w:hAnsiTheme="minorBidi" w:cstheme="minorBidi"/>
          <w:sz w:val="18"/>
          <w:szCs w:val="18"/>
        </w:rPr>
        <w:t xml:space="preserve">., </w:t>
      </w:r>
      <w:r w:rsidRPr="000A53F8">
        <w:rPr>
          <w:rFonts w:asciiTheme="minorBidi" w:hAnsiTheme="minorBidi" w:cstheme="minorBidi"/>
          <w:color w:val="000000" w:themeColor="text1"/>
          <w:sz w:val="18"/>
          <w:szCs w:val="18"/>
          <w:lang w:val="es-ES"/>
        </w:rPr>
        <w:t xml:space="preserve">Comisión Interamericana de Derechos Humanos, </w:t>
      </w:r>
      <w:r w:rsidRPr="000A53F8">
        <w:rPr>
          <w:rFonts w:asciiTheme="minorBidi" w:hAnsiTheme="minorBidi" w:cstheme="minorBidi"/>
          <w:color w:val="000000" w:themeColor="text1"/>
          <w:sz w:val="18"/>
          <w:szCs w:val="18"/>
        </w:rPr>
        <w:t xml:space="preserve">Informe sobre Personas Trans y de Género Diverso y sus derechos económicos, sociales, culturales y ambientales, OEA/Ser.L/V/II, 2020; p. 12; así como </w:t>
      </w:r>
      <w:r w:rsidRPr="000A53F8">
        <w:rPr>
          <w:rFonts w:asciiTheme="minorBidi" w:hAnsiTheme="minorBidi" w:cstheme="minorBidi"/>
          <w:color w:val="000000" w:themeColor="text1"/>
          <w:sz w:val="18"/>
          <w:szCs w:val="18"/>
          <w:lang w:val="es-ES"/>
        </w:rPr>
        <w:t>Comisión Interamericana de Derechos Humanos,</w:t>
      </w:r>
      <w:r w:rsidRPr="000A53F8">
        <w:rPr>
          <w:rFonts w:asciiTheme="minorBidi" w:hAnsiTheme="minorBidi" w:cstheme="minorBidi"/>
          <w:color w:val="000000" w:themeColor="text1"/>
          <w:sz w:val="18"/>
          <w:szCs w:val="18"/>
        </w:rPr>
        <w:t xml:space="preserve"> Informe sobre pobreza y derechos humanos en las Américas. OEA/Ser.L/V/II.164, 2017.</w:t>
      </w:r>
    </w:p>
    <w:p w14:paraId="668F3843" w14:textId="1073588C" w:rsidR="003639CE" w:rsidRPr="000A53F8" w:rsidRDefault="003639CE" w:rsidP="00FD3784">
      <w:pPr>
        <w:pStyle w:val="Textonotapie"/>
        <w:jc w:val="both"/>
        <w:rPr>
          <w:rFonts w:asciiTheme="minorBidi" w:hAnsiTheme="minorBidi" w:cstheme="minorBidi"/>
          <w:color w:val="000000" w:themeColor="text1"/>
          <w:sz w:val="18"/>
          <w:szCs w:val="18"/>
        </w:rPr>
      </w:pPr>
      <w:r w:rsidRPr="000A53F8">
        <w:rPr>
          <w:rFonts w:asciiTheme="minorBidi" w:hAnsiTheme="minorBidi" w:cstheme="minorBidi"/>
          <w:sz w:val="18"/>
          <w:szCs w:val="18"/>
        </w:rPr>
        <w:t xml:space="preserve">Por su parte, la Corte Interamericana de Derechos Humanos también ha enfatizado en que “las personas LGBTI han sido históricamente víctimas de discriminación estructural, estigmatización, diversas formas de violencia y violaciones a sus derechos fundamentales”, por lo que “la orientación sexual, identidad de género o expresión de género de la persona son categorías protegidas por la Convención”. Para el Tribunal, la violencia de la que suelen ser víctimas las personas trans “puede ser impulsada por el deseo de castigar a quienes se considera que desafían las normas de género”, y tiene un fin simbólico, pues “la víctima es elegida con el propósito de comunicar un mensaje de exclusión o de subordinación”. </w:t>
      </w:r>
      <w:r w:rsidRPr="000A53F8">
        <w:rPr>
          <w:rFonts w:asciiTheme="minorBidi" w:hAnsiTheme="minorBidi" w:cstheme="minorBidi"/>
          <w:i/>
          <w:iCs/>
          <w:sz w:val="18"/>
          <w:szCs w:val="18"/>
        </w:rPr>
        <w:t>Vid</w:t>
      </w:r>
      <w:r w:rsidRPr="000A53F8">
        <w:rPr>
          <w:rFonts w:asciiTheme="minorBidi" w:hAnsiTheme="minorBidi" w:cstheme="minorBidi"/>
          <w:sz w:val="18"/>
          <w:szCs w:val="18"/>
        </w:rPr>
        <w:t xml:space="preserve">., </w:t>
      </w:r>
      <w:r w:rsidRPr="000A53F8">
        <w:rPr>
          <w:rFonts w:asciiTheme="minorBidi" w:hAnsiTheme="minorBidi" w:cstheme="minorBidi"/>
          <w:color w:val="000000" w:themeColor="text1"/>
          <w:sz w:val="18"/>
          <w:szCs w:val="18"/>
        </w:rPr>
        <w:t>Corte Interamericana de Derechos Humanos, Caso Azul Rojas Marín y otra Vs. Perú. Excepciones Preliminares, Fondo, Reparaciones y Costas. Sentencia de 12 de marzo de 2020. Serie C No. 402; párrs. 90 y 93; así como Corte Interamericana de Derechos Humanos, Caso Vicky Hernández y otras Vs. Honduras. Fondo, Reparaciones y Costas. Sentencia de 26 de marzo de 2021. Serie C No. 422; párr. 69.</w:t>
      </w:r>
    </w:p>
  </w:footnote>
  <w:footnote w:id="90">
    <w:p w14:paraId="41ECAF26" w14:textId="52043526" w:rsidR="00C12D1B" w:rsidRPr="000A53F8" w:rsidRDefault="0059175B" w:rsidP="00A23F14">
      <w:pPr>
        <w:pStyle w:val="Textonotapie"/>
        <w:jc w:val="both"/>
        <w:rPr>
          <w:rFonts w:asciiTheme="minorBidi" w:hAnsiTheme="minorBidi" w:cstheme="minorBidi"/>
          <w:sz w:val="18"/>
          <w:szCs w:val="18"/>
        </w:rPr>
      </w:pPr>
      <w:r w:rsidRPr="000A53F8">
        <w:rPr>
          <w:rStyle w:val="Refdenotaalpie"/>
          <w:rFonts w:asciiTheme="minorBidi" w:hAnsiTheme="minorBidi" w:cstheme="minorBidi"/>
          <w:sz w:val="18"/>
          <w:szCs w:val="18"/>
        </w:rPr>
        <w:footnoteRef/>
      </w:r>
      <w:r w:rsidRPr="000A53F8">
        <w:rPr>
          <w:rFonts w:asciiTheme="minorBidi" w:hAnsiTheme="minorBidi" w:cstheme="minorBidi"/>
          <w:sz w:val="18"/>
          <w:szCs w:val="18"/>
        </w:rPr>
        <w:t xml:space="preserve"> </w:t>
      </w:r>
      <w:r w:rsidR="00925B9D" w:rsidRPr="000A53F8">
        <w:rPr>
          <w:rFonts w:asciiTheme="minorBidi" w:hAnsiTheme="minorBidi" w:cstheme="minorBidi"/>
          <w:sz w:val="18"/>
          <w:szCs w:val="18"/>
        </w:rPr>
        <w:t xml:space="preserve">La información estadística disponible respalda que </w:t>
      </w:r>
      <w:r w:rsidR="00D40CF3" w:rsidRPr="000A53F8">
        <w:rPr>
          <w:rFonts w:asciiTheme="minorBidi" w:hAnsiTheme="minorBidi" w:cstheme="minorBidi"/>
          <w:sz w:val="18"/>
          <w:szCs w:val="18"/>
        </w:rPr>
        <w:t>la</w:t>
      </w:r>
      <w:r w:rsidR="00925B9D" w:rsidRPr="000A53F8">
        <w:rPr>
          <w:rFonts w:asciiTheme="minorBidi" w:hAnsiTheme="minorBidi" w:cstheme="minorBidi"/>
          <w:sz w:val="18"/>
          <w:szCs w:val="18"/>
        </w:rPr>
        <w:t xml:space="preserve"> situación de violencia y discriminación hacia las personas trans impera en México. De acuerdo con la Encuesta Nacional de Discriminación 2017, el 72% de las personas consideran que se respetan poco o nada los derechos de las personas trans. La encuesta también refiere que 33% de las mujeres y 41% de los hombres en México no rentaría una habitación de su vivienda a una persona trans.</w:t>
      </w:r>
      <w:r w:rsidR="00F652FB" w:rsidRPr="000A53F8">
        <w:rPr>
          <w:rFonts w:asciiTheme="minorBidi" w:hAnsiTheme="minorBidi" w:cstheme="minorBidi"/>
          <w:sz w:val="18"/>
          <w:szCs w:val="18"/>
        </w:rPr>
        <w:t xml:space="preserve"> </w:t>
      </w:r>
      <w:r w:rsidR="00925B9D" w:rsidRPr="000A53F8">
        <w:rPr>
          <w:rFonts w:asciiTheme="minorBidi" w:hAnsiTheme="minorBidi" w:cstheme="minorBidi"/>
          <w:sz w:val="18"/>
          <w:szCs w:val="18"/>
        </w:rPr>
        <w:t>En un sentido similar, la Encuesta sobre Discriminación por motivos de Orientación Sexual e Identidad de Género da cuenta de que cerca del 60% de la población LGBTI</w:t>
      </w:r>
      <w:r w:rsidR="005D07EA" w:rsidRPr="000A53F8">
        <w:rPr>
          <w:rFonts w:asciiTheme="minorBidi" w:hAnsiTheme="minorBidi" w:cstheme="minorBidi"/>
          <w:sz w:val="18"/>
          <w:szCs w:val="18"/>
        </w:rPr>
        <w:t>Q</w:t>
      </w:r>
      <w:r w:rsidR="00925B9D" w:rsidRPr="000A53F8">
        <w:rPr>
          <w:rFonts w:asciiTheme="minorBidi" w:hAnsiTheme="minorBidi" w:cstheme="minorBidi"/>
          <w:sz w:val="18"/>
          <w:szCs w:val="18"/>
        </w:rPr>
        <w:t xml:space="preserve">+ encuestada afirmó sentirse discriminada por al menos un motivo en el último año. </w:t>
      </w:r>
      <w:r w:rsidR="003B1711" w:rsidRPr="000A53F8">
        <w:rPr>
          <w:rFonts w:asciiTheme="minorBidi" w:hAnsiTheme="minorBidi" w:cstheme="minorBidi"/>
          <w:sz w:val="18"/>
          <w:szCs w:val="18"/>
        </w:rPr>
        <w:t>Asimismo, s</w:t>
      </w:r>
      <w:r w:rsidR="00925B9D" w:rsidRPr="000A53F8">
        <w:rPr>
          <w:rFonts w:asciiTheme="minorBidi" w:hAnsiTheme="minorBidi" w:cstheme="minorBidi"/>
          <w:sz w:val="18"/>
          <w:szCs w:val="18"/>
        </w:rPr>
        <w:t xml:space="preserve">eñala que las causas más comunes de discriminación en contra de esta población son el aspecto físico y las expresiones de género. </w:t>
      </w:r>
      <w:r w:rsidR="004F32DD" w:rsidRPr="000A53F8">
        <w:rPr>
          <w:rFonts w:asciiTheme="minorBidi" w:hAnsiTheme="minorBidi" w:cstheme="minorBidi"/>
          <w:sz w:val="18"/>
          <w:szCs w:val="18"/>
        </w:rPr>
        <w:t>Finalmente, d</w:t>
      </w:r>
      <w:r w:rsidR="00925B9D" w:rsidRPr="000A53F8">
        <w:rPr>
          <w:rFonts w:asciiTheme="minorBidi" w:hAnsiTheme="minorBidi" w:cstheme="minorBidi"/>
          <w:sz w:val="18"/>
          <w:szCs w:val="18"/>
        </w:rPr>
        <w:t>el total de personas encuestadas, las personas con identidades de género no normativos fueron las que reportaron mayor frecuencia en la ocurrencia de actos de discriminación.</w:t>
      </w:r>
      <w:r w:rsidR="00F652FB" w:rsidRPr="000A53F8">
        <w:rPr>
          <w:rFonts w:asciiTheme="minorBidi" w:hAnsiTheme="minorBidi" w:cstheme="minorBidi"/>
          <w:sz w:val="18"/>
          <w:szCs w:val="18"/>
        </w:rPr>
        <w:t xml:space="preserve"> </w:t>
      </w:r>
      <w:r w:rsidR="00176A87" w:rsidRPr="000A53F8">
        <w:rPr>
          <w:rFonts w:asciiTheme="minorBidi" w:hAnsiTheme="minorBidi" w:cstheme="minorBidi"/>
          <w:sz w:val="18"/>
          <w:szCs w:val="18"/>
        </w:rPr>
        <w:t>Este</w:t>
      </w:r>
      <w:r w:rsidR="00925B9D" w:rsidRPr="000A53F8">
        <w:rPr>
          <w:rFonts w:asciiTheme="minorBidi" w:hAnsiTheme="minorBidi" w:cstheme="minorBidi"/>
          <w:sz w:val="18"/>
          <w:szCs w:val="18"/>
        </w:rPr>
        <w:t xml:space="preserve"> contexto de discriminación y violencia estructural y generalizada de la que son víctimas las personas LGBTI</w:t>
      </w:r>
      <w:r w:rsidR="005D07EA" w:rsidRPr="000A53F8">
        <w:rPr>
          <w:rFonts w:asciiTheme="minorBidi" w:hAnsiTheme="minorBidi" w:cstheme="minorBidi"/>
          <w:sz w:val="18"/>
          <w:szCs w:val="18"/>
        </w:rPr>
        <w:t>Q</w:t>
      </w:r>
      <w:r w:rsidR="00925B9D" w:rsidRPr="000A53F8">
        <w:rPr>
          <w:rFonts w:asciiTheme="minorBidi" w:hAnsiTheme="minorBidi" w:cstheme="minorBidi"/>
          <w:sz w:val="18"/>
          <w:szCs w:val="18"/>
        </w:rPr>
        <w:t>+ y, en particular, las personas trans, permite identificarlas como un grupo en especial situación de vulnerabilidad. A su vez, esta situación de vulnerabilidad resulta en una protección constitucional reforzada de sus derechos humanos.</w:t>
      </w:r>
      <w:r w:rsidR="0094706A" w:rsidRPr="000A53F8">
        <w:rPr>
          <w:rFonts w:asciiTheme="minorBidi" w:hAnsiTheme="minorBidi" w:cstheme="minorBidi"/>
          <w:sz w:val="18"/>
          <w:szCs w:val="18"/>
        </w:rPr>
        <w:t xml:space="preserve"> </w:t>
      </w:r>
      <w:r w:rsidR="0094706A" w:rsidRPr="000A53F8">
        <w:rPr>
          <w:rFonts w:asciiTheme="minorBidi" w:hAnsiTheme="minorBidi" w:cstheme="minorBidi"/>
          <w:i/>
          <w:iCs/>
          <w:sz w:val="18"/>
          <w:szCs w:val="18"/>
        </w:rPr>
        <w:t>Vid</w:t>
      </w:r>
      <w:r w:rsidR="0094706A" w:rsidRPr="000A53F8">
        <w:rPr>
          <w:rFonts w:asciiTheme="minorBidi" w:hAnsiTheme="minorBidi" w:cstheme="minorBidi"/>
          <w:sz w:val="18"/>
          <w:szCs w:val="18"/>
        </w:rPr>
        <w:t>., Instituto Nacional de Estadística y Geografía, Encuesta Nacional de Discriminación, 2017; así como Consejo Nacional para Prevenir la Discriminación y Comisión Nacional de los Derechos Humanos, Encuesta sobre Discriminación por motivos de Orientación Sexual e Identidad de Género, 2018.</w:t>
      </w:r>
    </w:p>
  </w:footnote>
  <w:footnote w:id="91">
    <w:p w14:paraId="27CAECAE" w14:textId="3868F2F4" w:rsidR="00A23F14" w:rsidRPr="00214EFF" w:rsidRDefault="00A23F14" w:rsidP="00214EFF">
      <w:pPr>
        <w:pStyle w:val="corte4fondo"/>
        <w:spacing w:line="240" w:lineRule="auto"/>
        <w:ind w:firstLine="0"/>
        <w:rPr>
          <w:sz w:val="26"/>
          <w:szCs w:val="26"/>
          <w:lang w:val="es-MX"/>
        </w:rPr>
      </w:pPr>
      <w:r w:rsidRPr="00AF2114">
        <w:rPr>
          <w:rStyle w:val="Refdenotaalpie"/>
          <w:sz w:val="18"/>
          <w:szCs w:val="18"/>
        </w:rPr>
        <w:footnoteRef/>
      </w:r>
      <w:r w:rsidRPr="00AF2114">
        <w:rPr>
          <w:sz w:val="18"/>
          <w:szCs w:val="18"/>
        </w:rPr>
        <w:t xml:space="preserve"> </w:t>
      </w:r>
      <w:r w:rsidRPr="00AF2114">
        <w:rPr>
          <w:rFonts w:asciiTheme="minorBidi" w:hAnsiTheme="minorBidi" w:cstheme="minorBidi"/>
          <w:i/>
          <w:iCs/>
          <w:sz w:val="18"/>
          <w:szCs w:val="18"/>
          <w:lang w:val="es-MX"/>
        </w:rPr>
        <w:t>Vid</w:t>
      </w:r>
      <w:r w:rsidRPr="00AF2114">
        <w:rPr>
          <w:rFonts w:asciiTheme="minorBidi" w:hAnsiTheme="minorBidi" w:cstheme="minorBidi"/>
          <w:sz w:val="18"/>
          <w:szCs w:val="18"/>
          <w:lang w:val="es-MX"/>
        </w:rPr>
        <w:t>.,</w:t>
      </w:r>
      <w:r w:rsidR="00214EFF" w:rsidRPr="00AF2114">
        <w:rPr>
          <w:rFonts w:asciiTheme="minorBidi" w:hAnsiTheme="minorBidi" w:cstheme="minorBidi"/>
          <w:sz w:val="18"/>
          <w:szCs w:val="18"/>
          <w:lang w:val="es-MX"/>
        </w:rPr>
        <w:t xml:space="preserve"> Consejo para Prevenir y Eliminar la Discriminación de la Ciudad de México. 2024. Opinión consultiva solicitada por sociedad civil 02/2024: Discriminación hacia personas trans y no binarias en el uso de baños públicos en la Ciudad de México.</w:t>
      </w:r>
    </w:p>
  </w:footnote>
  <w:footnote w:id="92">
    <w:p w14:paraId="03F68A46" w14:textId="3EA36002" w:rsidR="00D25577" w:rsidRPr="000A53F8" w:rsidRDefault="00D25577"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Pr="000A53F8">
        <w:rPr>
          <w:rFonts w:asciiTheme="minorBidi" w:hAnsiTheme="minorBidi" w:cstheme="minorBidi"/>
          <w:i/>
          <w:iCs/>
          <w:color w:val="000000" w:themeColor="text1"/>
          <w:sz w:val="18"/>
          <w:szCs w:val="18"/>
        </w:rPr>
        <w:t>Cfr</w:t>
      </w:r>
      <w:r w:rsidR="00047875" w:rsidRPr="000A53F8">
        <w:rPr>
          <w:rFonts w:asciiTheme="minorBidi" w:hAnsiTheme="minorBidi" w:cstheme="minorBidi"/>
          <w:i/>
          <w:iCs/>
          <w:color w:val="000000" w:themeColor="text1"/>
          <w:sz w:val="18"/>
          <w:szCs w:val="18"/>
        </w:rPr>
        <w:t xml:space="preserve">., </w:t>
      </w:r>
      <w:r w:rsidR="00047875" w:rsidRPr="000A53F8">
        <w:rPr>
          <w:rFonts w:asciiTheme="minorBidi" w:hAnsiTheme="minorBidi" w:cstheme="minorBidi"/>
          <w:color w:val="000000" w:themeColor="text1"/>
          <w:sz w:val="18"/>
          <w:szCs w:val="18"/>
        </w:rPr>
        <w:t>amparo directo en revisión 2558/2021, r</w:t>
      </w:r>
      <w:r w:rsidR="00E72229" w:rsidRPr="000A53F8">
        <w:rPr>
          <w:rFonts w:asciiTheme="minorBidi" w:hAnsiTheme="minorBidi" w:cstheme="minorBidi"/>
          <w:color w:val="000000" w:themeColor="text1"/>
          <w:sz w:val="18"/>
          <w:szCs w:val="18"/>
        </w:rPr>
        <w:t xml:space="preserve">esuelto en sesión de </w:t>
      </w:r>
      <w:r w:rsidR="00143A26" w:rsidRPr="000A53F8">
        <w:rPr>
          <w:rFonts w:asciiTheme="minorBidi" w:hAnsiTheme="minorBidi" w:cstheme="minorBidi"/>
          <w:color w:val="000000" w:themeColor="text1"/>
          <w:sz w:val="18"/>
          <w:szCs w:val="18"/>
        </w:rPr>
        <w:t>19 de enero de 2022</w:t>
      </w:r>
      <w:r w:rsidRPr="000A53F8">
        <w:rPr>
          <w:rFonts w:asciiTheme="minorBidi" w:hAnsiTheme="minorBidi" w:cstheme="minorBidi"/>
          <w:color w:val="000000" w:themeColor="text1"/>
          <w:sz w:val="18"/>
          <w:szCs w:val="18"/>
        </w:rPr>
        <w:t>,</w:t>
      </w:r>
      <w:r w:rsidR="00143A26" w:rsidRPr="000A53F8">
        <w:rPr>
          <w:rFonts w:asciiTheme="minorBidi" w:hAnsiTheme="minorBidi" w:cstheme="minorBidi"/>
          <w:color w:val="000000" w:themeColor="text1"/>
          <w:sz w:val="18"/>
          <w:szCs w:val="18"/>
        </w:rPr>
        <w:t xml:space="preserve"> por unanimidad de cinco votos de las </w:t>
      </w:r>
      <w:r w:rsidR="00047875" w:rsidRPr="000A53F8">
        <w:rPr>
          <w:rFonts w:asciiTheme="minorBidi" w:hAnsiTheme="minorBidi" w:cstheme="minorBidi"/>
          <w:color w:val="000000" w:themeColor="text1"/>
          <w:sz w:val="18"/>
          <w:szCs w:val="18"/>
        </w:rPr>
        <w:t>mi</w:t>
      </w:r>
      <w:r w:rsidR="00143A26" w:rsidRPr="000A53F8">
        <w:rPr>
          <w:rFonts w:asciiTheme="minorBidi" w:hAnsiTheme="minorBidi" w:cstheme="minorBidi"/>
          <w:color w:val="000000" w:themeColor="text1"/>
          <w:sz w:val="18"/>
          <w:szCs w:val="18"/>
        </w:rPr>
        <w:t xml:space="preserve">nistras y los </w:t>
      </w:r>
      <w:r w:rsidR="00047875" w:rsidRPr="000A53F8">
        <w:rPr>
          <w:rFonts w:asciiTheme="minorBidi" w:hAnsiTheme="minorBidi" w:cstheme="minorBidi"/>
          <w:color w:val="000000" w:themeColor="text1"/>
          <w:sz w:val="18"/>
          <w:szCs w:val="18"/>
        </w:rPr>
        <w:t>m</w:t>
      </w:r>
      <w:r w:rsidR="00143A26" w:rsidRPr="000A53F8">
        <w:rPr>
          <w:rFonts w:asciiTheme="minorBidi" w:hAnsiTheme="minorBidi" w:cstheme="minorBidi"/>
          <w:color w:val="000000" w:themeColor="text1"/>
          <w:sz w:val="18"/>
          <w:szCs w:val="18"/>
        </w:rPr>
        <w:t>inistros Norma Lucía Piña Hernández, quien está con el sentido pero con salvedad en las consideraciones relativas a la inexistencia de la aplicación retroactiva de la jurisprudencia, Juan Luis González Alcántara Carrancá, Jorge Mario Pardo Rebolledo, quien está con el sentido pero se separa de los daños punitivos y se reservó su derecho a formular voto concurrente, Alfredo Gutiérrez Ortiz Mena (ponente) y Presidenta Ana Margarita Ríos Farjat</w:t>
      </w:r>
      <w:r w:rsidR="00047875" w:rsidRPr="000A53F8">
        <w:rPr>
          <w:rFonts w:asciiTheme="minorBidi" w:hAnsiTheme="minorBidi" w:cstheme="minorBidi"/>
          <w:color w:val="000000" w:themeColor="text1"/>
          <w:sz w:val="18"/>
          <w:szCs w:val="18"/>
        </w:rPr>
        <w:t xml:space="preserve">; </w:t>
      </w:r>
      <w:r w:rsidR="00E309CA" w:rsidRPr="000A53F8">
        <w:rPr>
          <w:rFonts w:asciiTheme="minorBidi" w:hAnsiTheme="minorBidi" w:cstheme="minorBidi"/>
          <w:color w:val="000000" w:themeColor="text1"/>
          <w:sz w:val="18"/>
          <w:szCs w:val="18"/>
        </w:rPr>
        <w:t xml:space="preserve">párr. </w:t>
      </w:r>
      <w:r w:rsidR="008D63BC" w:rsidRPr="000A53F8">
        <w:rPr>
          <w:rFonts w:asciiTheme="minorBidi" w:hAnsiTheme="minorBidi" w:cstheme="minorBidi"/>
          <w:color w:val="000000" w:themeColor="text1"/>
          <w:sz w:val="18"/>
          <w:szCs w:val="18"/>
        </w:rPr>
        <w:t xml:space="preserve">147 a </w:t>
      </w:r>
      <w:r w:rsidR="00E309CA" w:rsidRPr="000A53F8">
        <w:rPr>
          <w:rFonts w:asciiTheme="minorBidi" w:hAnsiTheme="minorBidi" w:cstheme="minorBidi"/>
          <w:color w:val="000000" w:themeColor="text1"/>
          <w:sz w:val="18"/>
          <w:szCs w:val="18"/>
        </w:rPr>
        <w:t xml:space="preserve">149. </w:t>
      </w:r>
    </w:p>
  </w:footnote>
  <w:footnote w:id="93">
    <w:p w14:paraId="6C60AED9" w14:textId="1309C587" w:rsidR="00C57344" w:rsidRPr="000A53F8" w:rsidRDefault="00C57344"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00183839" w:rsidRPr="000A53F8">
        <w:rPr>
          <w:rFonts w:asciiTheme="minorBidi" w:hAnsiTheme="minorBidi" w:cstheme="minorBidi"/>
          <w:color w:val="000000" w:themeColor="text1"/>
          <w:sz w:val="18"/>
          <w:szCs w:val="18"/>
          <w:lang w:val="es-ES_tradnl"/>
        </w:rPr>
        <w:t>Co</w:t>
      </w:r>
      <w:r w:rsidR="00C559F5" w:rsidRPr="000A53F8">
        <w:rPr>
          <w:rFonts w:asciiTheme="minorBidi" w:hAnsiTheme="minorBidi" w:cstheme="minorBidi"/>
          <w:color w:val="000000" w:themeColor="text1"/>
          <w:sz w:val="18"/>
          <w:szCs w:val="18"/>
          <w:lang w:val="es-ES_tradnl"/>
        </w:rPr>
        <w:t xml:space="preserve">nsecuentemente, será la parte demandada quien deberá desahogar pruebas para revertir la presunción de la existencia del daño. </w:t>
      </w:r>
      <w:r w:rsidR="00C559F5" w:rsidRPr="000A53F8">
        <w:rPr>
          <w:rFonts w:asciiTheme="minorBidi" w:hAnsiTheme="minorBidi" w:cstheme="minorBidi"/>
          <w:i/>
          <w:iCs/>
          <w:color w:val="000000" w:themeColor="text1"/>
          <w:sz w:val="18"/>
          <w:szCs w:val="18"/>
        </w:rPr>
        <w:t>Ibidem</w:t>
      </w:r>
      <w:r w:rsidR="00C559F5" w:rsidRPr="000A53F8">
        <w:rPr>
          <w:rFonts w:asciiTheme="minorBidi" w:hAnsiTheme="minorBidi" w:cstheme="minorBidi"/>
          <w:color w:val="000000" w:themeColor="text1"/>
          <w:sz w:val="18"/>
          <w:szCs w:val="18"/>
        </w:rPr>
        <w:t>, párr. 150.</w:t>
      </w:r>
    </w:p>
  </w:footnote>
  <w:footnote w:id="94">
    <w:p w14:paraId="06763C1C" w14:textId="2A64A93F" w:rsidR="009E6595" w:rsidRPr="000A53F8" w:rsidRDefault="009E6595"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000F696E" w:rsidRPr="000A53F8">
        <w:rPr>
          <w:rFonts w:asciiTheme="minorBidi" w:hAnsiTheme="minorBidi" w:cstheme="minorBidi"/>
          <w:color w:val="000000" w:themeColor="text1"/>
          <w:sz w:val="18"/>
          <w:szCs w:val="18"/>
        </w:rPr>
        <w:t>Resuelto en sesión de</w:t>
      </w:r>
      <w:r w:rsidR="007B6929" w:rsidRPr="000A53F8">
        <w:rPr>
          <w:rFonts w:asciiTheme="minorBidi" w:hAnsiTheme="minorBidi" w:cstheme="minorBidi"/>
          <w:color w:val="000000" w:themeColor="text1"/>
          <w:sz w:val="18"/>
          <w:szCs w:val="18"/>
        </w:rPr>
        <w:t xml:space="preserve"> 30 de enero de 2019</w:t>
      </w:r>
      <w:r w:rsidR="00F56AB2" w:rsidRPr="000A53F8">
        <w:rPr>
          <w:rFonts w:asciiTheme="minorBidi" w:hAnsiTheme="minorBidi" w:cstheme="minorBidi"/>
          <w:color w:val="000000" w:themeColor="text1"/>
          <w:sz w:val="18"/>
          <w:szCs w:val="18"/>
        </w:rPr>
        <w:t>,</w:t>
      </w:r>
      <w:r w:rsidR="007B6929" w:rsidRPr="000A53F8">
        <w:rPr>
          <w:rFonts w:asciiTheme="minorBidi" w:hAnsiTheme="minorBidi" w:cstheme="minorBidi"/>
          <w:color w:val="000000" w:themeColor="text1"/>
          <w:sz w:val="18"/>
          <w:szCs w:val="18"/>
        </w:rPr>
        <w:t xml:space="preserve"> </w:t>
      </w:r>
      <w:r w:rsidR="00C9683E" w:rsidRPr="000A53F8">
        <w:rPr>
          <w:rFonts w:asciiTheme="minorBidi" w:hAnsiTheme="minorBidi" w:cstheme="minorBidi"/>
          <w:color w:val="000000" w:themeColor="text1"/>
          <w:sz w:val="18"/>
          <w:szCs w:val="18"/>
        </w:rPr>
        <w:t>por unanimidad de cinco votos de los Ministros Norma Lucía Piña Hernández (Ponente), Luis María Aguilar Morales, Jorge Mario Pardo Rebolledo, Alfredo Gutiérrez Ortiz Mena y Juan Luis González Alcántara Carrancá (Presidente).</w:t>
      </w:r>
      <w:r w:rsidR="00F56AB2" w:rsidRPr="000A53F8">
        <w:rPr>
          <w:rFonts w:asciiTheme="minorBidi" w:hAnsiTheme="minorBidi" w:cstheme="minorBidi"/>
          <w:color w:val="000000" w:themeColor="text1"/>
          <w:sz w:val="18"/>
          <w:szCs w:val="18"/>
        </w:rPr>
        <w:t xml:space="preserve"> párr. 58. </w:t>
      </w:r>
    </w:p>
  </w:footnote>
  <w:footnote w:id="95">
    <w:p w14:paraId="1D92CC5C" w14:textId="5412BCC5" w:rsidR="00B37A8D" w:rsidRPr="000A53F8" w:rsidRDefault="00B37A8D"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Pr="000A53F8">
        <w:rPr>
          <w:rFonts w:asciiTheme="minorBidi" w:hAnsiTheme="minorBidi" w:cstheme="minorBidi"/>
          <w:i/>
          <w:iCs/>
          <w:color w:val="000000" w:themeColor="text1"/>
          <w:sz w:val="18"/>
          <w:szCs w:val="18"/>
        </w:rPr>
        <w:t>Ibidem</w:t>
      </w:r>
      <w:r w:rsidRPr="000A53F8">
        <w:rPr>
          <w:rFonts w:asciiTheme="minorBidi" w:hAnsiTheme="minorBidi" w:cstheme="minorBidi"/>
          <w:color w:val="000000" w:themeColor="text1"/>
          <w:sz w:val="18"/>
          <w:szCs w:val="18"/>
        </w:rPr>
        <w:t>, párr. 59.</w:t>
      </w:r>
    </w:p>
  </w:footnote>
  <w:footnote w:id="96">
    <w:p w14:paraId="029E6782" w14:textId="5B859640" w:rsidR="00DE03BF" w:rsidRPr="000A53F8" w:rsidRDefault="00DE03BF"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Pr="000A53F8">
        <w:rPr>
          <w:rFonts w:asciiTheme="minorBidi" w:hAnsiTheme="minorBidi" w:cstheme="minorBidi"/>
          <w:i/>
          <w:iCs/>
          <w:color w:val="000000" w:themeColor="text1"/>
          <w:sz w:val="18"/>
          <w:szCs w:val="18"/>
        </w:rPr>
        <w:t>Ibidem</w:t>
      </w:r>
      <w:r w:rsidRPr="000A53F8">
        <w:rPr>
          <w:rFonts w:asciiTheme="minorBidi" w:hAnsiTheme="minorBidi" w:cstheme="minorBidi"/>
          <w:color w:val="000000" w:themeColor="text1"/>
          <w:sz w:val="18"/>
          <w:szCs w:val="18"/>
        </w:rPr>
        <w:t>, párr. 60.</w:t>
      </w:r>
    </w:p>
  </w:footnote>
  <w:footnote w:id="97">
    <w:p w14:paraId="468F104A" w14:textId="5B162F15" w:rsidR="00E73CDF" w:rsidRPr="000A53F8" w:rsidRDefault="00E73CDF"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00934361" w:rsidRPr="000A53F8">
        <w:rPr>
          <w:rFonts w:asciiTheme="minorBidi" w:hAnsiTheme="minorBidi" w:cstheme="minorBidi"/>
          <w:color w:val="000000" w:themeColor="text1"/>
          <w:sz w:val="18"/>
          <w:szCs w:val="18"/>
        </w:rPr>
        <w:t>Resuelto en sesión de 7 de febrero de 2014,</w:t>
      </w:r>
      <w:r w:rsidR="003C09E8" w:rsidRPr="000A53F8">
        <w:rPr>
          <w:rFonts w:asciiTheme="minorBidi" w:hAnsiTheme="minorBidi" w:cstheme="minorBidi"/>
          <w:sz w:val="18"/>
          <w:szCs w:val="18"/>
        </w:rPr>
        <w:t xml:space="preserve"> </w:t>
      </w:r>
      <w:r w:rsidR="003C09E8" w:rsidRPr="000A53F8">
        <w:rPr>
          <w:rFonts w:asciiTheme="minorBidi" w:hAnsiTheme="minorBidi" w:cstheme="minorBidi"/>
          <w:color w:val="000000" w:themeColor="text1"/>
          <w:sz w:val="18"/>
          <w:szCs w:val="18"/>
        </w:rPr>
        <w:t xml:space="preserve">por unanimidad de cinco votos de los </w:t>
      </w:r>
      <w:r w:rsidR="00AA055D" w:rsidRPr="000A53F8">
        <w:rPr>
          <w:rFonts w:asciiTheme="minorBidi" w:hAnsiTheme="minorBidi" w:cstheme="minorBidi"/>
          <w:color w:val="000000" w:themeColor="text1"/>
          <w:sz w:val="18"/>
          <w:szCs w:val="18"/>
        </w:rPr>
        <w:t>m</w:t>
      </w:r>
      <w:r w:rsidR="003C09E8" w:rsidRPr="000A53F8">
        <w:rPr>
          <w:rFonts w:asciiTheme="minorBidi" w:hAnsiTheme="minorBidi" w:cstheme="minorBidi"/>
          <w:color w:val="000000" w:themeColor="text1"/>
          <w:sz w:val="18"/>
          <w:szCs w:val="18"/>
        </w:rPr>
        <w:t>inistros Arturo Zaldívar Lelo de Larrea, José Ramón Cossío Díaz (</w:t>
      </w:r>
      <w:r w:rsidR="00AA055D" w:rsidRPr="000A53F8">
        <w:rPr>
          <w:rFonts w:asciiTheme="minorBidi" w:hAnsiTheme="minorBidi" w:cstheme="minorBidi"/>
          <w:color w:val="000000" w:themeColor="text1"/>
          <w:sz w:val="18"/>
          <w:szCs w:val="18"/>
        </w:rPr>
        <w:t>p</w:t>
      </w:r>
      <w:r w:rsidR="003C09E8" w:rsidRPr="000A53F8">
        <w:rPr>
          <w:rFonts w:asciiTheme="minorBidi" w:hAnsiTheme="minorBidi" w:cstheme="minorBidi"/>
          <w:color w:val="000000" w:themeColor="text1"/>
          <w:sz w:val="18"/>
          <w:szCs w:val="18"/>
        </w:rPr>
        <w:t xml:space="preserve">onente), Alfredo Gutiérrez Ortiz Mena, Olga Sánchez Cordero de García Villegas y </w:t>
      </w:r>
      <w:r w:rsidR="00AA055D" w:rsidRPr="000A53F8">
        <w:rPr>
          <w:rFonts w:asciiTheme="minorBidi" w:hAnsiTheme="minorBidi" w:cstheme="minorBidi"/>
          <w:color w:val="000000" w:themeColor="text1"/>
          <w:sz w:val="18"/>
          <w:szCs w:val="18"/>
        </w:rPr>
        <w:t>p</w:t>
      </w:r>
      <w:r w:rsidR="003C09E8" w:rsidRPr="000A53F8">
        <w:rPr>
          <w:rFonts w:asciiTheme="minorBidi" w:hAnsiTheme="minorBidi" w:cstheme="minorBidi"/>
          <w:color w:val="000000" w:themeColor="text1"/>
          <w:sz w:val="18"/>
          <w:szCs w:val="18"/>
        </w:rPr>
        <w:t>residente Jorge Mario Pardo Rebolledo, quien se reserva el derecho de formular voto concurrente</w:t>
      </w:r>
      <w:r w:rsidR="00283567" w:rsidRPr="000A53F8">
        <w:rPr>
          <w:rFonts w:asciiTheme="minorBidi" w:hAnsiTheme="minorBidi" w:cstheme="minorBidi"/>
          <w:color w:val="000000" w:themeColor="text1"/>
          <w:sz w:val="18"/>
          <w:szCs w:val="18"/>
        </w:rPr>
        <w:t xml:space="preserve">; </w:t>
      </w:r>
      <w:r w:rsidRPr="000A53F8">
        <w:rPr>
          <w:rFonts w:asciiTheme="minorBidi" w:hAnsiTheme="minorBidi" w:cstheme="minorBidi"/>
          <w:color w:val="000000" w:themeColor="text1"/>
          <w:sz w:val="18"/>
          <w:szCs w:val="18"/>
        </w:rPr>
        <w:t>párr. 51.</w:t>
      </w:r>
    </w:p>
  </w:footnote>
  <w:footnote w:id="98">
    <w:p w14:paraId="79845AEC" w14:textId="45D8465C" w:rsidR="00CC7042" w:rsidRPr="000A53F8" w:rsidRDefault="00CC7042" w:rsidP="00FD3784">
      <w:pPr>
        <w:pStyle w:val="Textonotapie"/>
        <w:tabs>
          <w:tab w:val="left" w:pos="284"/>
        </w:tabs>
        <w:jc w:val="both"/>
        <w:rPr>
          <w:rFonts w:asciiTheme="minorBidi" w:hAnsiTheme="minorBidi" w:cstheme="minorBidi"/>
          <w:color w:val="000000" w:themeColor="text1"/>
          <w:sz w:val="18"/>
          <w:szCs w:val="18"/>
          <w:lang w:val="es-ES_tradnl"/>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Artículo 1916. Por daño moral se entiende la afectación que una persona sufre en sus sentimientos, afectos, creencias, decoro, honor, reputación, vida privada, configuración y aspectos físicos, o bien en la consideración que de sí misma tienen los demás. Se presumirá que hubo daño moral cuando se vulnere o menoscabe ilegítimamente la libertad o la integridad física o psíquica de las personas.</w:t>
      </w:r>
      <w:r w:rsidR="00365084" w:rsidRPr="000A53F8">
        <w:rPr>
          <w:rFonts w:asciiTheme="minorBidi" w:hAnsiTheme="minorBidi" w:cstheme="minorBidi"/>
          <w:color w:val="000000" w:themeColor="text1"/>
          <w:sz w:val="18"/>
          <w:szCs w:val="18"/>
        </w:rPr>
        <w:t xml:space="preserve"> (…).</w:t>
      </w:r>
    </w:p>
  </w:footnote>
  <w:footnote w:id="99">
    <w:p w14:paraId="499E8324" w14:textId="33A8E0C6" w:rsidR="00A5307E" w:rsidRPr="000A53F8" w:rsidRDefault="00B325A3" w:rsidP="00FD3784">
      <w:pPr>
        <w:pStyle w:val="Textonotapie"/>
        <w:jc w:val="both"/>
        <w:rPr>
          <w:rFonts w:asciiTheme="minorBidi" w:hAnsiTheme="minorBidi" w:cstheme="minorBidi"/>
          <w:sz w:val="18"/>
          <w:szCs w:val="18"/>
        </w:rPr>
      </w:pPr>
      <w:r w:rsidRPr="000A53F8">
        <w:rPr>
          <w:rStyle w:val="Refdenotaalpie"/>
          <w:rFonts w:asciiTheme="minorBidi" w:hAnsiTheme="minorBidi" w:cstheme="minorBidi"/>
          <w:sz w:val="18"/>
          <w:szCs w:val="18"/>
        </w:rPr>
        <w:footnoteRef/>
      </w:r>
      <w:r w:rsidR="00EF6792" w:rsidRPr="000A53F8">
        <w:rPr>
          <w:rFonts w:asciiTheme="minorBidi" w:hAnsiTheme="minorBidi" w:cstheme="minorBidi"/>
          <w:sz w:val="18"/>
          <w:szCs w:val="18"/>
        </w:rPr>
        <w:t xml:space="preserve"> Por ello, hemos sostenido que las categorías sospechosas no deben ser la base para repartir bienes, derechos o cargas sociales, a menos de que tal reparto tenga como propósito resolver o remontar las causas y consecuencias de dicha desvaloración, desventaja o marginación de las personas.</w:t>
      </w:r>
      <w:r w:rsidRPr="000A53F8">
        <w:rPr>
          <w:rFonts w:asciiTheme="minorBidi" w:hAnsiTheme="minorBidi" w:cstheme="minorBidi"/>
          <w:sz w:val="18"/>
          <w:szCs w:val="18"/>
        </w:rPr>
        <w:t xml:space="preserve"> </w:t>
      </w:r>
      <w:r w:rsidR="00A5307E" w:rsidRPr="000A53F8">
        <w:rPr>
          <w:rFonts w:asciiTheme="minorBidi" w:hAnsiTheme="minorBidi" w:cstheme="minorBidi"/>
          <w:i/>
          <w:iCs/>
          <w:sz w:val="18"/>
          <w:szCs w:val="18"/>
        </w:rPr>
        <w:t>Vid</w:t>
      </w:r>
      <w:r w:rsidR="00A5307E" w:rsidRPr="000A53F8">
        <w:rPr>
          <w:rFonts w:asciiTheme="minorBidi" w:hAnsiTheme="minorBidi" w:cstheme="minorBidi"/>
          <w:sz w:val="18"/>
          <w:szCs w:val="18"/>
        </w:rPr>
        <w:t>., entre otros,</w:t>
      </w:r>
      <w:r w:rsidRPr="000A53F8">
        <w:rPr>
          <w:rFonts w:asciiTheme="minorBidi" w:hAnsiTheme="minorBidi" w:cstheme="minorBidi"/>
          <w:sz w:val="18"/>
          <w:szCs w:val="18"/>
        </w:rPr>
        <w:t xml:space="preserve"> el </w:t>
      </w:r>
      <w:r w:rsidR="005C448D" w:rsidRPr="000A53F8">
        <w:rPr>
          <w:rFonts w:asciiTheme="minorBidi" w:hAnsiTheme="minorBidi" w:cstheme="minorBidi"/>
          <w:sz w:val="18"/>
          <w:szCs w:val="18"/>
        </w:rPr>
        <w:t xml:space="preserve">amparo directo en revisión 6606/2015, </w:t>
      </w:r>
      <w:r w:rsidR="00807820" w:rsidRPr="000A53F8">
        <w:rPr>
          <w:rFonts w:asciiTheme="minorBidi" w:hAnsiTheme="minorBidi" w:cstheme="minorBidi"/>
          <w:sz w:val="18"/>
          <w:szCs w:val="18"/>
        </w:rPr>
        <w:t>resuelto en sesión de 8 de ju</w:t>
      </w:r>
      <w:r w:rsidR="00F95E24" w:rsidRPr="000A53F8">
        <w:rPr>
          <w:rFonts w:asciiTheme="minorBidi" w:hAnsiTheme="minorBidi" w:cstheme="minorBidi"/>
          <w:sz w:val="18"/>
          <w:szCs w:val="18"/>
        </w:rPr>
        <w:t>n</w:t>
      </w:r>
      <w:r w:rsidR="00807820" w:rsidRPr="000A53F8">
        <w:rPr>
          <w:rFonts w:asciiTheme="minorBidi" w:hAnsiTheme="minorBidi" w:cstheme="minorBidi"/>
          <w:sz w:val="18"/>
          <w:szCs w:val="18"/>
        </w:rPr>
        <w:t xml:space="preserve">io de 2016, por </w:t>
      </w:r>
      <w:r w:rsidR="003D20A6" w:rsidRPr="000A53F8">
        <w:rPr>
          <w:rFonts w:asciiTheme="minorBidi" w:hAnsiTheme="minorBidi" w:cstheme="minorBidi"/>
          <w:sz w:val="18"/>
          <w:szCs w:val="18"/>
        </w:rPr>
        <w:t xml:space="preserve">unanimidad de cuatro votos de los ministros Arturo Zaldívar Lelo de Larrea, Jorge Mario Pardo Rebolledo, Norma Lucía Piña Hernández y presidente y ponente Alfredo Gutiérrez Ortiz Mena; el ministro Pardo Rebolledo se reservó su derecho de formular voto concurrente y la ministra Piña Hernández señaló que comparte el sentido de la presente ejecutoria pero no así las consideraciones. En ausencia del ministro José Ramón Cossío Díaz; </w:t>
      </w:r>
      <w:r w:rsidR="0075738D" w:rsidRPr="000A53F8">
        <w:rPr>
          <w:rFonts w:asciiTheme="minorBidi" w:hAnsiTheme="minorBidi" w:cstheme="minorBidi"/>
          <w:sz w:val="18"/>
          <w:szCs w:val="18"/>
        </w:rPr>
        <w:t>párr. 37</w:t>
      </w:r>
      <w:r w:rsidR="003D20A6" w:rsidRPr="000A53F8">
        <w:rPr>
          <w:rFonts w:asciiTheme="minorBidi" w:hAnsiTheme="minorBidi" w:cstheme="minorBidi"/>
          <w:sz w:val="18"/>
          <w:szCs w:val="18"/>
        </w:rPr>
        <w:t>; así como el amparo directo en revisión</w:t>
      </w:r>
      <w:r w:rsidR="00A5307E" w:rsidRPr="000A53F8">
        <w:rPr>
          <w:rFonts w:asciiTheme="minorBidi" w:hAnsiTheme="minorBidi" w:cstheme="minorBidi"/>
          <w:sz w:val="18"/>
          <w:szCs w:val="18"/>
        </w:rPr>
        <w:t xml:space="preserve"> </w:t>
      </w:r>
      <w:r w:rsidR="009813A5" w:rsidRPr="000A53F8">
        <w:rPr>
          <w:rFonts w:asciiTheme="minorBidi" w:hAnsiTheme="minorBidi" w:cstheme="minorBidi"/>
          <w:sz w:val="18"/>
          <w:szCs w:val="18"/>
        </w:rPr>
        <w:t>4897/2018, resuelto en sesión de</w:t>
      </w:r>
      <w:r w:rsidR="00D80C36" w:rsidRPr="000A53F8">
        <w:rPr>
          <w:rFonts w:asciiTheme="minorBidi" w:hAnsiTheme="minorBidi" w:cstheme="minorBidi"/>
          <w:sz w:val="18"/>
          <w:szCs w:val="18"/>
        </w:rPr>
        <w:t xml:space="preserve"> 23 de enero de 2019</w:t>
      </w:r>
      <w:r w:rsidR="009813A5" w:rsidRPr="000A53F8">
        <w:rPr>
          <w:rFonts w:asciiTheme="minorBidi" w:hAnsiTheme="minorBidi" w:cstheme="minorBidi"/>
          <w:sz w:val="18"/>
          <w:szCs w:val="18"/>
        </w:rPr>
        <w:t xml:space="preserve">, por </w:t>
      </w:r>
      <w:r w:rsidR="00E009BE" w:rsidRPr="000A53F8">
        <w:rPr>
          <w:rFonts w:asciiTheme="minorBidi" w:hAnsiTheme="minorBidi" w:cstheme="minorBidi"/>
          <w:sz w:val="18"/>
          <w:szCs w:val="18"/>
        </w:rPr>
        <w:t>mayoría de tres votos de los ministros Luis María Aguilar Morales, Jorge Mario Pardo Rebolledo y Alfredo Gutiérrez Ortiz Mena (ponente). En contra de los emitidos por la ministra Norma Lucía Piña Hernández y presidente Juan Luis González Alcántara Carrancá</w:t>
      </w:r>
      <w:r w:rsidR="009813A5" w:rsidRPr="000A53F8">
        <w:rPr>
          <w:rFonts w:asciiTheme="minorBidi" w:hAnsiTheme="minorBidi" w:cstheme="minorBidi"/>
          <w:sz w:val="18"/>
          <w:szCs w:val="18"/>
        </w:rPr>
        <w:t xml:space="preserve">; párr. </w:t>
      </w:r>
      <w:r w:rsidR="00657218" w:rsidRPr="000A53F8">
        <w:rPr>
          <w:rFonts w:asciiTheme="minorBidi" w:hAnsiTheme="minorBidi" w:cstheme="minorBidi"/>
          <w:sz w:val="18"/>
          <w:szCs w:val="18"/>
        </w:rPr>
        <w:t>38.</w:t>
      </w:r>
    </w:p>
  </w:footnote>
  <w:footnote w:id="100">
    <w:p w14:paraId="4DB7AC85" w14:textId="7CC8D718" w:rsidR="00A5307E" w:rsidRPr="000A53F8" w:rsidRDefault="00A5307E" w:rsidP="00FD3784">
      <w:pPr>
        <w:pStyle w:val="Textonotapie"/>
        <w:jc w:val="both"/>
        <w:rPr>
          <w:rFonts w:asciiTheme="minorBidi" w:hAnsiTheme="minorBidi" w:cstheme="minorBidi"/>
          <w:color w:val="000000" w:themeColor="text1"/>
          <w:sz w:val="18"/>
          <w:szCs w:val="18"/>
        </w:rPr>
      </w:pPr>
      <w:r w:rsidRPr="000A53F8">
        <w:rPr>
          <w:rStyle w:val="Refdenotaalpie"/>
          <w:rFonts w:asciiTheme="minorBidi" w:hAnsiTheme="minorBidi" w:cstheme="minorBidi"/>
          <w:sz w:val="18"/>
          <w:szCs w:val="18"/>
        </w:rPr>
        <w:footnoteRef/>
      </w:r>
      <w:r w:rsidRPr="000A53F8">
        <w:rPr>
          <w:rFonts w:asciiTheme="minorBidi" w:hAnsiTheme="minorBidi" w:cstheme="minorBidi"/>
          <w:sz w:val="18"/>
          <w:szCs w:val="18"/>
        </w:rPr>
        <w:t xml:space="preserve"> </w:t>
      </w:r>
      <w:r w:rsidR="005C5D9A" w:rsidRPr="000A53F8">
        <w:rPr>
          <w:rFonts w:asciiTheme="minorBidi" w:hAnsiTheme="minorBidi" w:cstheme="minorBidi"/>
          <w:i/>
          <w:iCs/>
          <w:sz w:val="18"/>
          <w:szCs w:val="18"/>
        </w:rPr>
        <w:t>Ídem</w:t>
      </w:r>
      <w:r w:rsidR="005C5D9A" w:rsidRPr="000A53F8">
        <w:rPr>
          <w:rFonts w:asciiTheme="minorBidi" w:hAnsiTheme="minorBidi" w:cstheme="minorBidi"/>
          <w:sz w:val="18"/>
          <w:szCs w:val="18"/>
        </w:rPr>
        <w:t>. Asimism</w:t>
      </w:r>
      <w:r w:rsidR="005C5D9A" w:rsidRPr="000A53F8">
        <w:rPr>
          <w:rFonts w:asciiTheme="minorBidi" w:hAnsiTheme="minorBidi" w:cstheme="minorBidi"/>
          <w:color w:val="000000" w:themeColor="text1"/>
          <w:sz w:val="18"/>
          <w:szCs w:val="18"/>
        </w:rPr>
        <w:t>o</w:t>
      </w:r>
      <w:r w:rsidR="005C5D9A" w:rsidRPr="000A53F8">
        <w:rPr>
          <w:rFonts w:asciiTheme="minorBidi" w:hAnsiTheme="minorBidi" w:cstheme="minorBidi"/>
          <w:i/>
          <w:iCs/>
          <w:color w:val="000000" w:themeColor="text1"/>
          <w:sz w:val="18"/>
          <w:szCs w:val="18"/>
        </w:rPr>
        <w:t>, vid.</w:t>
      </w:r>
      <w:r w:rsidRPr="000A53F8">
        <w:rPr>
          <w:rFonts w:asciiTheme="minorBidi" w:hAnsiTheme="minorBidi" w:cstheme="minorBidi"/>
          <w:color w:val="000000" w:themeColor="text1"/>
          <w:sz w:val="18"/>
          <w:szCs w:val="18"/>
        </w:rPr>
        <w:t xml:space="preserve">, la acción de inconstitucionalidad </w:t>
      </w:r>
      <w:r w:rsidR="00EE7B59" w:rsidRPr="000A53F8">
        <w:rPr>
          <w:rFonts w:asciiTheme="minorBidi" w:hAnsiTheme="minorBidi" w:cstheme="minorBidi"/>
          <w:color w:val="000000" w:themeColor="text1"/>
          <w:sz w:val="18"/>
          <w:szCs w:val="18"/>
        </w:rPr>
        <w:t>106/2018 y su acumulada 107/2018, resuelta el 9 de septiembre de 2021, por el Tribunal Pleno</w:t>
      </w:r>
      <w:r w:rsidR="008A417C" w:rsidRPr="000A53F8">
        <w:rPr>
          <w:rFonts w:asciiTheme="minorBidi" w:hAnsiTheme="minorBidi" w:cstheme="minorBidi"/>
          <w:color w:val="000000" w:themeColor="text1"/>
          <w:sz w:val="18"/>
          <w:szCs w:val="18"/>
        </w:rPr>
        <w:t xml:space="preserve">; párr. 75. </w:t>
      </w:r>
    </w:p>
  </w:footnote>
  <w:footnote w:id="101">
    <w:p w14:paraId="31034EE7" w14:textId="0114BAA2" w:rsidR="002B6D04" w:rsidRPr="000A53F8" w:rsidRDefault="002B6D04" w:rsidP="00FD3784">
      <w:pPr>
        <w:pStyle w:val="Textonotapie"/>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Al respecto, </w:t>
      </w:r>
      <w:r w:rsidRPr="000A53F8">
        <w:rPr>
          <w:rFonts w:asciiTheme="minorBidi" w:hAnsiTheme="minorBidi" w:cstheme="minorBidi"/>
          <w:i/>
          <w:iCs/>
          <w:color w:val="000000" w:themeColor="text1"/>
          <w:sz w:val="18"/>
          <w:szCs w:val="18"/>
        </w:rPr>
        <w:t>vid</w:t>
      </w:r>
      <w:r w:rsidRPr="000A53F8">
        <w:rPr>
          <w:rFonts w:asciiTheme="minorBidi" w:hAnsiTheme="minorBidi" w:cstheme="minorBidi"/>
          <w:color w:val="000000" w:themeColor="text1"/>
          <w:sz w:val="18"/>
          <w:szCs w:val="18"/>
        </w:rPr>
        <w:t>., Brière-Godbout, Léa. 2023. Universal or Partial? A Model for the Protectorate of Anti-Discrimination Law</w:t>
      </w:r>
      <w:r w:rsidR="008F44ED" w:rsidRPr="000A53F8">
        <w:rPr>
          <w:rFonts w:asciiTheme="minorBidi" w:hAnsiTheme="minorBidi" w:cstheme="minorBidi"/>
          <w:color w:val="000000" w:themeColor="text1"/>
          <w:sz w:val="18"/>
          <w:szCs w:val="18"/>
        </w:rPr>
        <w:t>;</w:t>
      </w:r>
      <w:r w:rsidRPr="000A53F8">
        <w:rPr>
          <w:rFonts w:asciiTheme="minorBidi" w:hAnsiTheme="minorBidi" w:cstheme="minorBidi"/>
          <w:color w:val="000000" w:themeColor="text1"/>
          <w:sz w:val="18"/>
          <w:szCs w:val="18"/>
        </w:rPr>
        <w:t xml:space="preserve"> </w:t>
      </w:r>
      <w:r w:rsidR="00216279" w:rsidRPr="000A53F8">
        <w:rPr>
          <w:rFonts w:asciiTheme="minorBidi" w:hAnsiTheme="minorBidi" w:cstheme="minorBidi"/>
          <w:color w:val="000000" w:themeColor="text1"/>
          <w:sz w:val="18"/>
          <w:szCs w:val="18"/>
        </w:rPr>
        <w:t xml:space="preserve">Tesis de </w:t>
      </w:r>
      <w:r w:rsidRPr="000A53F8">
        <w:rPr>
          <w:rFonts w:asciiTheme="minorBidi" w:hAnsiTheme="minorBidi" w:cstheme="minorBidi"/>
          <w:color w:val="000000" w:themeColor="text1"/>
          <w:sz w:val="18"/>
          <w:szCs w:val="18"/>
        </w:rPr>
        <w:t>Doctorado en Ciencias Jurídicas</w:t>
      </w:r>
      <w:r w:rsidR="00216279" w:rsidRPr="000A53F8">
        <w:rPr>
          <w:rFonts w:asciiTheme="minorBidi" w:hAnsiTheme="minorBidi" w:cstheme="minorBidi"/>
          <w:color w:val="000000" w:themeColor="text1"/>
          <w:sz w:val="18"/>
          <w:szCs w:val="18"/>
        </w:rPr>
        <w:t xml:space="preserve">, </w:t>
      </w:r>
      <w:r w:rsidRPr="000A53F8">
        <w:rPr>
          <w:rFonts w:asciiTheme="minorBidi" w:hAnsiTheme="minorBidi" w:cstheme="minorBidi"/>
          <w:color w:val="000000" w:themeColor="text1"/>
          <w:sz w:val="18"/>
          <w:szCs w:val="18"/>
        </w:rPr>
        <w:t>Facultad de Derecho de la Universidad de Toronto</w:t>
      </w:r>
      <w:r w:rsidR="00216279" w:rsidRPr="000A53F8">
        <w:rPr>
          <w:rFonts w:asciiTheme="minorBidi" w:hAnsiTheme="minorBidi" w:cstheme="minorBidi"/>
          <w:color w:val="000000" w:themeColor="text1"/>
          <w:sz w:val="18"/>
          <w:szCs w:val="18"/>
        </w:rPr>
        <w:t xml:space="preserve">, disponible en el sitio web: </w:t>
      </w:r>
      <w:hyperlink r:id="rId3" w:tgtFrame="_blank" w:history="1">
        <w:r w:rsidR="00216279" w:rsidRPr="000A53F8">
          <w:rPr>
            <w:rStyle w:val="Hipervnculo"/>
            <w:rFonts w:asciiTheme="minorBidi" w:hAnsiTheme="minorBidi" w:cstheme="minorBidi"/>
            <w:color w:val="000000" w:themeColor="text1"/>
            <w:sz w:val="18"/>
            <w:szCs w:val="18"/>
            <w:u w:val="none"/>
          </w:rPr>
          <w:t>https://tspace.library.utoronto.ca/handle/1807/9944</w:t>
        </w:r>
      </w:hyperlink>
      <w:r w:rsidR="00216279" w:rsidRPr="000A53F8">
        <w:rPr>
          <w:rFonts w:asciiTheme="minorBidi" w:hAnsiTheme="minorBidi" w:cstheme="minorBidi"/>
          <w:color w:val="000000" w:themeColor="text1"/>
          <w:sz w:val="18"/>
          <w:szCs w:val="18"/>
        </w:rPr>
        <w:t>.</w:t>
      </w:r>
    </w:p>
  </w:footnote>
  <w:footnote w:id="102">
    <w:p w14:paraId="52B39341" w14:textId="69D99D42" w:rsidR="00E114E1" w:rsidRPr="000A53F8" w:rsidRDefault="00E114E1" w:rsidP="00FD3784">
      <w:pPr>
        <w:pStyle w:val="Textonotapie"/>
        <w:tabs>
          <w:tab w:val="left" w:pos="284"/>
        </w:tabs>
        <w:jc w:val="both"/>
        <w:rPr>
          <w:rFonts w:asciiTheme="minorBidi" w:hAnsiTheme="minorBidi" w:cstheme="minorBidi"/>
          <w:sz w:val="18"/>
          <w:szCs w:val="18"/>
          <w:lang w:val="en-US"/>
        </w:rPr>
      </w:pPr>
      <w:r w:rsidRPr="000A53F8">
        <w:rPr>
          <w:rStyle w:val="Refdenotaalpie"/>
          <w:rFonts w:asciiTheme="minorBidi" w:hAnsiTheme="minorBidi" w:cstheme="minorBidi"/>
          <w:sz w:val="18"/>
          <w:szCs w:val="18"/>
        </w:rPr>
        <w:footnoteRef/>
      </w:r>
      <w:r w:rsidRPr="000A53F8">
        <w:rPr>
          <w:rFonts w:asciiTheme="minorBidi" w:hAnsiTheme="minorBidi" w:cstheme="minorBidi"/>
          <w:sz w:val="18"/>
          <w:szCs w:val="18"/>
        </w:rPr>
        <w:t xml:space="preserve"> Para Deborah Hellman, menospreciar no sólo requiere que una persona exprese falta de respeto por la igual humanidad de la otra, sino también que aquella esté en una posición tal que la expresión realizada pueda </w:t>
      </w:r>
      <w:r w:rsidRPr="000A53F8">
        <w:rPr>
          <w:rFonts w:asciiTheme="minorBidi" w:hAnsiTheme="minorBidi" w:cstheme="minorBidi"/>
          <w:i/>
          <w:iCs/>
          <w:sz w:val="18"/>
          <w:szCs w:val="18"/>
        </w:rPr>
        <w:t>subordinar</w:t>
      </w:r>
      <w:r w:rsidRPr="000A53F8">
        <w:rPr>
          <w:rFonts w:asciiTheme="minorBidi" w:hAnsiTheme="minorBidi" w:cstheme="minorBidi"/>
          <w:sz w:val="18"/>
          <w:szCs w:val="18"/>
        </w:rPr>
        <w:t xml:space="preserve"> a la otra persona. </w:t>
      </w:r>
      <w:r w:rsidRPr="000A53F8">
        <w:rPr>
          <w:rFonts w:asciiTheme="minorBidi" w:hAnsiTheme="minorBidi" w:cstheme="minorBidi"/>
          <w:i/>
          <w:iCs/>
          <w:sz w:val="18"/>
          <w:szCs w:val="18"/>
          <w:lang w:val="en-US"/>
        </w:rPr>
        <w:t>Cfr</w:t>
      </w:r>
      <w:r w:rsidRPr="000A53F8">
        <w:rPr>
          <w:rFonts w:asciiTheme="minorBidi" w:hAnsiTheme="minorBidi" w:cstheme="minorBidi"/>
          <w:sz w:val="18"/>
          <w:szCs w:val="18"/>
          <w:lang w:val="en-US"/>
        </w:rPr>
        <w:t>., Hellman, Deborah. 2011. When is Discrimination Wrong</w:t>
      </w:r>
      <w:r w:rsidR="00083826" w:rsidRPr="000A53F8">
        <w:rPr>
          <w:rFonts w:asciiTheme="minorBidi" w:hAnsiTheme="minorBidi" w:cstheme="minorBidi"/>
          <w:sz w:val="18"/>
          <w:szCs w:val="18"/>
          <w:lang w:val="en-US"/>
        </w:rPr>
        <w:t>?,</w:t>
      </w:r>
      <w:r w:rsidRPr="000A53F8">
        <w:rPr>
          <w:rFonts w:asciiTheme="minorBidi" w:hAnsiTheme="minorBidi" w:cstheme="minorBidi"/>
          <w:sz w:val="18"/>
          <w:szCs w:val="18"/>
          <w:lang w:val="en-US"/>
        </w:rPr>
        <w:t xml:space="preserve"> Harvard University Press; pp. 33-35.</w:t>
      </w:r>
    </w:p>
  </w:footnote>
  <w:footnote w:id="103">
    <w:p w14:paraId="733AE86D" w14:textId="38FBEB1D" w:rsidR="009A5825" w:rsidRPr="000A53F8" w:rsidRDefault="009A5825" w:rsidP="00FD3784">
      <w:pPr>
        <w:pStyle w:val="Textonotapie"/>
        <w:jc w:val="both"/>
        <w:rPr>
          <w:rFonts w:asciiTheme="minorBidi" w:hAnsiTheme="minorBidi" w:cstheme="minorBidi"/>
          <w:sz w:val="18"/>
          <w:szCs w:val="18"/>
          <w:lang w:val="en-US"/>
        </w:rPr>
      </w:pPr>
      <w:r w:rsidRPr="000A53F8">
        <w:rPr>
          <w:rStyle w:val="Refdenotaalpie"/>
          <w:rFonts w:asciiTheme="minorBidi" w:hAnsiTheme="minorBidi" w:cstheme="minorBidi"/>
          <w:sz w:val="18"/>
          <w:szCs w:val="18"/>
        </w:rPr>
        <w:footnoteRef/>
      </w:r>
      <w:r w:rsidRPr="000A53F8">
        <w:rPr>
          <w:rFonts w:asciiTheme="minorBidi" w:hAnsiTheme="minorBidi" w:cstheme="minorBidi"/>
          <w:sz w:val="18"/>
          <w:szCs w:val="18"/>
          <w:lang w:val="en-US"/>
        </w:rPr>
        <w:t xml:space="preserve"> </w:t>
      </w:r>
      <w:r w:rsidR="007E126B" w:rsidRPr="000A53F8">
        <w:rPr>
          <w:rFonts w:asciiTheme="minorBidi" w:hAnsiTheme="minorBidi" w:cstheme="minorBidi"/>
          <w:i/>
          <w:iCs/>
          <w:sz w:val="18"/>
          <w:szCs w:val="18"/>
          <w:lang w:val="en-US"/>
        </w:rPr>
        <w:t>Í</w:t>
      </w:r>
      <w:r w:rsidRPr="000A53F8">
        <w:rPr>
          <w:rFonts w:asciiTheme="minorBidi" w:hAnsiTheme="minorBidi" w:cstheme="minorBidi"/>
          <w:i/>
          <w:iCs/>
          <w:sz w:val="18"/>
          <w:szCs w:val="18"/>
          <w:lang w:val="en-US"/>
        </w:rPr>
        <w:t>dem</w:t>
      </w:r>
      <w:r w:rsidR="007E126B" w:rsidRPr="000A53F8">
        <w:rPr>
          <w:rFonts w:asciiTheme="minorBidi" w:hAnsiTheme="minorBidi" w:cstheme="minorBidi"/>
          <w:sz w:val="18"/>
          <w:szCs w:val="18"/>
          <w:lang w:val="en-US"/>
        </w:rPr>
        <w:t>.</w:t>
      </w:r>
    </w:p>
  </w:footnote>
  <w:footnote w:id="104">
    <w:p w14:paraId="479356F4" w14:textId="77777777" w:rsidR="00234CDC" w:rsidRPr="000A53F8" w:rsidRDefault="00234CDC" w:rsidP="00FD3784">
      <w:pPr>
        <w:pStyle w:val="Textonotapie"/>
        <w:tabs>
          <w:tab w:val="left" w:pos="284"/>
        </w:tabs>
        <w:jc w:val="both"/>
        <w:rPr>
          <w:rFonts w:asciiTheme="minorBidi" w:hAnsiTheme="minorBidi" w:cstheme="minorBidi"/>
          <w:sz w:val="18"/>
          <w:szCs w:val="18"/>
          <w:lang w:val="en-US"/>
        </w:rPr>
      </w:pPr>
      <w:r w:rsidRPr="000A53F8">
        <w:rPr>
          <w:rStyle w:val="Refdenotaalpie"/>
          <w:rFonts w:asciiTheme="minorBidi" w:hAnsiTheme="minorBidi" w:cstheme="minorBidi"/>
          <w:sz w:val="18"/>
          <w:szCs w:val="18"/>
        </w:rPr>
        <w:footnoteRef/>
      </w:r>
      <w:r w:rsidRPr="000A53F8">
        <w:rPr>
          <w:rFonts w:asciiTheme="minorBidi" w:hAnsiTheme="minorBidi" w:cstheme="minorBidi"/>
          <w:sz w:val="18"/>
          <w:szCs w:val="18"/>
          <w:lang w:val="en-US"/>
        </w:rPr>
        <w:t xml:space="preserve"> </w:t>
      </w:r>
      <w:r w:rsidRPr="000A53F8">
        <w:rPr>
          <w:rFonts w:asciiTheme="minorBidi" w:hAnsiTheme="minorBidi" w:cstheme="minorBidi"/>
          <w:i/>
          <w:iCs/>
          <w:sz w:val="18"/>
          <w:szCs w:val="18"/>
          <w:lang w:val="en-US"/>
        </w:rPr>
        <w:t>Cfr</w:t>
      </w:r>
      <w:r w:rsidRPr="000A53F8">
        <w:rPr>
          <w:rFonts w:asciiTheme="minorBidi" w:hAnsiTheme="minorBidi" w:cstheme="minorBidi"/>
          <w:sz w:val="18"/>
          <w:szCs w:val="18"/>
          <w:lang w:val="en-US"/>
        </w:rPr>
        <w:t>., Moreau, Sophia. 2016. Equality Rights and Stereotypes. Oxford University Press; pp. 299-303.</w:t>
      </w:r>
    </w:p>
  </w:footnote>
  <w:footnote w:id="105">
    <w:p w14:paraId="7AC77CB6" w14:textId="77777777" w:rsidR="00036B8F" w:rsidRPr="000A53F8" w:rsidRDefault="00036B8F" w:rsidP="00FD3784">
      <w:pPr>
        <w:pStyle w:val="Textonotapie"/>
        <w:tabs>
          <w:tab w:val="left" w:pos="284"/>
        </w:tabs>
        <w:jc w:val="both"/>
        <w:rPr>
          <w:rFonts w:asciiTheme="minorBidi" w:hAnsiTheme="minorBidi" w:cstheme="minorBidi"/>
          <w:sz w:val="18"/>
          <w:szCs w:val="18"/>
          <w:lang w:val="en-US"/>
        </w:rPr>
      </w:pPr>
      <w:r w:rsidRPr="000A53F8">
        <w:rPr>
          <w:rStyle w:val="Refdenotaalpie"/>
          <w:rFonts w:asciiTheme="minorBidi" w:hAnsiTheme="minorBidi" w:cstheme="minorBidi"/>
          <w:sz w:val="18"/>
          <w:szCs w:val="18"/>
        </w:rPr>
        <w:footnoteRef/>
      </w:r>
      <w:r w:rsidRPr="000A53F8">
        <w:rPr>
          <w:rFonts w:asciiTheme="minorBidi" w:hAnsiTheme="minorBidi" w:cstheme="minorBidi"/>
          <w:sz w:val="18"/>
          <w:szCs w:val="18"/>
          <w:lang w:val="en-US"/>
        </w:rPr>
        <w:t xml:space="preserve"> Lippert-Rasmussen Source, Kasper, 2006. The Badness of Discrimination, en Ethical Theory and Moral Practice. Vol. 9, No. 2; pp. 174 y ss.</w:t>
      </w:r>
    </w:p>
  </w:footnote>
  <w:footnote w:id="106">
    <w:p w14:paraId="122F2A42" w14:textId="0ABB60BC" w:rsidR="00925BCC" w:rsidRPr="000A53F8" w:rsidRDefault="00925BCC" w:rsidP="00FD3784">
      <w:pPr>
        <w:pStyle w:val="Textonotapie"/>
        <w:tabs>
          <w:tab w:val="left" w:pos="284"/>
        </w:tabs>
        <w:jc w:val="both"/>
        <w:rPr>
          <w:rFonts w:asciiTheme="minorBidi" w:hAnsiTheme="minorBidi" w:cstheme="minorBidi"/>
          <w:sz w:val="18"/>
          <w:szCs w:val="18"/>
        </w:rPr>
      </w:pPr>
      <w:r w:rsidRPr="000A53F8">
        <w:rPr>
          <w:rStyle w:val="Refdenotaalpie"/>
          <w:rFonts w:asciiTheme="minorBidi" w:hAnsiTheme="minorBidi" w:cstheme="minorBidi"/>
          <w:sz w:val="18"/>
          <w:szCs w:val="18"/>
        </w:rPr>
        <w:footnoteRef/>
      </w:r>
      <w:r w:rsidRPr="000A53F8">
        <w:rPr>
          <w:rFonts w:asciiTheme="minorBidi" w:hAnsiTheme="minorBidi" w:cstheme="minorBidi"/>
          <w:i/>
          <w:iCs/>
          <w:sz w:val="18"/>
          <w:szCs w:val="18"/>
          <w:lang w:val="en-US"/>
        </w:rPr>
        <w:t xml:space="preserve"> </w:t>
      </w:r>
      <w:r w:rsidR="00E5520C" w:rsidRPr="000A53F8">
        <w:rPr>
          <w:rFonts w:asciiTheme="minorBidi" w:hAnsiTheme="minorBidi" w:cstheme="minorBidi"/>
          <w:i/>
          <w:iCs/>
          <w:sz w:val="18"/>
          <w:szCs w:val="18"/>
          <w:lang w:val="en-US"/>
        </w:rPr>
        <w:t>Cfr</w:t>
      </w:r>
      <w:r w:rsidR="00E5520C" w:rsidRPr="000A53F8">
        <w:rPr>
          <w:rFonts w:asciiTheme="minorBidi" w:hAnsiTheme="minorBidi" w:cstheme="minorBidi"/>
          <w:sz w:val="18"/>
          <w:szCs w:val="18"/>
          <w:lang w:val="en-US"/>
        </w:rPr>
        <w:t xml:space="preserve">., Khaitan, Tarunabh. 2015. A Theory of Discrimination Law. </w:t>
      </w:r>
      <w:r w:rsidR="00E5520C" w:rsidRPr="000A53F8">
        <w:rPr>
          <w:rFonts w:asciiTheme="minorBidi" w:hAnsiTheme="minorBidi" w:cstheme="minorBidi"/>
          <w:sz w:val="18"/>
          <w:szCs w:val="18"/>
        </w:rPr>
        <w:t>Oxford University Press</w:t>
      </w:r>
      <w:r w:rsidRPr="000A53F8">
        <w:rPr>
          <w:rFonts w:asciiTheme="minorBidi" w:hAnsiTheme="minorBidi" w:cstheme="minorBidi"/>
          <w:i/>
          <w:iCs/>
          <w:sz w:val="18"/>
          <w:szCs w:val="18"/>
        </w:rPr>
        <w:t>,</w:t>
      </w:r>
      <w:r w:rsidRPr="000A53F8">
        <w:rPr>
          <w:rFonts w:asciiTheme="minorBidi" w:hAnsiTheme="minorBidi" w:cstheme="minorBidi"/>
          <w:sz w:val="18"/>
          <w:szCs w:val="18"/>
        </w:rPr>
        <w:t xml:space="preserve"> pp. 18, </w:t>
      </w:r>
      <w:r w:rsidR="00E5520C" w:rsidRPr="000A53F8">
        <w:rPr>
          <w:rFonts w:asciiTheme="minorBidi" w:hAnsiTheme="minorBidi" w:cstheme="minorBidi"/>
          <w:sz w:val="18"/>
          <w:szCs w:val="18"/>
        </w:rPr>
        <w:t xml:space="preserve">165, </w:t>
      </w:r>
      <w:r w:rsidRPr="000A53F8">
        <w:rPr>
          <w:rFonts w:asciiTheme="minorBidi" w:hAnsiTheme="minorBidi" w:cstheme="minorBidi"/>
          <w:sz w:val="18"/>
          <w:szCs w:val="18"/>
        </w:rPr>
        <w:t xml:space="preserve">245 y 246. </w:t>
      </w:r>
    </w:p>
  </w:footnote>
  <w:footnote w:id="107">
    <w:p w14:paraId="0E7EE043" w14:textId="57BE9CF3" w:rsidR="00457D80" w:rsidRPr="000A53F8" w:rsidRDefault="00457D80" w:rsidP="00FD3784">
      <w:pPr>
        <w:pStyle w:val="Textonotapie"/>
        <w:tabs>
          <w:tab w:val="left" w:pos="284"/>
        </w:tabs>
        <w:jc w:val="both"/>
        <w:rPr>
          <w:rFonts w:asciiTheme="minorBidi" w:hAnsiTheme="minorBidi" w:cstheme="minorBidi"/>
          <w:sz w:val="18"/>
          <w:szCs w:val="18"/>
        </w:rPr>
      </w:pPr>
      <w:r w:rsidRPr="00F3755F">
        <w:rPr>
          <w:rStyle w:val="Refdenotaalpie"/>
          <w:rFonts w:asciiTheme="minorBidi" w:hAnsiTheme="minorBidi" w:cstheme="minorBidi"/>
          <w:sz w:val="18"/>
          <w:szCs w:val="18"/>
        </w:rPr>
        <w:footnoteRef/>
      </w:r>
      <w:r w:rsidRPr="00F3755F">
        <w:rPr>
          <w:rFonts w:asciiTheme="minorBidi" w:hAnsiTheme="minorBidi" w:cstheme="minorBidi"/>
          <w:sz w:val="18"/>
          <w:szCs w:val="18"/>
        </w:rPr>
        <w:t xml:space="preserve"> </w:t>
      </w:r>
      <w:r w:rsidR="00057631" w:rsidRPr="00F3755F">
        <w:rPr>
          <w:rFonts w:asciiTheme="minorBidi" w:hAnsiTheme="minorBidi" w:cstheme="minorBidi"/>
          <w:sz w:val="18"/>
          <w:szCs w:val="18"/>
        </w:rPr>
        <w:t>Respecto de la acreditación de</w:t>
      </w:r>
      <w:r w:rsidR="000D2549" w:rsidRPr="00F3755F">
        <w:rPr>
          <w:rFonts w:asciiTheme="minorBidi" w:hAnsiTheme="minorBidi" w:cstheme="minorBidi"/>
          <w:sz w:val="18"/>
          <w:szCs w:val="18"/>
        </w:rPr>
        <w:t xml:space="preserve">l daño moral </w:t>
      </w:r>
      <w:r w:rsidR="007E7925" w:rsidRPr="00F3755F">
        <w:rPr>
          <w:rFonts w:asciiTheme="minorBidi" w:hAnsiTheme="minorBidi" w:cstheme="minorBidi"/>
          <w:sz w:val="18"/>
          <w:szCs w:val="18"/>
        </w:rPr>
        <w:t>ante</w:t>
      </w:r>
      <w:r w:rsidR="000D2549" w:rsidRPr="00F3755F">
        <w:rPr>
          <w:rFonts w:asciiTheme="minorBidi" w:hAnsiTheme="minorBidi" w:cstheme="minorBidi"/>
          <w:sz w:val="18"/>
          <w:szCs w:val="18"/>
        </w:rPr>
        <w:t xml:space="preserve"> actos discriminatorios </w:t>
      </w:r>
      <w:r w:rsidR="0012055F" w:rsidRPr="00F3755F">
        <w:rPr>
          <w:rFonts w:asciiTheme="minorBidi" w:hAnsiTheme="minorBidi" w:cstheme="minorBidi"/>
          <w:sz w:val="18"/>
          <w:szCs w:val="18"/>
        </w:rPr>
        <w:t xml:space="preserve">no dirigidos o </w:t>
      </w:r>
      <w:r w:rsidR="0029216A" w:rsidRPr="00F3755F">
        <w:rPr>
          <w:rFonts w:asciiTheme="minorBidi" w:hAnsiTheme="minorBidi" w:cstheme="minorBidi"/>
          <w:sz w:val="18"/>
          <w:szCs w:val="18"/>
        </w:rPr>
        <w:t>sin receptores específi</w:t>
      </w:r>
      <w:r w:rsidR="0012055F" w:rsidRPr="00F3755F">
        <w:rPr>
          <w:rFonts w:asciiTheme="minorBidi" w:hAnsiTheme="minorBidi" w:cstheme="minorBidi"/>
          <w:sz w:val="18"/>
          <w:szCs w:val="18"/>
        </w:rPr>
        <w:t>c</w:t>
      </w:r>
      <w:r w:rsidR="0029216A" w:rsidRPr="00F3755F">
        <w:rPr>
          <w:rFonts w:asciiTheme="minorBidi" w:hAnsiTheme="minorBidi" w:cstheme="minorBidi"/>
          <w:sz w:val="18"/>
          <w:szCs w:val="18"/>
        </w:rPr>
        <w:t>os,</w:t>
      </w:r>
      <w:r w:rsidR="00465D32" w:rsidRPr="00F3755F">
        <w:rPr>
          <w:rFonts w:asciiTheme="minorBidi" w:hAnsiTheme="minorBidi" w:cstheme="minorBidi"/>
          <w:sz w:val="18"/>
          <w:szCs w:val="18"/>
        </w:rPr>
        <w:t xml:space="preserve"> </w:t>
      </w:r>
      <w:r w:rsidR="000F0214" w:rsidRPr="00F3755F">
        <w:rPr>
          <w:rFonts w:asciiTheme="minorBidi" w:hAnsiTheme="minorBidi" w:cstheme="minorBidi"/>
          <w:sz w:val="18"/>
          <w:szCs w:val="18"/>
        </w:rPr>
        <w:t xml:space="preserve">por ejemplo, mediante ofertas laborales, </w:t>
      </w:r>
      <w:r w:rsidR="00465D32" w:rsidRPr="00F3755F">
        <w:rPr>
          <w:rFonts w:asciiTheme="minorBidi" w:hAnsiTheme="minorBidi" w:cstheme="minorBidi"/>
          <w:i/>
          <w:iCs/>
          <w:sz w:val="18"/>
          <w:szCs w:val="18"/>
        </w:rPr>
        <w:t>vid</w:t>
      </w:r>
      <w:r w:rsidR="00465D32" w:rsidRPr="00F3755F">
        <w:rPr>
          <w:rFonts w:asciiTheme="minorBidi" w:hAnsiTheme="minorBidi" w:cstheme="minorBidi"/>
          <w:sz w:val="18"/>
          <w:szCs w:val="18"/>
        </w:rPr>
        <w:t>., el amparo directo en revisión 992/2014, resuelto en sesión de 12 de noviembre de 2014, por mayoría de cuatro votos de los ministros Arturo Zaldívar Lelo de Larrea (ponente), José Ramón Cossío Díaz, quien se reservó su derecho de formular voto concurrente, Olga Sánchez Cordero de García Villegas y presidente Alfredo Gutiérrez Ortiz Mena, quien se reservó su derecho de formular voto concurrente; en contra del emitido por el ministro Jorge Mario Pardo Rebolledo, quien se reservó su derecho a formular voto particular; p. 59</w:t>
      </w:r>
      <w:r w:rsidR="007C4699" w:rsidRPr="00F3755F">
        <w:rPr>
          <w:rFonts w:asciiTheme="minorBidi" w:hAnsiTheme="minorBidi" w:cstheme="minorBidi"/>
          <w:sz w:val="18"/>
          <w:szCs w:val="18"/>
        </w:rPr>
        <w:t xml:space="preserve">; y </w:t>
      </w:r>
      <w:r w:rsidR="00AD4567" w:rsidRPr="00F3755F">
        <w:rPr>
          <w:rFonts w:asciiTheme="minorBidi" w:hAnsiTheme="minorBidi" w:cstheme="minorBidi"/>
          <w:sz w:val="18"/>
          <w:szCs w:val="18"/>
        </w:rPr>
        <w:t>amparo en revisión 1387/2012 r</w:t>
      </w:r>
      <w:r w:rsidR="00DC2831" w:rsidRPr="00F3755F">
        <w:rPr>
          <w:rFonts w:asciiTheme="minorBidi" w:hAnsiTheme="minorBidi" w:cstheme="minorBidi"/>
          <w:sz w:val="18"/>
          <w:szCs w:val="18"/>
        </w:rPr>
        <w:t>esuelto en sesión de 22 de enero de 2014, por mayoría de cuatro votos de los ministros Arturo Zaldívar Lelo de Larrea, José Ramón Cossío Díaz, Alfredo Gutiérrez Ortiz Mena y Olga Sánchez Cordero</w:t>
      </w:r>
      <w:r w:rsidR="00DC2831" w:rsidRPr="00DC2831">
        <w:rPr>
          <w:rFonts w:asciiTheme="minorBidi" w:hAnsiTheme="minorBidi" w:cstheme="minorBidi"/>
          <w:sz w:val="18"/>
          <w:szCs w:val="18"/>
        </w:rPr>
        <w:t xml:space="preserve"> de García Villegas (ponente), en contra del emitido por el presidente Jorge Mario Pardo Rebolledo, quien se reservó el derecho a formular voto particular. Los ministros José Ramón Cossío Díaz y Arturo Zaldívar Lelo de Larrea, se reservaron el derecho de formular voto concurrente.</w:t>
      </w:r>
    </w:p>
  </w:footnote>
  <w:footnote w:id="108">
    <w:p w14:paraId="3A534837" w14:textId="77777777" w:rsidR="00E347CC" w:rsidRPr="00F3755F" w:rsidRDefault="00E347CC" w:rsidP="00E347CC">
      <w:pPr>
        <w:pStyle w:val="Textonotapie"/>
        <w:jc w:val="both"/>
        <w:rPr>
          <w:rFonts w:asciiTheme="minorBidi" w:hAnsiTheme="minorBidi" w:cstheme="minorBidi"/>
          <w:sz w:val="18"/>
          <w:szCs w:val="18"/>
          <w:highlight w:val="yellow"/>
        </w:rPr>
      </w:pPr>
      <w:r w:rsidRPr="00F3755F">
        <w:rPr>
          <w:rStyle w:val="Refdenotaalpie"/>
          <w:rFonts w:asciiTheme="minorBidi" w:hAnsiTheme="minorBidi" w:cstheme="minorBidi"/>
          <w:sz w:val="18"/>
          <w:szCs w:val="18"/>
        </w:rPr>
        <w:footnoteRef/>
      </w:r>
      <w:r w:rsidRPr="00F3755F">
        <w:rPr>
          <w:rFonts w:asciiTheme="minorBidi" w:hAnsiTheme="minorBidi" w:cstheme="minorBidi"/>
          <w:sz w:val="18"/>
          <w:szCs w:val="18"/>
        </w:rPr>
        <w:t xml:space="preserve"> Ello deriva de que, mientras toda discriminación</w:t>
      </w:r>
      <w:r>
        <w:rPr>
          <w:rFonts w:asciiTheme="minorBidi" w:hAnsiTheme="minorBidi" w:cstheme="minorBidi"/>
          <w:sz w:val="18"/>
          <w:szCs w:val="18"/>
        </w:rPr>
        <w:t xml:space="preserve"> </w:t>
      </w:r>
      <w:r w:rsidRPr="00F3755F">
        <w:rPr>
          <w:rFonts w:asciiTheme="minorBidi" w:hAnsiTheme="minorBidi" w:cstheme="minorBidi"/>
          <w:sz w:val="18"/>
          <w:szCs w:val="18"/>
        </w:rPr>
        <w:t xml:space="preserve">constituye una distinción arbitraria, no toda distinción arbitraria constituye un acto discriminatorio </w:t>
      </w:r>
      <w:r>
        <w:rPr>
          <w:rFonts w:asciiTheme="minorBidi" w:hAnsiTheme="minorBidi" w:cstheme="minorBidi"/>
          <w:sz w:val="18"/>
          <w:szCs w:val="18"/>
        </w:rPr>
        <w:t xml:space="preserve">reprochable </w:t>
      </w:r>
      <w:r w:rsidRPr="00F3755F">
        <w:rPr>
          <w:rFonts w:asciiTheme="minorBidi" w:hAnsiTheme="minorBidi" w:cstheme="minorBidi"/>
          <w:sz w:val="18"/>
          <w:szCs w:val="18"/>
        </w:rPr>
        <w:t xml:space="preserve">constitucionalmente. Al respecto, </w:t>
      </w:r>
      <w:r w:rsidRPr="00F3755F">
        <w:rPr>
          <w:rFonts w:asciiTheme="minorBidi" w:hAnsiTheme="minorBidi" w:cstheme="minorBidi"/>
          <w:i/>
          <w:sz w:val="18"/>
          <w:szCs w:val="18"/>
        </w:rPr>
        <w:t>vid</w:t>
      </w:r>
      <w:r w:rsidRPr="00F3755F">
        <w:rPr>
          <w:rFonts w:asciiTheme="minorBidi" w:hAnsiTheme="minorBidi" w:cstheme="minorBidi"/>
          <w:sz w:val="18"/>
          <w:szCs w:val="18"/>
        </w:rPr>
        <w:t>., Brière-Godbout, Léa. 2</w:t>
      </w:r>
      <w:r w:rsidRPr="00F3755F">
        <w:rPr>
          <w:rFonts w:asciiTheme="minorBidi" w:hAnsiTheme="minorBidi" w:cstheme="minorBidi"/>
          <w:color w:val="000000" w:themeColor="text1"/>
          <w:sz w:val="18"/>
          <w:szCs w:val="18"/>
        </w:rPr>
        <w:t>023. Universal or Partial? A Model for the Protectorate of Anti-</w:t>
      </w:r>
      <w:r w:rsidRPr="000A53F8">
        <w:rPr>
          <w:rFonts w:asciiTheme="minorBidi" w:hAnsiTheme="minorBidi" w:cstheme="minorBidi"/>
          <w:color w:val="000000" w:themeColor="text1"/>
          <w:sz w:val="18"/>
          <w:szCs w:val="18"/>
        </w:rPr>
        <w:t xml:space="preserve">Discrimination Law; Facultad de Derecho de la Universidad de Toronto, disponible en el sitio web: </w:t>
      </w:r>
      <w:hyperlink r:id="rId4" w:tgtFrame="_blank" w:history="1">
        <w:r w:rsidRPr="000A53F8">
          <w:rPr>
            <w:rStyle w:val="Hipervnculo"/>
            <w:rFonts w:asciiTheme="minorBidi" w:hAnsiTheme="minorBidi" w:cstheme="minorBidi"/>
            <w:color w:val="000000" w:themeColor="text1"/>
            <w:sz w:val="18"/>
            <w:szCs w:val="18"/>
            <w:u w:val="none"/>
          </w:rPr>
          <w:t>https://tspace.library.utoronto.ca/handle/1807/9944</w:t>
        </w:r>
      </w:hyperlink>
      <w:r w:rsidRPr="000A53F8">
        <w:rPr>
          <w:rFonts w:asciiTheme="minorBidi" w:hAnsiTheme="minorBidi" w:cstheme="minorBidi"/>
          <w:color w:val="000000" w:themeColor="text1"/>
          <w:sz w:val="18"/>
          <w:szCs w:val="18"/>
        </w:rPr>
        <w:t>.</w:t>
      </w:r>
    </w:p>
  </w:footnote>
  <w:footnote w:id="109">
    <w:p w14:paraId="1384C2CA" w14:textId="3AAC5AA8" w:rsidR="00D96EAF" w:rsidRPr="000A53F8" w:rsidRDefault="00D96EAF" w:rsidP="00FD3784">
      <w:pPr>
        <w:pStyle w:val="Textonotapie"/>
        <w:tabs>
          <w:tab w:val="left" w:pos="284"/>
        </w:tabs>
        <w:jc w:val="both"/>
        <w:rPr>
          <w:rFonts w:asciiTheme="minorBidi" w:hAnsiTheme="minorBidi" w:cstheme="minorBidi"/>
          <w:color w:val="000000" w:themeColor="text1"/>
          <w:sz w:val="18"/>
          <w:szCs w:val="18"/>
          <w:lang w:val="es-ES"/>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001B5F3A" w:rsidRPr="000A53F8">
        <w:rPr>
          <w:rFonts w:asciiTheme="minorBidi" w:hAnsiTheme="minorBidi" w:cstheme="minorBidi"/>
          <w:color w:val="000000" w:themeColor="text1"/>
          <w:sz w:val="18"/>
          <w:szCs w:val="18"/>
          <w:lang w:val="es-ES"/>
        </w:rPr>
        <w:t>Así lo ha determinado esta Primera Sala anteriormente. En el amparo directo 30/2013, esta Sala resolvió un asunto por el cual un niño cayó a un lago electrificado y murió debido a la conducta negligente de la empresa, quien no dio mantenimiento a la bomba que provocó que se electrificara el lago. Los padres del niño reclamaron una indemnización por daño moral. En el caso, la Primera Sala estimó acreditado el daño moral de los padres, a partir de “la presunción de la existencia del daño moral cuando ocurre la muerte de los parientes directos”. Asimismo, en atención a que el daño moral derivó de la presunción</w:t>
      </w:r>
      <w:r w:rsidR="00E70B71" w:rsidRPr="000A53F8">
        <w:rPr>
          <w:rFonts w:asciiTheme="minorBidi" w:hAnsiTheme="minorBidi" w:cstheme="minorBidi"/>
          <w:color w:val="000000" w:themeColor="text1"/>
          <w:sz w:val="18"/>
          <w:szCs w:val="18"/>
          <w:lang w:val="es-ES"/>
        </w:rPr>
        <w:t xml:space="preserve"> ante la muerte del niño</w:t>
      </w:r>
      <w:r w:rsidR="001B5F3A" w:rsidRPr="000A53F8">
        <w:rPr>
          <w:rFonts w:asciiTheme="minorBidi" w:hAnsiTheme="minorBidi" w:cstheme="minorBidi"/>
          <w:color w:val="000000" w:themeColor="text1"/>
          <w:sz w:val="18"/>
          <w:szCs w:val="18"/>
          <w:lang w:val="es-ES"/>
        </w:rPr>
        <w:t>, la Sala sostuvo que “es claro que la relación entre el hecho ilícito y el daño se encuentra plenamente acreditada”.</w:t>
      </w:r>
      <w:r w:rsidR="003E15EC" w:rsidRPr="000A53F8">
        <w:rPr>
          <w:rFonts w:asciiTheme="minorBidi" w:hAnsiTheme="minorBidi" w:cstheme="minorBidi"/>
          <w:color w:val="000000" w:themeColor="text1"/>
          <w:sz w:val="18"/>
          <w:szCs w:val="18"/>
          <w:lang w:val="es-ES"/>
        </w:rPr>
        <w:t xml:space="preserve"> </w:t>
      </w:r>
      <w:r w:rsidR="003E15EC" w:rsidRPr="000A53F8">
        <w:rPr>
          <w:rFonts w:asciiTheme="minorBidi" w:hAnsiTheme="minorBidi" w:cstheme="minorBidi"/>
          <w:color w:val="000000" w:themeColor="text1"/>
          <w:sz w:val="18"/>
          <w:szCs w:val="18"/>
        </w:rPr>
        <w:t>Amparo directo 30/2013, r</w:t>
      </w:r>
      <w:r w:rsidR="005178EF" w:rsidRPr="000A53F8">
        <w:rPr>
          <w:rFonts w:asciiTheme="minorBidi" w:hAnsiTheme="minorBidi" w:cstheme="minorBidi"/>
          <w:color w:val="000000" w:themeColor="text1"/>
          <w:sz w:val="18"/>
          <w:szCs w:val="18"/>
        </w:rPr>
        <w:t xml:space="preserve">esuelto en sesión de 26 de febrero de 2014, por </w:t>
      </w:r>
      <w:r w:rsidR="00903E78" w:rsidRPr="000A53F8">
        <w:rPr>
          <w:rFonts w:asciiTheme="minorBidi" w:hAnsiTheme="minorBidi" w:cstheme="minorBidi"/>
          <w:color w:val="000000" w:themeColor="text1"/>
          <w:sz w:val="18"/>
          <w:szCs w:val="18"/>
        </w:rPr>
        <w:t xml:space="preserve">unanimidad de cinco votos de los </w:t>
      </w:r>
      <w:r w:rsidR="00047875" w:rsidRPr="000A53F8">
        <w:rPr>
          <w:rFonts w:asciiTheme="minorBidi" w:hAnsiTheme="minorBidi" w:cstheme="minorBidi"/>
          <w:color w:val="000000" w:themeColor="text1"/>
          <w:sz w:val="18"/>
          <w:szCs w:val="18"/>
        </w:rPr>
        <w:t>m</w:t>
      </w:r>
      <w:r w:rsidR="00903E78" w:rsidRPr="000A53F8">
        <w:rPr>
          <w:rFonts w:asciiTheme="minorBidi" w:hAnsiTheme="minorBidi" w:cstheme="minorBidi"/>
          <w:color w:val="000000" w:themeColor="text1"/>
          <w:sz w:val="18"/>
          <w:szCs w:val="18"/>
        </w:rPr>
        <w:t>inistros Arturo Zaldívar Lelo de Larrea (</w:t>
      </w:r>
      <w:r w:rsidR="00047875" w:rsidRPr="000A53F8">
        <w:rPr>
          <w:rFonts w:asciiTheme="minorBidi" w:hAnsiTheme="minorBidi" w:cstheme="minorBidi"/>
          <w:color w:val="000000" w:themeColor="text1"/>
          <w:sz w:val="18"/>
          <w:szCs w:val="18"/>
        </w:rPr>
        <w:t>p</w:t>
      </w:r>
      <w:r w:rsidR="00903E78" w:rsidRPr="000A53F8">
        <w:rPr>
          <w:rFonts w:asciiTheme="minorBidi" w:hAnsiTheme="minorBidi" w:cstheme="minorBidi"/>
          <w:color w:val="000000" w:themeColor="text1"/>
          <w:sz w:val="18"/>
          <w:szCs w:val="18"/>
        </w:rPr>
        <w:t xml:space="preserve">onente), José Ramón Cossío Díaz, quien se reserva su derecho a formular voto concurrente, Alfredo Gutiérrez Ortiz Mena, Olga Sánchez Cordero de García Villegas y </w:t>
      </w:r>
      <w:r w:rsidR="00047875" w:rsidRPr="000A53F8">
        <w:rPr>
          <w:rFonts w:asciiTheme="minorBidi" w:hAnsiTheme="minorBidi" w:cstheme="minorBidi"/>
          <w:color w:val="000000" w:themeColor="text1"/>
          <w:sz w:val="18"/>
          <w:szCs w:val="18"/>
        </w:rPr>
        <w:t>p</w:t>
      </w:r>
      <w:r w:rsidR="00903E78" w:rsidRPr="000A53F8">
        <w:rPr>
          <w:rFonts w:asciiTheme="minorBidi" w:hAnsiTheme="minorBidi" w:cstheme="minorBidi"/>
          <w:color w:val="000000" w:themeColor="text1"/>
          <w:sz w:val="18"/>
          <w:szCs w:val="18"/>
        </w:rPr>
        <w:t>residente Jorge Mario Pardo Rebolledo quien se reserva su derecho a formular voto concurrente</w:t>
      </w:r>
      <w:r w:rsidR="00047875" w:rsidRPr="000A53F8">
        <w:rPr>
          <w:rFonts w:asciiTheme="minorBidi" w:hAnsiTheme="minorBidi" w:cstheme="minorBidi"/>
          <w:color w:val="000000" w:themeColor="text1"/>
          <w:sz w:val="18"/>
          <w:szCs w:val="18"/>
        </w:rPr>
        <w:t xml:space="preserve">; </w:t>
      </w:r>
      <w:r w:rsidRPr="000A53F8">
        <w:rPr>
          <w:rFonts w:asciiTheme="minorBidi" w:hAnsiTheme="minorBidi" w:cstheme="minorBidi"/>
          <w:color w:val="000000" w:themeColor="text1"/>
          <w:sz w:val="18"/>
          <w:szCs w:val="18"/>
        </w:rPr>
        <w:t>p. 82.</w:t>
      </w:r>
    </w:p>
  </w:footnote>
  <w:footnote w:id="110">
    <w:p w14:paraId="2DAD6A6C" w14:textId="77777777" w:rsidR="003D0506" w:rsidRPr="000A53F8" w:rsidRDefault="003D0506" w:rsidP="00FD3784">
      <w:pPr>
        <w:pStyle w:val="Textonotapie"/>
        <w:tabs>
          <w:tab w:val="left" w:pos="284"/>
        </w:tabs>
        <w:jc w:val="both"/>
        <w:rPr>
          <w:rFonts w:asciiTheme="minorBidi" w:hAnsiTheme="minorBidi" w:cstheme="minorBidi"/>
          <w:color w:val="000000" w:themeColor="text1"/>
          <w:sz w:val="18"/>
          <w:szCs w:val="18"/>
          <w:lang w:val="es-ES"/>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Sentencia de apelación 255/2019, foja 93.</w:t>
      </w:r>
    </w:p>
  </w:footnote>
  <w:footnote w:id="111">
    <w:p w14:paraId="52CA277D" w14:textId="4C7629FC" w:rsidR="00A41535" w:rsidRPr="001978B8" w:rsidRDefault="00242A70" w:rsidP="0088032E">
      <w:pPr>
        <w:pStyle w:val="Textonotapie"/>
        <w:jc w:val="both"/>
        <w:rPr>
          <w:rFonts w:asciiTheme="minorBidi" w:hAnsiTheme="minorBidi" w:cstheme="minorBidi"/>
          <w:color w:val="000000" w:themeColor="text1"/>
          <w:sz w:val="18"/>
          <w:szCs w:val="18"/>
        </w:rPr>
      </w:pPr>
      <w:r w:rsidRPr="000A53F8">
        <w:rPr>
          <w:rStyle w:val="Refdenotaalpie"/>
          <w:rFonts w:asciiTheme="minorBidi" w:hAnsiTheme="minorBidi" w:cstheme="minorBidi"/>
          <w:sz w:val="18"/>
          <w:szCs w:val="18"/>
        </w:rPr>
        <w:footnoteRef/>
      </w:r>
      <w:r w:rsidRPr="000A53F8">
        <w:rPr>
          <w:rFonts w:asciiTheme="minorBidi" w:hAnsiTheme="minorBidi" w:cstheme="minorBidi"/>
          <w:sz w:val="18"/>
          <w:szCs w:val="18"/>
        </w:rPr>
        <w:t xml:space="preserve"> </w:t>
      </w:r>
      <w:r w:rsidR="006879A3" w:rsidRPr="000A53F8">
        <w:rPr>
          <w:rFonts w:asciiTheme="minorBidi" w:hAnsiTheme="minorBidi" w:cstheme="minorBidi"/>
          <w:sz w:val="18"/>
          <w:szCs w:val="18"/>
        </w:rPr>
        <w:t>Esta Primera Sala advierte que el daño derivado de actos discriminatorios en contra de las personas trans tiene un respaldo científico y académico. De acuerdo con la Organización Panamericana de la Salud,</w:t>
      </w:r>
      <w:r w:rsidR="007723C0" w:rsidRPr="000A53F8">
        <w:rPr>
          <w:rFonts w:asciiTheme="minorBidi" w:hAnsiTheme="minorBidi" w:cstheme="minorBidi"/>
          <w:sz w:val="18"/>
          <w:szCs w:val="18"/>
        </w:rPr>
        <w:t xml:space="preserve"> por ejemplo,</w:t>
      </w:r>
      <w:r w:rsidR="006879A3" w:rsidRPr="000A53F8">
        <w:rPr>
          <w:rFonts w:asciiTheme="minorBidi" w:hAnsiTheme="minorBidi" w:cstheme="minorBidi"/>
          <w:sz w:val="18"/>
          <w:szCs w:val="18"/>
        </w:rPr>
        <w:t xml:space="preserve"> la adversidad del medio ambiente que enfrentan las personas trans puede tener un impacto negativo en su salud emocional y mental a lo largo de sus vidas. </w:t>
      </w:r>
      <w:r w:rsidR="007723C0" w:rsidRPr="000A53F8">
        <w:rPr>
          <w:rFonts w:asciiTheme="minorBidi" w:hAnsiTheme="minorBidi" w:cstheme="minorBidi"/>
          <w:sz w:val="18"/>
          <w:szCs w:val="18"/>
        </w:rPr>
        <w:t xml:space="preserve">Conforme a </w:t>
      </w:r>
      <w:r w:rsidR="006879A3" w:rsidRPr="000A53F8">
        <w:rPr>
          <w:rFonts w:asciiTheme="minorBidi" w:hAnsiTheme="minorBidi" w:cstheme="minorBidi"/>
          <w:sz w:val="18"/>
          <w:szCs w:val="18"/>
        </w:rPr>
        <w:t>dicha organización, la inquietud, ansiedad y depresión son fenómenos comunes entre las personas trans e, incluso, la ideación suicida tiene una frecuencia preocupante.</w:t>
      </w:r>
      <w:r w:rsidR="00D330D5" w:rsidRPr="000A53F8">
        <w:rPr>
          <w:rFonts w:asciiTheme="minorBidi" w:hAnsiTheme="minorBidi" w:cstheme="minorBidi"/>
          <w:sz w:val="18"/>
          <w:szCs w:val="18"/>
        </w:rPr>
        <w:t xml:space="preserve"> </w:t>
      </w:r>
      <w:r w:rsidR="00D330D5" w:rsidRPr="000A53F8">
        <w:rPr>
          <w:rFonts w:asciiTheme="minorBidi" w:hAnsiTheme="minorBidi" w:cstheme="minorBidi"/>
          <w:i/>
          <w:iCs/>
          <w:sz w:val="18"/>
          <w:szCs w:val="18"/>
        </w:rPr>
        <w:t>Vid</w:t>
      </w:r>
      <w:r w:rsidR="00D330D5" w:rsidRPr="000A53F8">
        <w:rPr>
          <w:rFonts w:asciiTheme="minorBidi" w:hAnsiTheme="minorBidi" w:cstheme="minorBidi"/>
          <w:sz w:val="18"/>
          <w:szCs w:val="18"/>
        </w:rPr>
        <w:t xml:space="preserve">., </w:t>
      </w:r>
      <w:r w:rsidR="00D330D5" w:rsidRPr="000A53F8">
        <w:rPr>
          <w:rFonts w:asciiTheme="minorBidi" w:hAnsiTheme="minorBidi" w:cstheme="minorBidi"/>
          <w:color w:val="000000" w:themeColor="text1"/>
          <w:sz w:val="18"/>
          <w:szCs w:val="18"/>
        </w:rPr>
        <w:t>Organización Panamericana de la Salud, Por la Salud de las Personas Trans. Elementos para el desarrollo de la atención integral de personas trans y sus comunidades en Latinoamérica y el Caribe, 2012</w:t>
      </w:r>
      <w:r w:rsidR="00A41535" w:rsidRPr="001978B8">
        <w:rPr>
          <w:rFonts w:asciiTheme="minorBidi" w:hAnsiTheme="minorBidi" w:cstheme="minorBidi"/>
          <w:color w:val="000000" w:themeColor="text1"/>
          <w:sz w:val="18"/>
          <w:szCs w:val="18"/>
        </w:rPr>
        <w:t>.</w:t>
      </w:r>
      <w:r w:rsidR="00A47F8E" w:rsidRPr="001978B8">
        <w:rPr>
          <w:rFonts w:asciiTheme="minorBidi" w:hAnsiTheme="minorBidi" w:cstheme="minorBidi"/>
          <w:color w:val="000000" w:themeColor="text1"/>
          <w:sz w:val="18"/>
          <w:szCs w:val="18"/>
        </w:rPr>
        <w:t xml:space="preserve"> En similar sentido, </w:t>
      </w:r>
      <w:r w:rsidR="00A47F8E" w:rsidRPr="001978B8">
        <w:rPr>
          <w:rFonts w:asciiTheme="minorBidi" w:hAnsiTheme="minorBidi" w:cstheme="minorBidi"/>
          <w:i/>
          <w:iCs/>
          <w:color w:val="000000" w:themeColor="text1"/>
          <w:sz w:val="18"/>
          <w:szCs w:val="18"/>
        </w:rPr>
        <w:t>vid</w:t>
      </w:r>
      <w:r w:rsidR="00A47F8E" w:rsidRPr="001978B8">
        <w:rPr>
          <w:rFonts w:asciiTheme="minorBidi" w:hAnsiTheme="minorBidi" w:cstheme="minorBidi"/>
          <w:color w:val="000000" w:themeColor="text1"/>
          <w:sz w:val="18"/>
          <w:szCs w:val="18"/>
        </w:rPr>
        <w:t>., Barrientos Delgado, Jaime, et. al. 2019</w:t>
      </w:r>
      <w:r w:rsidR="00AD6C2A" w:rsidRPr="001978B8">
        <w:rPr>
          <w:rFonts w:asciiTheme="minorBidi" w:hAnsiTheme="minorBidi" w:cstheme="minorBidi"/>
          <w:color w:val="000000" w:themeColor="text1"/>
          <w:sz w:val="18"/>
          <w:szCs w:val="18"/>
        </w:rPr>
        <w:t xml:space="preserve">. </w:t>
      </w:r>
      <w:r w:rsidR="00A47F8E" w:rsidRPr="001978B8">
        <w:rPr>
          <w:rFonts w:asciiTheme="minorBidi" w:hAnsiTheme="minorBidi" w:cstheme="minorBidi"/>
          <w:color w:val="000000" w:themeColor="text1"/>
          <w:sz w:val="18"/>
          <w:szCs w:val="18"/>
        </w:rPr>
        <w:t>Efectos del prejuicio sexual en la salud mental de personas transgénero chilenas desde el Modelo de Estrés de las Minorías: Una aproximación cualitativa</w:t>
      </w:r>
      <w:r w:rsidR="00373D0E" w:rsidRPr="001978B8">
        <w:rPr>
          <w:rFonts w:asciiTheme="minorBidi" w:hAnsiTheme="minorBidi" w:cstheme="minorBidi"/>
          <w:color w:val="000000" w:themeColor="text1"/>
          <w:sz w:val="18"/>
          <w:szCs w:val="18"/>
        </w:rPr>
        <w:t>.</w:t>
      </w:r>
      <w:r w:rsidR="00A47F8E" w:rsidRPr="001978B8">
        <w:rPr>
          <w:rFonts w:asciiTheme="minorBidi" w:hAnsiTheme="minorBidi" w:cstheme="minorBidi"/>
          <w:color w:val="000000" w:themeColor="text1"/>
          <w:sz w:val="18"/>
          <w:szCs w:val="18"/>
        </w:rPr>
        <w:t xml:space="preserve"> Sociedad Chilena de Psicología Clínica, 37(3)</w:t>
      </w:r>
      <w:r w:rsidR="00A7750D" w:rsidRPr="001978B8">
        <w:rPr>
          <w:rFonts w:asciiTheme="minorBidi" w:hAnsiTheme="minorBidi" w:cstheme="minorBidi"/>
          <w:color w:val="000000" w:themeColor="text1"/>
          <w:sz w:val="18"/>
          <w:szCs w:val="18"/>
        </w:rPr>
        <w:t>;</w:t>
      </w:r>
      <w:r w:rsidR="0088032E" w:rsidRPr="001978B8">
        <w:rPr>
          <w:rFonts w:asciiTheme="minorBidi" w:hAnsiTheme="minorBidi" w:cstheme="minorBidi"/>
          <w:color w:val="000000" w:themeColor="text1"/>
          <w:sz w:val="18"/>
          <w:szCs w:val="18"/>
        </w:rPr>
        <w:t xml:space="preserve"> Barrientos Delgado, Jaime, et. al. 2019</w:t>
      </w:r>
      <w:r w:rsidR="00AD6C2A" w:rsidRPr="001978B8">
        <w:rPr>
          <w:rFonts w:asciiTheme="minorBidi" w:hAnsiTheme="minorBidi" w:cstheme="minorBidi"/>
          <w:color w:val="000000" w:themeColor="text1"/>
          <w:sz w:val="18"/>
          <w:szCs w:val="18"/>
        </w:rPr>
        <w:t>.</w:t>
      </w:r>
      <w:r w:rsidR="00A7750D" w:rsidRPr="001978B8">
        <w:rPr>
          <w:rFonts w:asciiTheme="minorBidi" w:hAnsiTheme="minorBidi" w:cstheme="minorBidi"/>
          <w:color w:val="000000" w:themeColor="text1"/>
          <w:sz w:val="18"/>
          <w:szCs w:val="18"/>
        </w:rPr>
        <w:t xml:space="preserve"> </w:t>
      </w:r>
      <w:r w:rsidR="0088032E" w:rsidRPr="001978B8">
        <w:rPr>
          <w:rFonts w:asciiTheme="minorBidi" w:hAnsiTheme="minorBidi" w:cstheme="minorBidi"/>
          <w:color w:val="000000" w:themeColor="text1"/>
          <w:sz w:val="18"/>
          <w:szCs w:val="18"/>
        </w:rPr>
        <w:t>La Investigación Psicosocial Actual Referida a la Salud Mental de las Personas Transgénero: Una Mirada Desde Chile</w:t>
      </w:r>
      <w:r w:rsidR="00373D0E" w:rsidRPr="001978B8">
        <w:rPr>
          <w:rFonts w:asciiTheme="minorBidi" w:hAnsiTheme="minorBidi" w:cstheme="minorBidi"/>
          <w:color w:val="000000" w:themeColor="text1"/>
          <w:sz w:val="18"/>
          <w:szCs w:val="18"/>
        </w:rPr>
        <w:t xml:space="preserve">. </w:t>
      </w:r>
      <w:r w:rsidR="00DE7F02" w:rsidRPr="00197206">
        <w:rPr>
          <w:rFonts w:asciiTheme="minorBidi" w:hAnsiTheme="minorBidi" w:cstheme="minorBidi"/>
          <w:color w:val="000000" w:themeColor="text1"/>
          <w:sz w:val="18"/>
          <w:szCs w:val="18"/>
        </w:rPr>
        <w:t xml:space="preserve">Psykhe, </w:t>
      </w:r>
      <w:r w:rsidR="00A7750D" w:rsidRPr="00197206">
        <w:rPr>
          <w:rFonts w:asciiTheme="minorBidi" w:hAnsiTheme="minorBidi" w:cstheme="minorBidi"/>
          <w:color w:val="000000" w:themeColor="text1"/>
          <w:sz w:val="18"/>
          <w:szCs w:val="18"/>
        </w:rPr>
        <w:t>28(2)</w:t>
      </w:r>
      <w:r w:rsidR="003C5D49" w:rsidRPr="00197206">
        <w:rPr>
          <w:rFonts w:asciiTheme="minorBidi" w:hAnsiTheme="minorBidi" w:cstheme="minorBidi"/>
          <w:color w:val="000000" w:themeColor="text1"/>
          <w:sz w:val="18"/>
          <w:szCs w:val="18"/>
        </w:rPr>
        <w:t xml:space="preserve">, y </w:t>
      </w:r>
      <w:r w:rsidR="003C5D49" w:rsidRPr="00197206">
        <w:rPr>
          <w:rFonts w:asciiTheme="minorBidi" w:hAnsiTheme="minorBidi" w:cstheme="minorBidi"/>
          <w:sz w:val="18"/>
          <w:szCs w:val="18"/>
        </w:rPr>
        <w:t>Consejo para Prevenir y Eliminar la Discriminación de la Ciudad de México. 2024. Opinión consultiva solicitada por sociedad civil 02/2024: Discriminación hacia personas trans y no binarias en el uso de baños públicos en la Ciudad de México.</w:t>
      </w:r>
    </w:p>
    <w:p w14:paraId="2D17E2C3" w14:textId="6AB7F90C" w:rsidR="00A41535" w:rsidRDefault="00A41535" w:rsidP="00373D0E">
      <w:pPr>
        <w:pStyle w:val="Textonotapie"/>
        <w:jc w:val="both"/>
        <w:rPr>
          <w:rFonts w:asciiTheme="minorBidi" w:hAnsiTheme="minorBidi" w:cstheme="minorBidi"/>
          <w:color w:val="000000" w:themeColor="text1"/>
          <w:sz w:val="18"/>
          <w:szCs w:val="18"/>
        </w:rPr>
      </w:pPr>
      <w:r w:rsidRPr="001978B8">
        <w:rPr>
          <w:rFonts w:asciiTheme="minorBidi" w:hAnsiTheme="minorBidi" w:cstheme="minorBidi"/>
          <w:color w:val="000000" w:themeColor="text1"/>
          <w:sz w:val="18"/>
          <w:szCs w:val="18"/>
        </w:rPr>
        <w:t>En el caso concreto de</w:t>
      </w:r>
      <w:r w:rsidRPr="000A53F8">
        <w:rPr>
          <w:rFonts w:asciiTheme="minorBidi" w:hAnsiTheme="minorBidi" w:cstheme="minorBidi"/>
          <w:color w:val="000000" w:themeColor="text1"/>
          <w:sz w:val="18"/>
          <w:szCs w:val="18"/>
        </w:rPr>
        <w:t xml:space="preserve"> México, se ha determinado que las juventudes LGBTQ+ y, sobre todo, las juventudes trans son más propensas al riesgo de suicidio</w:t>
      </w:r>
      <w:r w:rsidR="00DC4907" w:rsidRPr="000A53F8">
        <w:rPr>
          <w:rFonts w:asciiTheme="minorBidi" w:hAnsiTheme="minorBidi" w:cstheme="minorBidi"/>
          <w:color w:val="000000" w:themeColor="text1"/>
          <w:sz w:val="18"/>
          <w:szCs w:val="18"/>
        </w:rPr>
        <w:t xml:space="preserve"> que el resto de la población joven en el país.</w:t>
      </w:r>
      <w:r w:rsidRPr="000A53F8">
        <w:rPr>
          <w:rFonts w:asciiTheme="minorBidi" w:hAnsiTheme="minorBidi" w:cstheme="minorBidi"/>
          <w:color w:val="000000" w:themeColor="text1"/>
          <w:sz w:val="18"/>
          <w:szCs w:val="18"/>
        </w:rPr>
        <w:t xml:space="preserve"> </w:t>
      </w:r>
      <w:r w:rsidR="00C50F2A" w:rsidRPr="000A53F8">
        <w:rPr>
          <w:rFonts w:asciiTheme="minorBidi" w:hAnsiTheme="minorBidi" w:cstheme="minorBidi"/>
          <w:color w:val="000000" w:themeColor="text1"/>
          <w:sz w:val="18"/>
          <w:szCs w:val="18"/>
        </w:rPr>
        <w:t>Sin embargo,</w:t>
      </w:r>
      <w:r w:rsidRPr="000A53F8">
        <w:rPr>
          <w:rFonts w:asciiTheme="minorBidi" w:hAnsiTheme="minorBidi" w:cstheme="minorBidi"/>
          <w:color w:val="000000" w:themeColor="text1"/>
          <w:sz w:val="18"/>
          <w:szCs w:val="18"/>
        </w:rPr>
        <w:t xml:space="preserve"> se ha aclarado que tal propensión no se debe a su orientación sexual o identidad de género, sino a que “están expuestas a un mayor riesgo por la forma en que son maltratadas y estigmatizadas en la sociedad”.</w:t>
      </w:r>
      <w:r w:rsidR="00767CC8" w:rsidRPr="000A53F8">
        <w:rPr>
          <w:rFonts w:asciiTheme="minorBidi" w:hAnsiTheme="minorBidi" w:cstheme="minorBidi"/>
          <w:color w:val="000000" w:themeColor="text1"/>
          <w:sz w:val="18"/>
          <w:szCs w:val="18"/>
        </w:rPr>
        <w:t xml:space="preserve"> </w:t>
      </w:r>
      <w:r w:rsidR="00CF53A6" w:rsidRPr="000A53F8">
        <w:rPr>
          <w:rFonts w:asciiTheme="minorBidi" w:hAnsiTheme="minorBidi" w:cstheme="minorBidi"/>
          <w:sz w:val="18"/>
          <w:szCs w:val="18"/>
        </w:rPr>
        <w:t>Asimismo, se ha advertido que diversos trastornos de salud que enfrentan las personas trans se relacionan con el estigma de la sociedad y la patologización, que redunda en exclusión, violencia, pobreza, falta de derechos, falta de reconocimiento subjetivo, entre otros.</w:t>
      </w:r>
      <w:r w:rsidR="000F0FA7" w:rsidRPr="000A53F8">
        <w:rPr>
          <w:rFonts w:asciiTheme="minorBidi" w:hAnsiTheme="minorBidi" w:cstheme="minorBidi"/>
          <w:sz w:val="18"/>
          <w:szCs w:val="18"/>
        </w:rPr>
        <w:t xml:space="preserve"> En ese sentido, los trastornos de salud mental o emocional que suelen experimentar las personas trans no son consustanciales a su persona. Por el contrario, estos surgen de los contextos de rechazo o desaprobación social, en los que las personas con identidades de género diversas se enfrentan a mayores riesgos de experimentar violencia psicológica, deserción escolar, desempleo, ruptura de relaciones sociales y pérdida de redes de apoyo, violencia, exclusión social, estigmatización, entre otros fenómenos</w:t>
      </w:r>
      <w:r w:rsidR="0029004E" w:rsidRPr="000A53F8">
        <w:rPr>
          <w:rFonts w:asciiTheme="minorBidi" w:hAnsiTheme="minorBidi" w:cstheme="minorBidi"/>
          <w:sz w:val="18"/>
          <w:szCs w:val="18"/>
        </w:rPr>
        <w:t xml:space="preserve">. </w:t>
      </w:r>
      <w:r w:rsidR="00CF53A6" w:rsidRPr="000A53F8">
        <w:rPr>
          <w:rFonts w:asciiTheme="minorBidi" w:hAnsiTheme="minorBidi" w:cstheme="minorBidi"/>
          <w:i/>
          <w:iCs/>
          <w:sz w:val="18"/>
          <w:szCs w:val="18"/>
        </w:rPr>
        <w:t>Vid</w:t>
      </w:r>
      <w:r w:rsidR="00CF53A6" w:rsidRPr="000A53F8">
        <w:rPr>
          <w:rFonts w:asciiTheme="minorBidi" w:hAnsiTheme="minorBidi" w:cstheme="minorBidi"/>
          <w:sz w:val="18"/>
          <w:szCs w:val="18"/>
        </w:rPr>
        <w:t xml:space="preserve">., </w:t>
      </w:r>
      <w:r w:rsidR="00DB06B0" w:rsidRPr="000A53F8">
        <w:rPr>
          <w:rFonts w:asciiTheme="minorBidi" w:hAnsiTheme="minorBidi" w:cstheme="minorBidi"/>
          <w:sz w:val="18"/>
          <w:szCs w:val="18"/>
        </w:rPr>
        <w:t xml:space="preserve">Encuesta Nacional sobre la Salud Mental de las Juventudes LGBTQ+ 2024, The Trevor Proyect; </w:t>
      </w:r>
      <w:r w:rsidR="00C50F2A" w:rsidRPr="000A53F8">
        <w:rPr>
          <w:rFonts w:asciiTheme="minorBidi" w:hAnsiTheme="minorBidi" w:cstheme="minorBidi"/>
          <w:color w:val="000000" w:themeColor="text1"/>
          <w:sz w:val="18"/>
          <w:szCs w:val="18"/>
        </w:rPr>
        <w:t>Cruz Islas, Jeremy Bernardo. 2018. “Mujeres trans y atención en salud. Perspectivas desde el primer nivel de atención”, en Ana Amuchástegui (coord.), Mujeres y VIH en México. Diálogos y tensiones entre perspectivas de atención a la salud, Universidad Autónoma Metropolitana, México</w:t>
      </w:r>
      <w:r w:rsidR="000F0FA7" w:rsidRPr="000A53F8">
        <w:rPr>
          <w:rFonts w:asciiTheme="minorBidi" w:hAnsiTheme="minorBidi" w:cstheme="minorBidi"/>
          <w:color w:val="000000" w:themeColor="text1"/>
          <w:sz w:val="18"/>
          <w:szCs w:val="18"/>
        </w:rPr>
        <w:t xml:space="preserve">; así como Robles, Rebeca; </w:t>
      </w:r>
      <w:r w:rsidR="000F0FA7" w:rsidRPr="000A53F8">
        <w:rPr>
          <w:rFonts w:asciiTheme="minorBidi" w:hAnsiTheme="minorBidi" w:cstheme="minorBidi"/>
          <w:i/>
          <w:color w:val="000000" w:themeColor="text1"/>
          <w:sz w:val="18"/>
          <w:szCs w:val="18"/>
        </w:rPr>
        <w:t>et. al</w:t>
      </w:r>
      <w:r w:rsidR="000F0FA7" w:rsidRPr="000A53F8">
        <w:rPr>
          <w:rFonts w:asciiTheme="minorBidi" w:hAnsiTheme="minorBidi" w:cstheme="minorBidi"/>
          <w:color w:val="000000" w:themeColor="text1"/>
          <w:sz w:val="18"/>
          <w:szCs w:val="18"/>
        </w:rPr>
        <w:t xml:space="preserve">. 2016. </w:t>
      </w:r>
      <w:r w:rsidR="000F0FA7" w:rsidRPr="000A53F8">
        <w:rPr>
          <w:rFonts w:asciiTheme="minorBidi" w:hAnsiTheme="minorBidi" w:cstheme="minorBidi"/>
          <w:color w:val="000000" w:themeColor="text1"/>
          <w:sz w:val="18"/>
          <w:szCs w:val="18"/>
          <w:lang w:val="en-US"/>
        </w:rPr>
        <w:t xml:space="preserve">Removing transgender identity from the classification of mental disorder: a Mexican field study for ICD-11. </w:t>
      </w:r>
      <w:r w:rsidR="000F0FA7" w:rsidRPr="000A53F8">
        <w:rPr>
          <w:rFonts w:asciiTheme="minorBidi" w:hAnsiTheme="minorBidi" w:cstheme="minorBidi"/>
          <w:color w:val="000000" w:themeColor="text1"/>
          <w:sz w:val="18"/>
          <w:szCs w:val="18"/>
        </w:rPr>
        <w:t>The Lancet Psychiatry</w:t>
      </w:r>
      <w:r w:rsidR="00D2584D" w:rsidRPr="000A53F8">
        <w:rPr>
          <w:rFonts w:asciiTheme="minorBidi" w:hAnsiTheme="minorBidi" w:cstheme="minorBidi"/>
          <w:color w:val="000000" w:themeColor="text1"/>
          <w:sz w:val="18"/>
          <w:szCs w:val="18"/>
        </w:rPr>
        <w:t xml:space="preserve">, </w:t>
      </w:r>
      <w:r w:rsidR="00D2584D" w:rsidRPr="001978B8">
        <w:rPr>
          <w:rFonts w:asciiTheme="minorBidi" w:hAnsiTheme="minorBidi" w:cstheme="minorBidi"/>
          <w:color w:val="000000" w:themeColor="text1"/>
          <w:sz w:val="18"/>
          <w:szCs w:val="18"/>
        </w:rPr>
        <w:t>así como</w:t>
      </w:r>
      <w:r w:rsidR="00266D29" w:rsidRPr="001978B8">
        <w:rPr>
          <w:rFonts w:asciiTheme="minorBidi" w:hAnsiTheme="minorBidi" w:cstheme="minorBidi"/>
          <w:sz w:val="18"/>
          <w:szCs w:val="18"/>
        </w:rPr>
        <w:t xml:space="preserve"> </w:t>
      </w:r>
      <w:r w:rsidR="00266D29" w:rsidRPr="001978B8">
        <w:rPr>
          <w:rFonts w:asciiTheme="minorBidi" w:hAnsiTheme="minorBidi" w:cstheme="minorBidi"/>
          <w:color w:val="000000" w:themeColor="text1"/>
          <w:sz w:val="18"/>
          <w:szCs w:val="18"/>
        </w:rPr>
        <w:t xml:space="preserve">Granados Cosme, José Arturo, et. al. </w:t>
      </w:r>
      <w:r w:rsidR="00373D0E" w:rsidRPr="001978B8">
        <w:rPr>
          <w:rFonts w:asciiTheme="minorBidi" w:hAnsiTheme="minorBidi" w:cstheme="minorBidi"/>
          <w:color w:val="000000" w:themeColor="text1"/>
          <w:sz w:val="18"/>
          <w:szCs w:val="18"/>
        </w:rPr>
        <w:t xml:space="preserve">2017. </w:t>
      </w:r>
      <w:r w:rsidR="004B671C" w:rsidRPr="001978B8">
        <w:rPr>
          <w:rFonts w:asciiTheme="minorBidi" w:hAnsiTheme="minorBidi" w:cstheme="minorBidi"/>
          <w:color w:val="000000" w:themeColor="text1"/>
          <w:sz w:val="18"/>
          <w:szCs w:val="18"/>
        </w:rPr>
        <w:t>Performatividad del género, medicalización y salud en mujeres transexuales en Ciudad de México</w:t>
      </w:r>
      <w:r w:rsidR="00373D0E" w:rsidRPr="001978B8">
        <w:rPr>
          <w:rFonts w:asciiTheme="minorBidi" w:hAnsiTheme="minorBidi" w:cstheme="minorBidi"/>
          <w:color w:val="000000" w:themeColor="text1"/>
          <w:sz w:val="18"/>
          <w:szCs w:val="18"/>
        </w:rPr>
        <w:t>. Salud Colectiva, Universidad Nacional de Lanús</w:t>
      </w:r>
      <w:r w:rsidR="00EE2666" w:rsidRPr="001978B8">
        <w:rPr>
          <w:rFonts w:asciiTheme="minorBidi" w:hAnsiTheme="minorBidi" w:cstheme="minorBidi"/>
          <w:color w:val="000000" w:themeColor="text1"/>
          <w:sz w:val="18"/>
          <w:szCs w:val="18"/>
        </w:rPr>
        <w:t>, 13(4).</w:t>
      </w:r>
    </w:p>
    <w:p w14:paraId="5BA35DEF" w14:textId="77777777" w:rsidR="00B557CF" w:rsidRDefault="00B557CF" w:rsidP="00373D0E">
      <w:pPr>
        <w:pStyle w:val="Textonotapie"/>
        <w:jc w:val="both"/>
        <w:rPr>
          <w:rFonts w:asciiTheme="minorBidi" w:hAnsiTheme="minorBidi" w:cstheme="minorBidi"/>
          <w:color w:val="000000" w:themeColor="text1"/>
          <w:sz w:val="18"/>
          <w:szCs w:val="18"/>
        </w:rPr>
      </w:pPr>
    </w:p>
    <w:p w14:paraId="2995148F" w14:textId="77777777" w:rsidR="00B557CF" w:rsidRPr="000A53F8" w:rsidRDefault="00B557CF" w:rsidP="00373D0E">
      <w:pPr>
        <w:pStyle w:val="Textonotapie"/>
        <w:jc w:val="both"/>
        <w:rPr>
          <w:rFonts w:asciiTheme="minorBidi" w:hAnsiTheme="minorBidi" w:cstheme="minorBidi"/>
          <w:color w:val="000000" w:themeColor="text1"/>
          <w:sz w:val="18"/>
          <w:szCs w:val="18"/>
        </w:rPr>
      </w:pPr>
    </w:p>
  </w:footnote>
  <w:footnote w:id="112">
    <w:p w14:paraId="219B92AA" w14:textId="77777777" w:rsidR="00E1169A" w:rsidRPr="000A53F8" w:rsidRDefault="00E1169A" w:rsidP="00FD3784">
      <w:pPr>
        <w:tabs>
          <w:tab w:val="left" w:pos="284"/>
          <w:tab w:val="left" w:pos="1622"/>
        </w:tabs>
        <w:jc w:val="both"/>
        <w:rPr>
          <w:rFonts w:asciiTheme="minorBidi" w:hAnsiTheme="minorBidi"/>
          <w:color w:val="000000" w:themeColor="text1"/>
          <w:sz w:val="18"/>
          <w:szCs w:val="18"/>
        </w:rPr>
      </w:pPr>
      <w:r w:rsidRPr="000A53F8">
        <w:rPr>
          <w:rStyle w:val="Refdenotaalpie"/>
          <w:rFonts w:asciiTheme="minorBidi" w:hAnsiTheme="minorBidi"/>
          <w:color w:val="000000" w:themeColor="text1"/>
          <w:sz w:val="18"/>
          <w:szCs w:val="18"/>
        </w:rPr>
        <w:footnoteRef/>
      </w:r>
      <w:r w:rsidRPr="000A53F8">
        <w:rPr>
          <w:rFonts w:asciiTheme="minorBidi" w:hAnsiTheme="minorBidi"/>
          <w:color w:val="000000" w:themeColor="text1"/>
          <w:sz w:val="18"/>
          <w:szCs w:val="18"/>
        </w:rPr>
        <w:t xml:space="preserve"> Juicio ordinario civil 1137/2017, tomo I, foja 287. </w:t>
      </w:r>
    </w:p>
  </w:footnote>
  <w:footnote w:id="113">
    <w:p w14:paraId="4F768C75" w14:textId="2CBF8703" w:rsidR="001854D0" w:rsidRPr="000A53F8" w:rsidRDefault="00E1169A"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Pr="000A53F8">
        <w:rPr>
          <w:rFonts w:asciiTheme="minorBidi" w:hAnsiTheme="minorBidi" w:cstheme="minorBidi"/>
          <w:i/>
          <w:iCs/>
          <w:color w:val="000000" w:themeColor="text1"/>
          <w:sz w:val="18"/>
          <w:szCs w:val="18"/>
        </w:rPr>
        <w:t>Ibidem</w:t>
      </w:r>
      <w:r w:rsidRPr="000A53F8">
        <w:rPr>
          <w:rFonts w:asciiTheme="minorBidi" w:hAnsiTheme="minorBidi" w:cstheme="minorBidi"/>
          <w:color w:val="000000" w:themeColor="text1"/>
          <w:sz w:val="18"/>
          <w:szCs w:val="18"/>
        </w:rPr>
        <w:t>, foja 335.</w:t>
      </w:r>
      <w:r w:rsidR="00BC3E7E">
        <w:rPr>
          <w:rFonts w:asciiTheme="minorBidi" w:hAnsiTheme="minorBidi" w:cstheme="minorBidi"/>
          <w:color w:val="000000" w:themeColor="text1"/>
          <w:sz w:val="18"/>
          <w:szCs w:val="18"/>
        </w:rPr>
        <w:t xml:space="preserve"> </w:t>
      </w:r>
    </w:p>
  </w:footnote>
  <w:footnote w:id="114">
    <w:p w14:paraId="53C78E76" w14:textId="77777777" w:rsidR="00E1169A" w:rsidRDefault="00E1169A"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Pr="000A53F8">
        <w:rPr>
          <w:rFonts w:asciiTheme="minorBidi" w:hAnsiTheme="minorBidi" w:cstheme="minorBidi"/>
          <w:i/>
          <w:iCs/>
          <w:color w:val="000000" w:themeColor="text1"/>
          <w:sz w:val="18"/>
          <w:szCs w:val="18"/>
        </w:rPr>
        <w:t>Ídem</w:t>
      </w:r>
      <w:r w:rsidRPr="000A53F8">
        <w:rPr>
          <w:rFonts w:asciiTheme="minorBidi" w:hAnsiTheme="minorBidi" w:cstheme="minorBidi"/>
          <w:color w:val="000000" w:themeColor="text1"/>
          <w:sz w:val="18"/>
          <w:szCs w:val="18"/>
        </w:rPr>
        <w:t>.</w:t>
      </w:r>
    </w:p>
    <w:p w14:paraId="441540C6" w14:textId="77777777" w:rsidR="00B557CF" w:rsidRPr="000A53F8" w:rsidRDefault="00B557CF" w:rsidP="00FD3784">
      <w:pPr>
        <w:pStyle w:val="Textonotapie"/>
        <w:tabs>
          <w:tab w:val="left" w:pos="284"/>
        </w:tabs>
        <w:jc w:val="both"/>
        <w:rPr>
          <w:rFonts w:asciiTheme="minorBidi" w:hAnsiTheme="minorBidi" w:cstheme="minorBidi"/>
          <w:color w:val="000000" w:themeColor="text1"/>
          <w:sz w:val="18"/>
          <w:szCs w:val="18"/>
        </w:rPr>
      </w:pPr>
    </w:p>
  </w:footnote>
  <w:footnote w:id="115">
    <w:p w14:paraId="29B12441" w14:textId="77777777" w:rsidR="00E1169A" w:rsidRPr="000A53F8" w:rsidRDefault="00E1169A"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Pr="000A53F8">
        <w:rPr>
          <w:rFonts w:asciiTheme="minorBidi" w:hAnsiTheme="minorBidi" w:cstheme="minorBidi"/>
          <w:i/>
          <w:iCs/>
          <w:color w:val="000000" w:themeColor="text1"/>
          <w:sz w:val="18"/>
          <w:szCs w:val="18"/>
        </w:rPr>
        <w:t>Ídem</w:t>
      </w:r>
      <w:r w:rsidRPr="000A53F8">
        <w:rPr>
          <w:rFonts w:asciiTheme="minorBidi" w:hAnsiTheme="minorBidi" w:cstheme="minorBidi"/>
          <w:color w:val="000000" w:themeColor="text1"/>
          <w:sz w:val="18"/>
          <w:szCs w:val="18"/>
        </w:rPr>
        <w:t>.</w:t>
      </w:r>
    </w:p>
  </w:footnote>
  <w:footnote w:id="116">
    <w:p w14:paraId="755ED070" w14:textId="62ED0B1B" w:rsidR="00BA7B57" w:rsidRPr="000A53F8" w:rsidRDefault="00BA7B57"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Pr="000A53F8">
        <w:rPr>
          <w:rFonts w:asciiTheme="minorBidi" w:hAnsiTheme="minorBidi" w:cstheme="minorBidi"/>
          <w:i/>
          <w:iCs/>
          <w:color w:val="000000" w:themeColor="text1"/>
          <w:sz w:val="18"/>
          <w:szCs w:val="18"/>
          <w:lang w:val="es-ES"/>
        </w:rPr>
        <w:t>Ibidem</w:t>
      </w:r>
      <w:r w:rsidRPr="000A53F8">
        <w:rPr>
          <w:rFonts w:asciiTheme="minorBidi" w:hAnsiTheme="minorBidi" w:cstheme="minorBidi"/>
          <w:color w:val="000000" w:themeColor="text1"/>
          <w:sz w:val="18"/>
          <w:szCs w:val="18"/>
          <w:lang w:val="es-ES"/>
        </w:rPr>
        <w:t>, foja 340.</w:t>
      </w:r>
    </w:p>
  </w:footnote>
  <w:footnote w:id="117">
    <w:p w14:paraId="46295501" w14:textId="1D24DFDC" w:rsidR="0027404C" w:rsidRPr="000A53F8" w:rsidRDefault="0027404C" w:rsidP="00FD3784">
      <w:pPr>
        <w:pStyle w:val="Textonotapie"/>
        <w:tabs>
          <w:tab w:val="left" w:pos="284"/>
        </w:tabs>
        <w:jc w:val="both"/>
        <w:rPr>
          <w:rFonts w:asciiTheme="minorBidi" w:hAnsiTheme="minorBidi" w:cstheme="minorBidi"/>
          <w:color w:val="000000" w:themeColor="text1"/>
          <w:sz w:val="18"/>
          <w:szCs w:val="18"/>
          <w:lang w:val="es-ES"/>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Pr="000A53F8">
        <w:rPr>
          <w:rFonts w:asciiTheme="minorBidi" w:hAnsiTheme="minorBidi" w:cstheme="minorBidi"/>
          <w:color w:val="000000" w:themeColor="text1"/>
          <w:sz w:val="18"/>
          <w:szCs w:val="18"/>
          <w:lang w:val="es-ES"/>
        </w:rPr>
        <w:t xml:space="preserve">Es </w:t>
      </w:r>
      <w:r w:rsidR="00DA1C8F" w:rsidRPr="000A53F8">
        <w:rPr>
          <w:rFonts w:asciiTheme="minorBidi" w:hAnsiTheme="minorBidi" w:cstheme="minorBidi"/>
          <w:color w:val="000000" w:themeColor="text1"/>
          <w:sz w:val="18"/>
          <w:szCs w:val="18"/>
          <w:lang w:val="es-ES"/>
        </w:rPr>
        <w:t>aplicable,</w:t>
      </w:r>
      <w:r w:rsidRPr="000A53F8">
        <w:rPr>
          <w:rFonts w:asciiTheme="minorBidi" w:hAnsiTheme="minorBidi" w:cstheme="minorBidi"/>
          <w:color w:val="000000" w:themeColor="text1"/>
          <w:sz w:val="18"/>
          <w:szCs w:val="18"/>
          <w:lang w:val="es-ES"/>
        </w:rPr>
        <w:t xml:space="preserve"> por analogía</w:t>
      </w:r>
      <w:r w:rsidR="00DA1C8F" w:rsidRPr="000A53F8">
        <w:rPr>
          <w:rFonts w:asciiTheme="minorBidi" w:hAnsiTheme="minorBidi" w:cstheme="minorBidi"/>
          <w:color w:val="000000" w:themeColor="text1"/>
          <w:sz w:val="18"/>
          <w:szCs w:val="18"/>
          <w:lang w:val="es-ES"/>
        </w:rPr>
        <w:t>,</w:t>
      </w:r>
      <w:r w:rsidRPr="000A53F8">
        <w:rPr>
          <w:rFonts w:asciiTheme="minorBidi" w:hAnsiTheme="minorBidi" w:cstheme="minorBidi"/>
          <w:color w:val="000000" w:themeColor="text1"/>
          <w:sz w:val="18"/>
          <w:szCs w:val="18"/>
          <w:lang w:val="es-ES"/>
        </w:rPr>
        <w:t xml:space="preserve"> la </w:t>
      </w:r>
      <w:r w:rsidR="00DA1C8F" w:rsidRPr="000A53F8">
        <w:rPr>
          <w:rFonts w:asciiTheme="minorBidi" w:hAnsiTheme="minorBidi" w:cstheme="minorBidi"/>
          <w:color w:val="000000" w:themeColor="text1"/>
          <w:sz w:val="18"/>
          <w:szCs w:val="18"/>
          <w:lang w:val="es-ES"/>
        </w:rPr>
        <w:t>t</w:t>
      </w:r>
      <w:r w:rsidRPr="000A53F8">
        <w:rPr>
          <w:rFonts w:asciiTheme="minorBidi" w:hAnsiTheme="minorBidi" w:cstheme="minorBidi"/>
          <w:color w:val="000000" w:themeColor="text1"/>
          <w:sz w:val="18"/>
          <w:szCs w:val="18"/>
          <w:lang w:val="es-ES"/>
        </w:rPr>
        <w:t xml:space="preserve">esis aislada </w:t>
      </w:r>
      <w:r w:rsidRPr="000A53F8">
        <w:rPr>
          <w:rFonts w:asciiTheme="minorBidi" w:hAnsiTheme="minorBidi" w:cstheme="minorBidi"/>
          <w:color w:val="000000" w:themeColor="text1"/>
          <w:sz w:val="18"/>
          <w:szCs w:val="18"/>
        </w:rPr>
        <w:t xml:space="preserve">1a. III/2015 (10a.), de rubro “DISCRIMINACIÓN EN EL ÁMBITO LABORAL. LA FIJACIÓN DE UNA INDEMNIZACIÓN POR PARTE DEL JUZGADOR ESTARÁ CONDICIONADA A LA EXISTENCIA DE UN DAÑO”. Gaceta del Semanario Judicial de la Federación, Libro 14, </w:t>
      </w:r>
      <w:r w:rsidR="00AC7473" w:rsidRPr="000A53F8">
        <w:rPr>
          <w:rFonts w:asciiTheme="minorBidi" w:hAnsiTheme="minorBidi" w:cstheme="minorBidi"/>
          <w:color w:val="000000" w:themeColor="text1"/>
          <w:sz w:val="18"/>
          <w:szCs w:val="18"/>
        </w:rPr>
        <w:t>enero</w:t>
      </w:r>
      <w:r w:rsidRPr="000A53F8">
        <w:rPr>
          <w:rFonts w:asciiTheme="minorBidi" w:hAnsiTheme="minorBidi" w:cstheme="minorBidi"/>
          <w:color w:val="000000" w:themeColor="text1"/>
          <w:sz w:val="18"/>
          <w:szCs w:val="18"/>
        </w:rPr>
        <w:t xml:space="preserve"> de 2015, Tomo I, p. 757, número de registro digital 2008260. </w:t>
      </w:r>
    </w:p>
  </w:footnote>
  <w:footnote w:id="118">
    <w:p w14:paraId="24266307" w14:textId="77777777" w:rsidR="00A1338D" w:rsidRPr="000A53F8" w:rsidRDefault="00256090" w:rsidP="00FD3784">
      <w:pPr>
        <w:pStyle w:val="Estilo"/>
        <w:tabs>
          <w:tab w:val="left" w:pos="284"/>
        </w:tabs>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00A1338D" w:rsidRPr="000A53F8">
        <w:rPr>
          <w:rFonts w:asciiTheme="minorBidi" w:hAnsiTheme="minorBidi" w:cstheme="minorBidi"/>
          <w:color w:val="000000" w:themeColor="text1"/>
          <w:sz w:val="18"/>
          <w:szCs w:val="18"/>
        </w:rPr>
        <w:t>Artículo 78 (vigente al momento de la conciliación realizada por las hoy quejosas):</w:t>
      </w:r>
    </w:p>
    <w:p w14:paraId="291D211F" w14:textId="5361E823" w:rsidR="00256090" w:rsidRPr="000A53F8" w:rsidRDefault="00A1338D" w:rsidP="00FD3784">
      <w:pPr>
        <w:pStyle w:val="Estilo"/>
        <w:tabs>
          <w:tab w:val="left" w:pos="284"/>
        </w:tabs>
        <w:rPr>
          <w:rFonts w:asciiTheme="minorBidi" w:hAnsiTheme="minorBidi" w:cstheme="minorBidi"/>
          <w:color w:val="000000" w:themeColor="text1"/>
          <w:sz w:val="18"/>
          <w:szCs w:val="18"/>
        </w:rPr>
      </w:pPr>
      <w:r w:rsidRPr="000A53F8">
        <w:rPr>
          <w:rFonts w:asciiTheme="minorBidi" w:hAnsiTheme="minorBidi" w:cstheme="minorBidi"/>
          <w:color w:val="000000" w:themeColor="text1"/>
          <w:sz w:val="18"/>
          <w:szCs w:val="18"/>
        </w:rPr>
        <w:t xml:space="preserve">Artículo 78. El convenio suscrito por las partes y aprobado por el Consejo tiene fuerza de cosa juzgada y trae aparejada ejecución, la que podrá promoverse ante los tribunales competentes en la vía de apremio o en juicio ejecutivo, a elección de la parte peticionaria. </w:t>
      </w:r>
    </w:p>
  </w:footnote>
  <w:footnote w:id="119">
    <w:p w14:paraId="10394D10" w14:textId="77777777" w:rsidR="004E58F2" w:rsidRPr="000A53F8" w:rsidRDefault="004E58F2" w:rsidP="00FD3784">
      <w:pPr>
        <w:pStyle w:val="Estilo"/>
        <w:tabs>
          <w:tab w:val="left" w:pos="284"/>
        </w:tabs>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Artículo 77. Cuando las partes lleguen a un acuerdo, se celebrará el convenio respectivo, que será revisado por el Consejo; si está apegado a derecho, lo aprobará y, en su caso, dictará el acuerdo correspondiente sin que sea admisible recurso alguno.</w:t>
      </w:r>
    </w:p>
    <w:p w14:paraId="014E118B" w14:textId="77777777" w:rsidR="004E58F2" w:rsidRPr="000A53F8" w:rsidRDefault="004E58F2" w:rsidP="00FD3784">
      <w:pPr>
        <w:pStyle w:val="Estilo"/>
        <w:tabs>
          <w:tab w:val="left" w:pos="284"/>
        </w:tabs>
        <w:rPr>
          <w:rFonts w:asciiTheme="minorBidi" w:hAnsiTheme="minorBidi" w:cstheme="minorBidi"/>
          <w:color w:val="000000" w:themeColor="text1"/>
          <w:sz w:val="18"/>
          <w:szCs w:val="18"/>
        </w:rPr>
      </w:pPr>
      <w:r w:rsidRPr="000A53F8">
        <w:rPr>
          <w:rFonts w:asciiTheme="minorBidi" w:hAnsiTheme="minorBidi" w:cstheme="minorBidi"/>
          <w:color w:val="000000" w:themeColor="text1"/>
          <w:sz w:val="18"/>
          <w:szCs w:val="18"/>
        </w:rPr>
        <w:t>Artículo 78. El convenio suscrito por las partes y aprobado por el Consejo tiene fuerza de cosa juzgada y trae aparejada ejecución, la que podrá promoverse ante los tribunales competentes en la vía de apremio o en juicio ejecutivo, a elección de la parte peticionaria.</w:t>
      </w:r>
    </w:p>
  </w:footnote>
  <w:footnote w:id="120">
    <w:p w14:paraId="2A02E96C" w14:textId="588C029B" w:rsidR="0034733B" w:rsidRPr="000A53F8" w:rsidRDefault="0034733B" w:rsidP="00FD3784">
      <w:pPr>
        <w:pStyle w:val="Estilo"/>
        <w:tabs>
          <w:tab w:val="left" w:pos="284"/>
        </w:tabs>
        <w:rPr>
          <w:rFonts w:asciiTheme="minorBidi" w:hAnsiTheme="minorBidi" w:cstheme="minorBidi"/>
          <w:color w:val="000000" w:themeColor="text1"/>
          <w:sz w:val="18"/>
          <w:szCs w:val="18"/>
          <w:u w:val="single"/>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De conformidad con </w:t>
      </w:r>
      <w:r w:rsidR="00547FE6" w:rsidRPr="000A53F8">
        <w:rPr>
          <w:rFonts w:asciiTheme="minorBidi" w:hAnsiTheme="minorBidi" w:cstheme="minorBidi"/>
          <w:color w:val="000000" w:themeColor="text1"/>
          <w:sz w:val="18"/>
          <w:szCs w:val="18"/>
        </w:rPr>
        <w:t xml:space="preserve">el </w:t>
      </w:r>
      <w:r w:rsidRPr="000A53F8">
        <w:rPr>
          <w:rFonts w:asciiTheme="minorBidi" w:hAnsiTheme="minorBidi" w:cstheme="minorBidi"/>
          <w:color w:val="000000" w:themeColor="text1"/>
          <w:sz w:val="18"/>
          <w:szCs w:val="18"/>
        </w:rPr>
        <w:t xml:space="preserve">artículo 75 de la ley </w:t>
      </w:r>
      <w:r w:rsidR="00C84026" w:rsidRPr="000A53F8">
        <w:rPr>
          <w:rFonts w:asciiTheme="minorBidi" w:hAnsiTheme="minorBidi" w:cstheme="minorBidi"/>
          <w:color w:val="000000" w:themeColor="text1"/>
          <w:sz w:val="18"/>
          <w:szCs w:val="18"/>
        </w:rPr>
        <w:t>(</w:t>
      </w:r>
      <w:r w:rsidRPr="000A53F8">
        <w:rPr>
          <w:rFonts w:asciiTheme="minorBidi" w:hAnsiTheme="minorBidi" w:cstheme="minorBidi"/>
          <w:color w:val="000000" w:themeColor="text1"/>
          <w:sz w:val="18"/>
          <w:szCs w:val="18"/>
        </w:rPr>
        <w:t xml:space="preserve">vigente al momento de la conciliación </w:t>
      </w:r>
      <w:r w:rsidR="00C84026" w:rsidRPr="000A53F8">
        <w:rPr>
          <w:rFonts w:asciiTheme="minorBidi" w:hAnsiTheme="minorBidi" w:cstheme="minorBidi"/>
          <w:color w:val="000000" w:themeColor="text1"/>
          <w:sz w:val="18"/>
          <w:szCs w:val="18"/>
        </w:rPr>
        <w:t>realizada por las hoy quejosas), el conciliador “</w:t>
      </w:r>
      <w:r w:rsidR="00547FE6" w:rsidRPr="000A53F8">
        <w:rPr>
          <w:rFonts w:asciiTheme="minorBidi" w:hAnsiTheme="minorBidi" w:cstheme="minorBidi"/>
          <w:color w:val="000000" w:themeColor="text1"/>
          <w:sz w:val="18"/>
          <w:szCs w:val="18"/>
        </w:rPr>
        <w:t>e</w:t>
      </w:r>
      <w:r w:rsidR="00C84026" w:rsidRPr="000A53F8">
        <w:rPr>
          <w:rFonts w:asciiTheme="minorBidi" w:hAnsiTheme="minorBidi" w:cstheme="minorBidi"/>
          <w:color w:val="000000" w:themeColor="text1"/>
          <w:sz w:val="18"/>
          <w:szCs w:val="18"/>
        </w:rPr>
        <w:t>xpondrá a las partes un resumen de la queja y de los elementos de juicio que se hayan integrado y les exhortará a resolver sus diferencias, para cuyo efecto propondrá opciones de solución”.</w:t>
      </w:r>
    </w:p>
  </w:footnote>
  <w:footnote w:id="121">
    <w:p w14:paraId="464504FB" w14:textId="243060D0" w:rsidR="00AC1A08" w:rsidRPr="000A53F8" w:rsidRDefault="00585E6C"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001810F8" w:rsidRPr="000A53F8">
        <w:rPr>
          <w:rFonts w:asciiTheme="minorBidi" w:hAnsiTheme="minorBidi" w:cstheme="minorBidi"/>
          <w:color w:val="000000" w:themeColor="text1"/>
          <w:sz w:val="18"/>
          <w:szCs w:val="18"/>
        </w:rPr>
        <w:t>Al respecto, destacamos que e</w:t>
      </w:r>
      <w:r w:rsidR="00AC1A08" w:rsidRPr="000A53F8">
        <w:rPr>
          <w:rFonts w:asciiTheme="minorBidi" w:hAnsiTheme="minorBidi" w:cstheme="minorBidi"/>
          <w:color w:val="000000" w:themeColor="text1"/>
          <w:sz w:val="18"/>
          <w:szCs w:val="18"/>
        </w:rPr>
        <w:t>l 14 de octubre de 2020 se adicionó un artículo 73 Bis a la ley citada, el cual dispone que la conciliación ante el COPRED se rige por los principios de voluntariedad (es decir, la participación de las partes intervinientes deberá ser por propia decisión, libre de toda coacción y no por obligación); información (deberá informarse a las partes intervinientes, de manera clara y completa, sobre sus consecuencias y alcances); flexibilidad y simplicidad (carecerá de toda forma estricta, propiciará un entorno que sea idóneo para la manifestación de las propuestas de las partes intervinientes para resolver por consenso la controversia),</w:t>
      </w:r>
      <w:r w:rsidR="00B12C8B" w:rsidRPr="000A53F8">
        <w:rPr>
          <w:rFonts w:asciiTheme="minorBidi" w:hAnsiTheme="minorBidi" w:cstheme="minorBidi"/>
          <w:color w:val="000000" w:themeColor="text1"/>
          <w:sz w:val="18"/>
          <w:szCs w:val="18"/>
        </w:rPr>
        <w:t xml:space="preserve"> así como</w:t>
      </w:r>
      <w:r w:rsidR="00AC1A08" w:rsidRPr="000A53F8">
        <w:rPr>
          <w:rFonts w:asciiTheme="minorBidi" w:hAnsiTheme="minorBidi" w:cstheme="minorBidi"/>
          <w:color w:val="000000" w:themeColor="text1"/>
          <w:sz w:val="18"/>
          <w:szCs w:val="18"/>
        </w:rPr>
        <w:t xml:space="preserve"> </w:t>
      </w:r>
      <w:r w:rsidR="0002722F" w:rsidRPr="000A53F8">
        <w:rPr>
          <w:rFonts w:asciiTheme="minorBidi" w:hAnsiTheme="minorBidi" w:cstheme="minorBidi"/>
          <w:color w:val="000000" w:themeColor="text1"/>
          <w:sz w:val="18"/>
          <w:szCs w:val="18"/>
        </w:rPr>
        <w:t xml:space="preserve">de </w:t>
      </w:r>
      <w:r w:rsidR="00AC1A08" w:rsidRPr="000A53F8">
        <w:rPr>
          <w:rFonts w:asciiTheme="minorBidi" w:hAnsiTheme="minorBidi" w:cstheme="minorBidi"/>
          <w:color w:val="000000" w:themeColor="text1"/>
          <w:sz w:val="18"/>
          <w:szCs w:val="18"/>
        </w:rPr>
        <w:t>objetividad, equidad y honestidad.</w:t>
      </w:r>
    </w:p>
  </w:footnote>
  <w:footnote w:id="122">
    <w:p w14:paraId="338C1333" w14:textId="3D8B7E81" w:rsidR="0025633A" w:rsidRPr="000A53F8" w:rsidRDefault="0025633A" w:rsidP="00FD3784">
      <w:pPr>
        <w:pStyle w:val="Estilo"/>
        <w:tabs>
          <w:tab w:val="left" w:pos="284"/>
        </w:tabs>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Con la reforma de octubre de 2020 al artículo 75 de la ley, se explicitó que el conciliador del COPRED podrá “proponer opciones de solución que tiendan a reparar el daño y establecer medidas de no repetición”.</w:t>
      </w:r>
    </w:p>
  </w:footnote>
  <w:footnote w:id="123">
    <w:p w14:paraId="06DF559D" w14:textId="3726F87E" w:rsidR="00EA1DD9" w:rsidRPr="000A53F8" w:rsidRDefault="00C74836"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00303FCB" w:rsidRPr="000A53F8">
        <w:rPr>
          <w:rFonts w:asciiTheme="minorBidi" w:hAnsiTheme="minorBidi" w:cstheme="minorBidi"/>
          <w:color w:val="000000" w:themeColor="text1"/>
          <w:sz w:val="18"/>
          <w:szCs w:val="18"/>
        </w:rPr>
        <w:t>En el mismo sentido se regula la conciliación en la Ley General de Víctimas. En el artículo 17 de dicha ley, se sostiene que las víctimas podrán optar por la solución de conflictos conforme a las reglas de la justicia alternativa, a través de instituciones como la conciliación y la mediación, a fin de facilitar la reparación del daño y la reconciliación de las partes y las medidas de no repetición. El precepto añade que no podrá llevarse la conciliación ni la mediación a menos de que quede acreditado a través de los medios idóneos, que la víctima está en condiciones de tomar esa decisión, y que sancionará a los servidores públicos que conduzcan a las víctimas a tomar estas decisiones sin que éstas estén conscientes de las consecuencias que conlleva</w:t>
      </w:r>
      <w:r w:rsidR="0071413D" w:rsidRPr="000A53F8">
        <w:rPr>
          <w:rFonts w:asciiTheme="minorBidi" w:hAnsiTheme="minorBidi" w:cstheme="minorBidi"/>
          <w:color w:val="000000" w:themeColor="text1"/>
          <w:sz w:val="18"/>
          <w:szCs w:val="18"/>
        </w:rPr>
        <w:t xml:space="preserve">. </w:t>
      </w:r>
      <w:r w:rsidR="00D21F49" w:rsidRPr="000A53F8">
        <w:rPr>
          <w:rFonts w:asciiTheme="minorBidi" w:hAnsiTheme="minorBidi" w:cstheme="minorBidi"/>
          <w:color w:val="000000" w:themeColor="text1"/>
          <w:sz w:val="18"/>
          <w:szCs w:val="18"/>
        </w:rPr>
        <w:t>La importancia que da la ley a que las víctimas conozcan las consecuencias de esta decisión y que la tomen voluntariamente deriva de que la “solución del conflicto” a través de tal convenio tendrá el carácter de cosa juzgada</w:t>
      </w:r>
      <w:r w:rsidR="00597C62" w:rsidRPr="000A53F8">
        <w:rPr>
          <w:rFonts w:asciiTheme="minorBidi" w:hAnsiTheme="minorBidi" w:cstheme="minorBidi"/>
          <w:color w:val="000000" w:themeColor="text1"/>
          <w:sz w:val="18"/>
          <w:szCs w:val="18"/>
        </w:rPr>
        <w:t xml:space="preserve">, pues, </w:t>
      </w:r>
      <w:r w:rsidR="00D21F49" w:rsidRPr="000A53F8">
        <w:rPr>
          <w:rFonts w:asciiTheme="minorBidi" w:hAnsiTheme="minorBidi" w:cstheme="minorBidi"/>
          <w:color w:val="000000" w:themeColor="text1"/>
          <w:sz w:val="18"/>
          <w:szCs w:val="18"/>
        </w:rPr>
        <w:t>conforme al artículo 98 de la Ley General de Mecanismos Alternativos de Solución de Controversias, los convenios firmados por las partes y suscritos por la persona facilitadora que cumplan con ciertos requisitos tendrán efectos de cosa juzgada</w:t>
      </w:r>
      <w:r w:rsidR="00597C62" w:rsidRPr="000A53F8">
        <w:rPr>
          <w:rFonts w:asciiTheme="minorBidi" w:hAnsiTheme="minorBidi" w:cstheme="minorBidi"/>
          <w:color w:val="000000" w:themeColor="text1"/>
          <w:sz w:val="18"/>
          <w:szCs w:val="18"/>
        </w:rPr>
        <w:t>.</w:t>
      </w:r>
    </w:p>
  </w:footnote>
  <w:footnote w:id="124">
    <w:p w14:paraId="2D1CC82C" w14:textId="2B80FFA5" w:rsidR="00345843" w:rsidRPr="000A53F8" w:rsidRDefault="00345843"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009B2670" w:rsidRPr="000A53F8">
        <w:rPr>
          <w:rFonts w:asciiTheme="minorBidi" w:hAnsiTheme="minorBidi" w:cstheme="minorBidi"/>
          <w:color w:val="000000" w:themeColor="text1"/>
          <w:sz w:val="18"/>
          <w:szCs w:val="18"/>
        </w:rPr>
        <w:t>Artículo 78. El convenio suscrito por las partes y aprobado por el Consejo tiene fuerza de cosa juzgada y trae aparejada ejecución, la que podrá promoverse ante los tribunales competentes en la vía de apremio o en juicio ejecutivo, a elección de la parte peticionaria.</w:t>
      </w:r>
    </w:p>
  </w:footnote>
  <w:footnote w:id="125">
    <w:p w14:paraId="525DA6D5" w14:textId="091D8D32" w:rsidR="00A132B6" w:rsidRPr="000A53F8" w:rsidRDefault="00A132B6" w:rsidP="00FD3784">
      <w:pPr>
        <w:pStyle w:val="Textonotapie"/>
        <w:tabs>
          <w:tab w:val="left" w:pos="284"/>
        </w:tabs>
        <w:jc w:val="both"/>
        <w:rPr>
          <w:rFonts w:asciiTheme="minorBidi" w:hAnsiTheme="minorBidi" w:cstheme="minorBidi"/>
          <w:sz w:val="18"/>
          <w:szCs w:val="18"/>
        </w:rPr>
      </w:pPr>
      <w:r w:rsidRPr="000A53F8">
        <w:rPr>
          <w:rStyle w:val="Refdenotaalpie"/>
          <w:rFonts w:asciiTheme="minorBidi" w:hAnsiTheme="minorBidi" w:cstheme="minorBidi"/>
          <w:sz w:val="18"/>
          <w:szCs w:val="18"/>
        </w:rPr>
        <w:footnoteRef/>
      </w:r>
      <w:r w:rsidRPr="000A53F8">
        <w:rPr>
          <w:rFonts w:asciiTheme="minorBidi" w:hAnsiTheme="minorBidi" w:cstheme="minorBidi"/>
          <w:sz w:val="18"/>
          <w:szCs w:val="18"/>
        </w:rPr>
        <w:t xml:space="preserve"> Artículo 17. (…) Las leyes preverán mecanismos alternativos de solución de controversias. En la materia penal regularán su aplicación, asegurarán la reparación del daño y establecerán los casos en los que se requerirá supervisión judicial.</w:t>
      </w:r>
    </w:p>
  </w:footnote>
  <w:footnote w:id="126">
    <w:p w14:paraId="08500F95" w14:textId="77777777" w:rsidR="006306E3" w:rsidRPr="000A53F8" w:rsidRDefault="006306E3" w:rsidP="00FD3784">
      <w:pPr>
        <w:pStyle w:val="corte4fondo"/>
        <w:tabs>
          <w:tab w:val="left" w:pos="284"/>
        </w:tabs>
        <w:spacing w:line="240" w:lineRule="auto"/>
        <w:ind w:right="51" w:firstLine="0"/>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(Artículos adicionados por reforma de 8 de septiembre de 2014)</w:t>
      </w:r>
    </w:p>
    <w:p w14:paraId="02727524" w14:textId="77777777" w:rsidR="006306E3" w:rsidRPr="000A53F8" w:rsidRDefault="006306E3" w:rsidP="00FD3784">
      <w:pPr>
        <w:pStyle w:val="corte4fondo"/>
        <w:tabs>
          <w:tab w:val="left" w:pos="284"/>
        </w:tabs>
        <w:spacing w:line="240" w:lineRule="auto"/>
        <w:ind w:right="51" w:firstLine="0"/>
        <w:rPr>
          <w:rFonts w:asciiTheme="minorBidi" w:hAnsiTheme="minorBidi" w:cstheme="minorBidi"/>
          <w:color w:val="000000" w:themeColor="text1"/>
          <w:sz w:val="18"/>
          <w:szCs w:val="18"/>
        </w:rPr>
      </w:pPr>
      <w:r w:rsidRPr="000A53F8">
        <w:rPr>
          <w:rFonts w:asciiTheme="minorBidi" w:hAnsiTheme="minorBidi" w:cstheme="minorBidi"/>
          <w:color w:val="000000" w:themeColor="text1"/>
          <w:sz w:val="18"/>
          <w:szCs w:val="18"/>
        </w:rPr>
        <w:t>Artículo 72. El procedimiento de queja se inicia por denuncia formulada por cualquier persona ante el Consejo de presuntas conductas discriminatorias atribuidas a personas físicas o morales.</w:t>
      </w:r>
    </w:p>
    <w:p w14:paraId="7C04876B" w14:textId="77777777" w:rsidR="006306E3" w:rsidRPr="000A53F8" w:rsidRDefault="006306E3" w:rsidP="00FD3784">
      <w:pPr>
        <w:pStyle w:val="corte4fondo"/>
        <w:tabs>
          <w:tab w:val="left" w:pos="284"/>
        </w:tabs>
        <w:spacing w:line="240" w:lineRule="auto"/>
        <w:ind w:right="51" w:firstLine="0"/>
        <w:rPr>
          <w:rFonts w:asciiTheme="minorBidi" w:hAnsiTheme="minorBidi" w:cstheme="minorBidi"/>
          <w:color w:val="000000" w:themeColor="text1"/>
          <w:sz w:val="18"/>
          <w:szCs w:val="18"/>
        </w:rPr>
      </w:pPr>
      <w:r w:rsidRPr="000A53F8">
        <w:rPr>
          <w:rFonts w:asciiTheme="minorBidi" w:hAnsiTheme="minorBidi" w:cstheme="minorBidi"/>
          <w:color w:val="000000" w:themeColor="text1"/>
          <w:sz w:val="18"/>
          <w:szCs w:val="18"/>
        </w:rPr>
        <w:t>Artículo 73. En el procedimiento de queja se podrán avenir los intereses a solicitud de la parte peticionaria y la parte presuntamente responsable de prácticas discriminatorias, mediante una audiencia de conciliación, misma que se celebrará en las instalaciones del Consejo.</w:t>
      </w:r>
    </w:p>
    <w:p w14:paraId="54CC0D8E" w14:textId="77777777" w:rsidR="006306E3" w:rsidRPr="000A53F8" w:rsidRDefault="006306E3" w:rsidP="00FD3784">
      <w:pPr>
        <w:pStyle w:val="corte4fondo"/>
        <w:tabs>
          <w:tab w:val="left" w:pos="284"/>
        </w:tabs>
        <w:spacing w:line="240" w:lineRule="auto"/>
        <w:ind w:right="51" w:firstLine="0"/>
        <w:rPr>
          <w:rFonts w:asciiTheme="minorBidi" w:hAnsiTheme="minorBidi" w:cstheme="minorBidi"/>
          <w:color w:val="000000" w:themeColor="text1"/>
          <w:sz w:val="18"/>
          <w:szCs w:val="18"/>
        </w:rPr>
      </w:pPr>
      <w:r w:rsidRPr="000A53F8">
        <w:rPr>
          <w:rFonts w:asciiTheme="minorBidi" w:hAnsiTheme="minorBidi" w:cstheme="minorBidi"/>
          <w:color w:val="000000" w:themeColor="text1"/>
          <w:sz w:val="18"/>
          <w:szCs w:val="18"/>
        </w:rPr>
        <w:t>Artículo 74. Para iniciar con el procedimiento de conciliación, dicha propuesta se deberá hacer del conocimiento de las partes, citándoles para que concurran a una audiencia de conciliación, la cual deberá llevarse a cabo dentro de los quince días hábiles siguientes a aquél en que se les notificó su celebración. La audiencia se celebrará en las instalaciones y con el personal del Consejo.</w:t>
      </w:r>
    </w:p>
    <w:p w14:paraId="3330F0E8" w14:textId="77777777" w:rsidR="006306E3" w:rsidRPr="000A53F8" w:rsidRDefault="006306E3" w:rsidP="00FD3784">
      <w:pPr>
        <w:pStyle w:val="corte4fondo"/>
        <w:tabs>
          <w:tab w:val="left" w:pos="284"/>
        </w:tabs>
        <w:spacing w:line="240" w:lineRule="auto"/>
        <w:ind w:right="51" w:firstLine="0"/>
        <w:rPr>
          <w:rFonts w:asciiTheme="minorBidi" w:hAnsiTheme="minorBidi" w:cstheme="minorBidi"/>
          <w:color w:val="000000" w:themeColor="text1"/>
          <w:sz w:val="18"/>
          <w:szCs w:val="18"/>
        </w:rPr>
      </w:pPr>
      <w:r w:rsidRPr="000A53F8">
        <w:rPr>
          <w:rFonts w:asciiTheme="minorBidi" w:hAnsiTheme="minorBidi" w:cstheme="minorBidi"/>
          <w:color w:val="000000" w:themeColor="text1"/>
          <w:sz w:val="18"/>
          <w:szCs w:val="18"/>
        </w:rPr>
        <w:t>En caso de no comparecer la parte responsable de las presuntas conductas discriminatorias, a la audiencia de conciliación a que se refiere el párrafo anterior, se tendrán por ciertos los hechos discriminatorios imputados en su contra, salvo prueba en contrario.</w:t>
      </w:r>
    </w:p>
    <w:p w14:paraId="7796B278" w14:textId="77777777" w:rsidR="006306E3" w:rsidRPr="000A53F8" w:rsidRDefault="006306E3" w:rsidP="00FD3784">
      <w:pPr>
        <w:tabs>
          <w:tab w:val="left" w:pos="284"/>
        </w:tabs>
        <w:jc w:val="both"/>
        <w:rPr>
          <w:rFonts w:asciiTheme="minorBidi" w:hAnsiTheme="minorBidi"/>
          <w:color w:val="000000" w:themeColor="text1"/>
          <w:sz w:val="18"/>
          <w:szCs w:val="18"/>
        </w:rPr>
      </w:pPr>
      <w:r w:rsidRPr="000A53F8">
        <w:rPr>
          <w:rFonts w:asciiTheme="minorBidi" w:hAnsiTheme="minorBidi"/>
          <w:color w:val="000000" w:themeColor="text1"/>
          <w:sz w:val="18"/>
          <w:szCs w:val="18"/>
        </w:rPr>
        <w:t>Artículo 79. Cuando la reclamación o queja no se resuelva en la etapa de conciliación, el Consejo iniciará las investigaciones del caso, para lo cual tendrá las siguientes facultades: (…).</w:t>
      </w:r>
    </w:p>
    <w:p w14:paraId="6B499CA7" w14:textId="77777777" w:rsidR="006306E3" w:rsidRPr="000A53F8" w:rsidRDefault="006306E3" w:rsidP="00FD3784">
      <w:pPr>
        <w:tabs>
          <w:tab w:val="left" w:pos="284"/>
        </w:tabs>
        <w:jc w:val="both"/>
        <w:rPr>
          <w:rFonts w:asciiTheme="minorBidi" w:hAnsiTheme="minorBidi"/>
          <w:color w:val="000000" w:themeColor="text1"/>
          <w:sz w:val="18"/>
          <w:szCs w:val="18"/>
        </w:rPr>
      </w:pPr>
      <w:r w:rsidRPr="000A53F8">
        <w:rPr>
          <w:rFonts w:asciiTheme="minorBidi" w:hAnsiTheme="minorBidi"/>
          <w:color w:val="000000" w:themeColor="text1"/>
          <w:sz w:val="18"/>
          <w:szCs w:val="18"/>
        </w:rPr>
        <w:t>Artículo 82. Derivado del trámite de las Quejas y Reclamaciones, en caso de acreditarse el acto o actos discriminatorios y no se llegue a una solución a favor de la parte peticionaria, se emitirá una resolución la cual estará basada en las constancias que integren el expediente respectivo.</w:t>
      </w:r>
    </w:p>
  </w:footnote>
  <w:footnote w:id="127">
    <w:p w14:paraId="09AD4CB7" w14:textId="2C716D55" w:rsidR="000D0B6A" w:rsidRDefault="006306E3" w:rsidP="00FD3784">
      <w:pPr>
        <w:pStyle w:val="corte4fondo"/>
        <w:tabs>
          <w:tab w:val="left" w:pos="284"/>
        </w:tabs>
        <w:spacing w:line="240" w:lineRule="auto"/>
        <w:ind w:right="51" w:firstLine="0"/>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004F79BA">
        <w:rPr>
          <w:rFonts w:asciiTheme="minorBidi" w:hAnsiTheme="minorBidi" w:cstheme="minorBidi"/>
          <w:color w:val="000000" w:themeColor="text1"/>
          <w:sz w:val="18"/>
          <w:szCs w:val="18"/>
        </w:rPr>
        <w:t>Ley para Prevenir y Eliminar la Discriminación del Distrito Federal (ahora Ciudad de México)</w:t>
      </w:r>
      <w:r w:rsidR="000D0B6A">
        <w:rPr>
          <w:rFonts w:asciiTheme="minorBidi" w:hAnsiTheme="minorBidi" w:cstheme="minorBidi"/>
          <w:color w:val="000000" w:themeColor="text1"/>
          <w:sz w:val="18"/>
          <w:szCs w:val="18"/>
        </w:rPr>
        <w:t>.</w:t>
      </w:r>
    </w:p>
    <w:p w14:paraId="020BA4A3" w14:textId="5C9A3D5A" w:rsidR="006306E3" w:rsidRPr="000A53F8" w:rsidRDefault="006306E3" w:rsidP="00FD3784">
      <w:pPr>
        <w:pStyle w:val="corte4fondo"/>
        <w:tabs>
          <w:tab w:val="left" w:pos="284"/>
        </w:tabs>
        <w:spacing w:line="240" w:lineRule="auto"/>
        <w:ind w:right="51" w:firstLine="0"/>
        <w:rPr>
          <w:rFonts w:asciiTheme="minorBidi" w:hAnsiTheme="minorBidi" w:cstheme="minorBidi"/>
          <w:color w:val="000000" w:themeColor="text1"/>
          <w:sz w:val="18"/>
          <w:szCs w:val="18"/>
        </w:rPr>
      </w:pPr>
      <w:r w:rsidRPr="000A53F8">
        <w:rPr>
          <w:rFonts w:asciiTheme="minorBidi" w:hAnsiTheme="minorBidi" w:cstheme="minorBidi"/>
          <w:color w:val="000000" w:themeColor="text1"/>
          <w:sz w:val="18"/>
          <w:szCs w:val="18"/>
        </w:rPr>
        <w:t>(Artículo adicionado por reforma de 8 de septiembre de 2014)</w:t>
      </w:r>
      <w:r w:rsidR="005F7578">
        <w:rPr>
          <w:rFonts w:asciiTheme="minorBidi" w:hAnsiTheme="minorBidi" w:cstheme="minorBidi"/>
          <w:color w:val="000000" w:themeColor="text1"/>
          <w:sz w:val="18"/>
          <w:szCs w:val="18"/>
        </w:rPr>
        <w:t>.</w:t>
      </w:r>
    </w:p>
    <w:p w14:paraId="13B7BF55" w14:textId="77777777" w:rsidR="006306E3" w:rsidRPr="000A53F8" w:rsidRDefault="006306E3" w:rsidP="00FD3784">
      <w:pPr>
        <w:pStyle w:val="Textonotapie"/>
        <w:tabs>
          <w:tab w:val="left" w:pos="284"/>
        </w:tabs>
        <w:jc w:val="both"/>
        <w:rPr>
          <w:rFonts w:asciiTheme="minorBidi" w:hAnsiTheme="minorBidi" w:cstheme="minorBidi"/>
          <w:color w:val="000000" w:themeColor="text1"/>
          <w:sz w:val="18"/>
          <w:szCs w:val="18"/>
        </w:rPr>
      </w:pPr>
      <w:r w:rsidRPr="000A53F8">
        <w:rPr>
          <w:rFonts w:asciiTheme="minorBidi" w:hAnsiTheme="minorBidi" w:cstheme="minorBidi"/>
          <w:color w:val="000000" w:themeColor="text1"/>
          <w:sz w:val="18"/>
          <w:szCs w:val="18"/>
        </w:rPr>
        <w:t>Artículo 84. Contra las resoluciones y actos del Consejo los interesados podrán interponer el recurso de inconformidad, de conformidad con la Ley de Procedimiento Administrativo del Distrito Federal.</w:t>
      </w:r>
    </w:p>
  </w:footnote>
  <w:footnote w:id="128">
    <w:p w14:paraId="68A633C3" w14:textId="4345C5CD" w:rsidR="008B20F0" w:rsidRDefault="008B20F0" w:rsidP="00FD3784">
      <w:pPr>
        <w:pStyle w:val="Textonotapie"/>
        <w:jc w:val="both"/>
        <w:rPr>
          <w:rFonts w:asciiTheme="minorBidi" w:hAnsiTheme="minorBidi" w:cstheme="minorBidi"/>
          <w:sz w:val="18"/>
          <w:szCs w:val="18"/>
        </w:rPr>
      </w:pPr>
      <w:r w:rsidRPr="000A53F8">
        <w:rPr>
          <w:rStyle w:val="Refdenotaalpie"/>
          <w:rFonts w:asciiTheme="minorBidi" w:hAnsiTheme="minorBidi" w:cstheme="minorBidi"/>
          <w:sz w:val="18"/>
          <w:szCs w:val="18"/>
        </w:rPr>
        <w:footnoteRef/>
      </w:r>
      <w:r w:rsidRPr="000A53F8">
        <w:rPr>
          <w:rFonts w:asciiTheme="minorBidi" w:hAnsiTheme="minorBidi" w:cstheme="minorBidi"/>
          <w:sz w:val="18"/>
          <w:szCs w:val="18"/>
        </w:rPr>
        <w:t xml:space="preserve"> </w:t>
      </w:r>
      <w:r w:rsidR="00D674C0" w:rsidRPr="000A53F8">
        <w:rPr>
          <w:rFonts w:asciiTheme="minorBidi" w:hAnsiTheme="minorBidi" w:cstheme="minorBidi"/>
          <w:sz w:val="18"/>
          <w:szCs w:val="18"/>
        </w:rPr>
        <w:t xml:space="preserve">Al respecto, advertimos que, en el Estatuto </w:t>
      </w:r>
      <w:r w:rsidR="00402A92" w:rsidRPr="000A53F8">
        <w:rPr>
          <w:rFonts w:asciiTheme="minorBidi" w:hAnsiTheme="minorBidi" w:cstheme="minorBidi"/>
          <w:sz w:val="18"/>
          <w:szCs w:val="18"/>
        </w:rPr>
        <w:t xml:space="preserve">Orgánico del COPRED publicado en la Gaceta Oficial de la Ciudad de México el 20 de mayo de 2024, </w:t>
      </w:r>
      <w:r w:rsidR="006043B6" w:rsidRPr="000A53F8">
        <w:rPr>
          <w:rFonts w:asciiTheme="minorBidi" w:hAnsiTheme="minorBidi" w:cstheme="minorBidi"/>
          <w:sz w:val="18"/>
          <w:szCs w:val="18"/>
        </w:rPr>
        <w:t>el artículo 93 dispone que</w:t>
      </w:r>
      <w:r w:rsidR="008C4C67" w:rsidRPr="000A53F8">
        <w:rPr>
          <w:rFonts w:asciiTheme="minorBidi" w:hAnsiTheme="minorBidi" w:cstheme="minorBidi"/>
          <w:sz w:val="18"/>
          <w:szCs w:val="18"/>
        </w:rPr>
        <w:t xml:space="preserve"> lo</w:t>
      </w:r>
      <w:r w:rsidR="006043B6" w:rsidRPr="000A53F8">
        <w:rPr>
          <w:rFonts w:asciiTheme="minorBidi" w:hAnsiTheme="minorBidi" w:cstheme="minorBidi"/>
          <w:sz w:val="18"/>
          <w:szCs w:val="18"/>
        </w:rPr>
        <w:t xml:space="preserve">s convenios de conciliación tienen fuerza de cosa juzgada por los hechos discriminatorios denunciados ante el COPRED, </w:t>
      </w:r>
      <w:r w:rsidR="00D16610" w:rsidRPr="000A53F8">
        <w:rPr>
          <w:rFonts w:asciiTheme="minorBidi" w:hAnsiTheme="minorBidi" w:cstheme="minorBidi"/>
          <w:sz w:val="18"/>
          <w:szCs w:val="18"/>
        </w:rPr>
        <w:t>y precisa</w:t>
      </w:r>
      <w:r w:rsidR="006043B6" w:rsidRPr="000A53F8">
        <w:rPr>
          <w:rFonts w:asciiTheme="minorBidi" w:hAnsiTheme="minorBidi" w:cstheme="minorBidi"/>
          <w:sz w:val="18"/>
          <w:szCs w:val="18"/>
        </w:rPr>
        <w:t xml:space="preserve"> que “quedan a salvo otras vías jurisdiccionales para el reclamo de los derechos y obligaciones que las partes juzguen necesario”.</w:t>
      </w:r>
      <w:r w:rsidR="001C7870" w:rsidRPr="000A53F8">
        <w:rPr>
          <w:rFonts w:asciiTheme="minorBidi" w:hAnsiTheme="minorBidi" w:cstheme="minorBidi"/>
          <w:sz w:val="18"/>
          <w:szCs w:val="18"/>
        </w:rPr>
        <w:t xml:space="preserve"> </w:t>
      </w:r>
      <w:r w:rsidR="00D6462C" w:rsidRPr="000A53F8">
        <w:rPr>
          <w:rFonts w:asciiTheme="minorBidi" w:hAnsiTheme="minorBidi" w:cstheme="minorBidi"/>
          <w:sz w:val="18"/>
          <w:szCs w:val="18"/>
        </w:rPr>
        <w:t xml:space="preserve">Si bien el precepto no estaba vigente </w:t>
      </w:r>
      <w:r w:rsidR="0061431D" w:rsidRPr="000A53F8">
        <w:rPr>
          <w:rFonts w:asciiTheme="minorBidi" w:hAnsiTheme="minorBidi" w:cstheme="minorBidi"/>
          <w:sz w:val="18"/>
          <w:szCs w:val="18"/>
        </w:rPr>
        <w:t xml:space="preserve">en esos términos </w:t>
      </w:r>
      <w:r w:rsidR="00D6462C" w:rsidRPr="000A53F8">
        <w:rPr>
          <w:rFonts w:asciiTheme="minorBidi" w:hAnsiTheme="minorBidi" w:cstheme="minorBidi"/>
          <w:sz w:val="18"/>
          <w:szCs w:val="18"/>
        </w:rPr>
        <w:t>al momento de los hechos</w:t>
      </w:r>
      <w:r w:rsidR="001527FC" w:rsidRPr="000A53F8">
        <w:rPr>
          <w:rFonts w:asciiTheme="minorBidi" w:hAnsiTheme="minorBidi" w:cstheme="minorBidi"/>
          <w:sz w:val="18"/>
          <w:szCs w:val="18"/>
        </w:rPr>
        <w:t xml:space="preserve"> de este asunto</w:t>
      </w:r>
      <w:r w:rsidR="00D6462C" w:rsidRPr="000A53F8">
        <w:rPr>
          <w:rFonts w:asciiTheme="minorBidi" w:hAnsiTheme="minorBidi" w:cstheme="minorBidi"/>
          <w:sz w:val="18"/>
          <w:szCs w:val="18"/>
        </w:rPr>
        <w:t xml:space="preserve">, </w:t>
      </w:r>
      <w:r w:rsidR="000B4222" w:rsidRPr="000A53F8">
        <w:rPr>
          <w:rFonts w:asciiTheme="minorBidi" w:hAnsiTheme="minorBidi" w:cstheme="minorBidi"/>
          <w:sz w:val="18"/>
          <w:szCs w:val="18"/>
        </w:rPr>
        <w:t>c</w:t>
      </w:r>
      <w:r w:rsidR="001C7870" w:rsidRPr="000A53F8">
        <w:rPr>
          <w:rFonts w:asciiTheme="minorBidi" w:hAnsiTheme="minorBidi" w:cstheme="minorBidi"/>
          <w:sz w:val="18"/>
          <w:szCs w:val="18"/>
        </w:rPr>
        <w:t>onforme a</w:t>
      </w:r>
      <w:r w:rsidR="008C4C67" w:rsidRPr="000A53F8">
        <w:rPr>
          <w:rFonts w:asciiTheme="minorBidi" w:hAnsiTheme="minorBidi" w:cstheme="minorBidi"/>
          <w:sz w:val="18"/>
          <w:szCs w:val="18"/>
        </w:rPr>
        <w:t xml:space="preserve">l </w:t>
      </w:r>
      <w:r w:rsidR="001C7870" w:rsidRPr="000A53F8">
        <w:rPr>
          <w:rFonts w:asciiTheme="minorBidi" w:hAnsiTheme="minorBidi" w:cstheme="minorBidi"/>
          <w:sz w:val="18"/>
          <w:szCs w:val="18"/>
        </w:rPr>
        <w:t>criterio</w:t>
      </w:r>
      <w:r w:rsidR="008C4C67" w:rsidRPr="000A53F8">
        <w:rPr>
          <w:rFonts w:asciiTheme="minorBidi" w:hAnsiTheme="minorBidi" w:cstheme="minorBidi"/>
          <w:sz w:val="18"/>
          <w:szCs w:val="18"/>
        </w:rPr>
        <w:t xml:space="preserve"> </w:t>
      </w:r>
      <w:r w:rsidR="00781F21" w:rsidRPr="000A53F8">
        <w:rPr>
          <w:rFonts w:asciiTheme="minorBidi" w:hAnsiTheme="minorBidi" w:cstheme="minorBidi"/>
          <w:sz w:val="18"/>
          <w:szCs w:val="18"/>
        </w:rPr>
        <w:t>desarrollado en el presente apartado</w:t>
      </w:r>
      <w:r w:rsidR="001C7870" w:rsidRPr="000A53F8">
        <w:rPr>
          <w:rFonts w:asciiTheme="minorBidi" w:hAnsiTheme="minorBidi" w:cstheme="minorBidi"/>
          <w:sz w:val="18"/>
          <w:szCs w:val="18"/>
        </w:rPr>
        <w:t xml:space="preserve">, este precepto </w:t>
      </w:r>
      <w:r w:rsidR="000A6FAD" w:rsidRPr="000A53F8">
        <w:rPr>
          <w:rFonts w:asciiTheme="minorBidi" w:hAnsiTheme="minorBidi" w:cstheme="minorBidi"/>
          <w:sz w:val="18"/>
          <w:szCs w:val="18"/>
        </w:rPr>
        <w:t>no resulta obstáculo para conclusi</w:t>
      </w:r>
      <w:r w:rsidR="00445A81" w:rsidRPr="000A53F8">
        <w:rPr>
          <w:rFonts w:asciiTheme="minorBidi" w:hAnsiTheme="minorBidi" w:cstheme="minorBidi"/>
          <w:sz w:val="18"/>
          <w:szCs w:val="18"/>
        </w:rPr>
        <w:t>ón</w:t>
      </w:r>
      <w:r w:rsidR="000A6FAD" w:rsidRPr="000A53F8">
        <w:rPr>
          <w:rFonts w:asciiTheme="minorBidi" w:hAnsiTheme="minorBidi" w:cstheme="minorBidi"/>
          <w:sz w:val="18"/>
          <w:szCs w:val="18"/>
        </w:rPr>
        <w:t xml:space="preserve"> de esta sentencia, pues</w:t>
      </w:r>
      <w:r w:rsidR="001C7870" w:rsidRPr="000A53F8">
        <w:rPr>
          <w:rFonts w:asciiTheme="minorBidi" w:hAnsiTheme="minorBidi" w:cstheme="minorBidi"/>
          <w:sz w:val="18"/>
          <w:szCs w:val="18"/>
        </w:rPr>
        <w:t xml:space="preserve"> </w:t>
      </w:r>
      <w:r w:rsidR="00AF1EAB" w:rsidRPr="000A53F8">
        <w:rPr>
          <w:rFonts w:asciiTheme="minorBidi" w:hAnsiTheme="minorBidi" w:cstheme="minorBidi"/>
          <w:sz w:val="18"/>
          <w:szCs w:val="18"/>
        </w:rPr>
        <w:t xml:space="preserve">igualmente </w:t>
      </w:r>
      <w:r w:rsidR="001C7870" w:rsidRPr="000A53F8">
        <w:rPr>
          <w:rFonts w:asciiTheme="minorBidi" w:hAnsiTheme="minorBidi" w:cstheme="minorBidi"/>
          <w:sz w:val="18"/>
          <w:szCs w:val="18"/>
        </w:rPr>
        <w:t xml:space="preserve">debe leerse el sentido de que quedan a salvo los derechos de las </w:t>
      </w:r>
      <w:r w:rsidR="004B1B54" w:rsidRPr="000A53F8">
        <w:rPr>
          <w:rFonts w:asciiTheme="minorBidi" w:hAnsiTheme="minorBidi" w:cstheme="minorBidi"/>
          <w:sz w:val="18"/>
          <w:szCs w:val="18"/>
        </w:rPr>
        <w:t>presuntas víctimas para iniciar procesos</w:t>
      </w:r>
      <w:r w:rsidR="00287698" w:rsidRPr="000A53F8">
        <w:rPr>
          <w:rFonts w:asciiTheme="minorBidi" w:hAnsiTheme="minorBidi" w:cstheme="minorBidi"/>
          <w:sz w:val="18"/>
          <w:szCs w:val="18"/>
        </w:rPr>
        <w:t xml:space="preserve">, </w:t>
      </w:r>
      <w:r w:rsidR="007404C1" w:rsidRPr="000A53F8">
        <w:rPr>
          <w:rFonts w:asciiTheme="minorBidi" w:hAnsiTheme="minorBidi" w:cstheme="minorBidi"/>
          <w:sz w:val="18"/>
          <w:szCs w:val="18"/>
        </w:rPr>
        <w:t>por ejemplo,</w:t>
      </w:r>
      <w:r w:rsidR="004B1B54" w:rsidRPr="000A53F8">
        <w:rPr>
          <w:rFonts w:asciiTheme="minorBidi" w:hAnsiTheme="minorBidi" w:cstheme="minorBidi"/>
          <w:sz w:val="18"/>
          <w:szCs w:val="18"/>
        </w:rPr>
        <w:t xml:space="preserve"> de carácter administrativo</w:t>
      </w:r>
      <w:r w:rsidR="00B43DCB" w:rsidRPr="000A53F8">
        <w:rPr>
          <w:rFonts w:asciiTheme="minorBidi" w:hAnsiTheme="minorBidi" w:cstheme="minorBidi"/>
          <w:sz w:val="18"/>
          <w:szCs w:val="18"/>
        </w:rPr>
        <w:t>,</w:t>
      </w:r>
      <w:r w:rsidR="004B1B54" w:rsidRPr="000A53F8">
        <w:rPr>
          <w:rFonts w:asciiTheme="minorBidi" w:hAnsiTheme="minorBidi" w:cstheme="minorBidi"/>
          <w:sz w:val="18"/>
          <w:szCs w:val="18"/>
        </w:rPr>
        <w:t xml:space="preserve"> penal</w:t>
      </w:r>
      <w:r w:rsidR="00B43DCB" w:rsidRPr="000A53F8">
        <w:rPr>
          <w:rFonts w:asciiTheme="minorBidi" w:hAnsiTheme="minorBidi" w:cstheme="minorBidi"/>
          <w:sz w:val="18"/>
          <w:szCs w:val="18"/>
        </w:rPr>
        <w:t xml:space="preserve"> o incluso civil</w:t>
      </w:r>
      <w:r w:rsidR="004B1B54" w:rsidRPr="000A53F8">
        <w:rPr>
          <w:rFonts w:asciiTheme="minorBidi" w:hAnsiTheme="minorBidi" w:cstheme="minorBidi"/>
          <w:sz w:val="18"/>
          <w:szCs w:val="18"/>
        </w:rPr>
        <w:t xml:space="preserve"> respecto de </w:t>
      </w:r>
      <w:r w:rsidR="00D102C8" w:rsidRPr="000A53F8">
        <w:rPr>
          <w:rFonts w:asciiTheme="minorBidi" w:hAnsiTheme="minorBidi" w:cstheme="minorBidi"/>
          <w:sz w:val="18"/>
          <w:szCs w:val="18"/>
        </w:rPr>
        <w:t>la materia que no constituya cosa juzgada</w:t>
      </w:r>
      <w:r w:rsidR="004B1B54" w:rsidRPr="000A53F8">
        <w:rPr>
          <w:rFonts w:asciiTheme="minorBidi" w:hAnsiTheme="minorBidi" w:cstheme="minorBidi"/>
          <w:sz w:val="18"/>
          <w:szCs w:val="18"/>
        </w:rPr>
        <w:t xml:space="preserve">, </w:t>
      </w:r>
      <w:r w:rsidR="00D35F18" w:rsidRPr="000A53F8">
        <w:rPr>
          <w:rFonts w:asciiTheme="minorBidi" w:hAnsiTheme="minorBidi" w:cstheme="minorBidi"/>
          <w:sz w:val="18"/>
          <w:szCs w:val="18"/>
        </w:rPr>
        <w:t>en relación con</w:t>
      </w:r>
      <w:r w:rsidR="004B1B54" w:rsidRPr="000A53F8">
        <w:rPr>
          <w:rFonts w:asciiTheme="minorBidi" w:hAnsiTheme="minorBidi" w:cstheme="minorBidi"/>
          <w:sz w:val="18"/>
          <w:szCs w:val="18"/>
        </w:rPr>
        <w:t xml:space="preserve"> los hechos discriminatorios denunciados ante el COPRED.</w:t>
      </w:r>
    </w:p>
    <w:p w14:paraId="2736A385" w14:textId="77777777" w:rsidR="00733E28" w:rsidRDefault="00733E28" w:rsidP="00FD3784">
      <w:pPr>
        <w:pStyle w:val="Textonotapie"/>
        <w:jc w:val="both"/>
        <w:rPr>
          <w:rFonts w:asciiTheme="minorBidi" w:hAnsiTheme="minorBidi" w:cstheme="minorBidi"/>
          <w:sz w:val="18"/>
          <w:szCs w:val="18"/>
        </w:rPr>
      </w:pPr>
    </w:p>
    <w:p w14:paraId="109DB692" w14:textId="77777777" w:rsidR="00733E28" w:rsidRPr="000A53F8" w:rsidRDefault="00733E28" w:rsidP="00FD3784">
      <w:pPr>
        <w:pStyle w:val="Textonotapie"/>
        <w:jc w:val="both"/>
        <w:rPr>
          <w:rFonts w:asciiTheme="minorBidi" w:hAnsiTheme="minorBidi" w:cstheme="minorBidi"/>
          <w:sz w:val="18"/>
          <w:szCs w:val="18"/>
        </w:rPr>
      </w:pPr>
    </w:p>
  </w:footnote>
  <w:footnote w:id="129">
    <w:p w14:paraId="3E4BC90A" w14:textId="51B747E0" w:rsidR="00320297" w:rsidRPr="000A53F8" w:rsidRDefault="00320297" w:rsidP="00FD3784">
      <w:pPr>
        <w:tabs>
          <w:tab w:val="left" w:pos="284"/>
        </w:tabs>
        <w:jc w:val="both"/>
        <w:rPr>
          <w:rFonts w:asciiTheme="minorBidi" w:eastAsia="Times New Roman" w:hAnsiTheme="minorBidi"/>
          <w:color w:val="000000" w:themeColor="text1"/>
          <w:sz w:val="18"/>
          <w:szCs w:val="18"/>
          <w:lang w:eastAsia="es-MX"/>
        </w:rPr>
      </w:pPr>
      <w:r w:rsidRPr="000A53F8">
        <w:rPr>
          <w:rStyle w:val="Refdenotaalpie"/>
          <w:rFonts w:asciiTheme="minorBidi" w:hAnsiTheme="minorBidi"/>
          <w:color w:val="000000" w:themeColor="text1"/>
          <w:sz w:val="18"/>
          <w:szCs w:val="18"/>
        </w:rPr>
        <w:footnoteRef/>
      </w:r>
      <w:r w:rsidRPr="000A53F8">
        <w:rPr>
          <w:rFonts w:asciiTheme="minorBidi" w:hAnsiTheme="minorBidi"/>
          <w:color w:val="000000" w:themeColor="text1"/>
          <w:sz w:val="18"/>
          <w:szCs w:val="18"/>
        </w:rPr>
        <w:t xml:space="preserve"> </w:t>
      </w:r>
      <w:r w:rsidR="00BA0C66" w:rsidRPr="000A53F8">
        <w:rPr>
          <w:rFonts w:asciiTheme="minorBidi" w:hAnsiTheme="minorBidi"/>
          <w:color w:val="000000" w:themeColor="text1"/>
          <w:sz w:val="18"/>
          <w:szCs w:val="18"/>
        </w:rPr>
        <w:t>A</w:t>
      </w:r>
      <w:r w:rsidR="00603F3C" w:rsidRPr="000A53F8">
        <w:rPr>
          <w:rFonts w:asciiTheme="minorBidi" w:hAnsiTheme="minorBidi"/>
          <w:color w:val="000000" w:themeColor="text1"/>
          <w:sz w:val="18"/>
          <w:szCs w:val="18"/>
        </w:rPr>
        <w:t xml:space="preserve">mparo directo en revisión 1329/2020, resuelto en sesión de </w:t>
      </w:r>
      <w:r w:rsidR="00B81440" w:rsidRPr="000A53F8">
        <w:rPr>
          <w:rFonts w:asciiTheme="minorBidi" w:hAnsiTheme="minorBidi"/>
          <w:color w:val="000000" w:themeColor="text1"/>
          <w:sz w:val="18"/>
          <w:szCs w:val="18"/>
        </w:rPr>
        <w:t xml:space="preserve">19 de enero de 2022, </w:t>
      </w:r>
      <w:r w:rsidR="00684BF2" w:rsidRPr="000A53F8">
        <w:rPr>
          <w:rFonts w:asciiTheme="minorBidi" w:eastAsia="Times New Roman" w:hAnsiTheme="minorBidi"/>
          <w:color w:val="000000" w:themeColor="text1"/>
          <w:sz w:val="18"/>
          <w:szCs w:val="18"/>
          <w:lang w:eastAsia="es-MX"/>
        </w:rPr>
        <w:t xml:space="preserve">por unanimidad de cinco votos de la señora </w:t>
      </w:r>
      <w:r w:rsidR="002C4F5D" w:rsidRPr="000A53F8">
        <w:rPr>
          <w:rFonts w:asciiTheme="minorBidi" w:eastAsia="Times New Roman" w:hAnsiTheme="minorBidi"/>
          <w:color w:val="000000" w:themeColor="text1"/>
          <w:sz w:val="18"/>
          <w:szCs w:val="18"/>
          <w:lang w:eastAsia="es-MX"/>
        </w:rPr>
        <w:t>m</w:t>
      </w:r>
      <w:r w:rsidR="00684BF2" w:rsidRPr="000A53F8">
        <w:rPr>
          <w:rFonts w:asciiTheme="minorBidi" w:eastAsia="Times New Roman" w:hAnsiTheme="minorBidi"/>
          <w:color w:val="000000" w:themeColor="text1"/>
          <w:sz w:val="18"/>
          <w:szCs w:val="18"/>
          <w:lang w:eastAsia="es-MX"/>
        </w:rPr>
        <w:t xml:space="preserve">inistra Norma Lucía Piña Hernández, quien está con el sentido, pero con salvedad en las consideraciones y se reservó el derecho a formular voto concurrente, y de los </w:t>
      </w:r>
      <w:r w:rsidR="002C4F5D" w:rsidRPr="000A53F8">
        <w:rPr>
          <w:rFonts w:asciiTheme="minorBidi" w:eastAsia="Times New Roman" w:hAnsiTheme="minorBidi"/>
          <w:color w:val="000000" w:themeColor="text1"/>
          <w:sz w:val="18"/>
          <w:szCs w:val="18"/>
          <w:lang w:eastAsia="es-MX"/>
        </w:rPr>
        <w:t xml:space="preserve">ministros </w:t>
      </w:r>
      <w:r w:rsidR="00684BF2" w:rsidRPr="000A53F8">
        <w:rPr>
          <w:rFonts w:asciiTheme="minorBidi" w:eastAsia="Times New Roman" w:hAnsiTheme="minorBidi"/>
          <w:color w:val="000000" w:themeColor="text1"/>
          <w:sz w:val="18"/>
          <w:szCs w:val="18"/>
          <w:lang w:eastAsia="es-MX"/>
        </w:rPr>
        <w:t>Juan Luis González Alcántara Carrancá (</w:t>
      </w:r>
      <w:r w:rsidR="00047875" w:rsidRPr="000A53F8">
        <w:rPr>
          <w:rFonts w:asciiTheme="minorBidi" w:eastAsia="Times New Roman" w:hAnsiTheme="minorBidi"/>
          <w:color w:val="000000" w:themeColor="text1"/>
          <w:sz w:val="18"/>
          <w:szCs w:val="18"/>
          <w:lang w:eastAsia="es-MX"/>
        </w:rPr>
        <w:t>p</w:t>
      </w:r>
      <w:r w:rsidR="00684BF2" w:rsidRPr="000A53F8">
        <w:rPr>
          <w:rFonts w:asciiTheme="minorBidi" w:eastAsia="Times New Roman" w:hAnsiTheme="minorBidi"/>
          <w:color w:val="000000" w:themeColor="text1"/>
          <w:sz w:val="18"/>
          <w:szCs w:val="18"/>
          <w:lang w:eastAsia="es-MX"/>
        </w:rPr>
        <w:t xml:space="preserve">onente), Jorge Mario Pardo Rebolledo, quien se reservó el derecho a formular voto concurrente, Alfredo Gutiérrez Ortiz Mena y </w:t>
      </w:r>
      <w:r w:rsidR="00047875" w:rsidRPr="000A53F8">
        <w:rPr>
          <w:rFonts w:asciiTheme="minorBidi" w:eastAsia="Times New Roman" w:hAnsiTheme="minorBidi"/>
          <w:color w:val="000000" w:themeColor="text1"/>
          <w:sz w:val="18"/>
          <w:szCs w:val="18"/>
          <w:lang w:eastAsia="es-MX"/>
        </w:rPr>
        <w:t>m</w:t>
      </w:r>
      <w:r w:rsidR="00684BF2" w:rsidRPr="000A53F8">
        <w:rPr>
          <w:rFonts w:asciiTheme="minorBidi" w:eastAsia="Times New Roman" w:hAnsiTheme="minorBidi"/>
          <w:color w:val="000000" w:themeColor="text1"/>
          <w:sz w:val="18"/>
          <w:szCs w:val="18"/>
          <w:lang w:eastAsia="es-MX"/>
        </w:rPr>
        <w:t xml:space="preserve">inistra </w:t>
      </w:r>
      <w:r w:rsidR="00047875" w:rsidRPr="000A53F8">
        <w:rPr>
          <w:rFonts w:asciiTheme="minorBidi" w:eastAsia="Times New Roman" w:hAnsiTheme="minorBidi"/>
          <w:color w:val="000000" w:themeColor="text1"/>
          <w:sz w:val="18"/>
          <w:szCs w:val="18"/>
          <w:lang w:eastAsia="es-MX"/>
        </w:rPr>
        <w:t>pr</w:t>
      </w:r>
      <w:r w:rsidR="00684BF2" w:rsidRPr="000A53F8">
        <w:rPr>
          <w:rFonts w:asciiTheme="minorBidi" w:eastAsia="Times New Roman" w:hAnsiTheme="minorBidi"/>
          <w:color w:val="000000" w:themeColor="text1"/>
          <w:sz w:val="18"/>
          <w:szCs w:val="18"/>
          <w:lang w:eastAsia="es-MX"/>
        </w:rPr>
        <w:t>esidenta Ana Margarita Ríos Farjat, quien está con el sentido pero se aparta de consideraciones; p</w:t>
      </w:r>
      <w:r w:rsidR="00A90470" w:rsidRPr="000A53F8">
        <w:rPr>
          <w:rFonts w:asciiTheme="minorBidi" w:hAnsiTheme="minorBidi"/>
          <w:color w:val="000000" w:themeColor="text1"/>
          <w:sz w:val="18"/>
          <w:szCs w:val="18"/>
        </w:rPr>
        <w:t>árr. 32.</w:t>
      </w:r>
    </w:p>
  </w:footnote>
  <w:footnote w:id="130">
    <w:p w14:paraId="04847F0A" w14:textId="5D5A5D12" w:rsidR="00A90470" w:rsidRPr="000A53F8" w:rsidRDefault="00A90470"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00FB24DB" w:rsidRPr="000A53F8">
        <w:rPr>
          <w:rFonts w:asciiTheme="minorBidi" w:hAnsiTheme="minorBidi" w:cstheme="minorBidi"/>
          <w:i/>
          <w:iCs/>
          <w:color w:val="000000" w:themeColor="text1"/>
          <w:sz w:val="18"/>
          <w:szCs w:val="18"/>
        </w:rPr>
        <w:t>Ibidem</w:t>
      </w:r>
      <w:r w:rsidR="00FB24DB" w:rsidRPr="000A53F8">
        <w:rPr>
          <w:rFonts w:asciiTheme="minorBidi" w:hAnsiTheme="minorBidi" w:cstheme="minorBidi"/>
          <w:color w:val="000000" w:themeColor="text1"/>
          <w:sz w:val="18"/>
          <w:szCs w:val="18"/>
        </w:rPr>
        <w:t>, p</w:t>
      </w:r>
      <w:r w:rsidR="00C97995" w:rsidRPr="000A53F8">
        <w:rPr>
          <w:rFonts w:asciiTheme="minorBidi" w:hAnsiTheme="minorBidi" w:cstheme="minorBidi"/>
          <w:color w:val="000000" w:themeColor="text1"/>
          <w:sz w:val="18"/>
          <w:szCs w:val="18"/>
        </w:rPr>
        <w:t xml:space="preserve">árr. 59 y </w:t>
      </w:r>
      <w:r w:rsidR="0094529E" w:rsidRPr="000A53F8">
        <w:rPr>
          <w:rFonts w:asciiTheme="minorBidi" w:hAnsiTheme="minorBidi" w:cstheme="minorBidi"/>
          <w:color w:val="000000" w:themeColor="text1"/>
          <w:sz w:val="18"/>
          <w:szCs w:val="18"/>
        </w:rPr>
        <w:t xml:space="preserve">63. </w:t>
      </w:r>
    </w:p>
  </w:footnote>
  <w:footnote w:id="131">
    <w:p w14:paraId="4F656831" w14:textId="5F4F3705" w:rsidR="0034042F" w:rsidRPr="000A53F8" w:rsidRDefault="00325324"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00FB24DB" w:rsidRPr="000A53F8">
        <w:rPr>
          <w:rFonts w:asciiTheme="minorBidi" w:hAnsiTheme="minorBidi" w:cstheme="minorBidi"/>
          <w:i/>
          <w:iCs/>
          <w:color w:val="000000" w:themeColor="text1"/>
          <w:sz w:val="18"/>
          <w:szCs w:val="18"/>
        </w:rPr>
        <w:t>Ibidem</w:t>
      </w:r>
      <w:r w:rsidR="00FB24DB" w:rsidRPr="000A53F8">
        <w:rPr>
          <w:rFonts w:asciiTheme="minorBidi" w:hAnsiTheme="minorBidi" w:cstheme="minorBidi"/>
          <w:color w:val="000000" w:themeColor="text1"/>
          <w:sz w:val="18"/>
          <w:szCs w:val="18"/>
        </w:rPr>
        <w:t xml:space="preserve">, párr. </w:t>
      </w:r>
      <w:r w:rsidR="00281B8E" w:rsidRPr="000A53F8">
        <w:rPr>
          <w:rFonts w:asciiTheme="minorBidi" w:hAnsiTheme="minorBidi" w:cstheme="minorBidi"/>
          <w:color w:val="000000" w:themeColor="text1"/>
          <w:sz w:val="18"/>
          <w:szCs w:val="18"/>
        </w:rPr>
        <w:t>36</w:t>
      </w:r>
      <w:r w:rsidR="00FB24DB" w:rsidRPr="000A53F8">
        <w:rPr>
          <w:rFonts w:asciiTheme="minorBidi" w:hAnsiTheme="minorBidi" w:cstheme="minorBidi"/>
          <w:color w:val="000000" w:themeColor="text1"/>
          <w:sz w:val="18"/>
          <w:szCs w:val="18"/>
        </w:rPr>
        <w:t xml:space="preserve"> a </w:t>
      </w:r>
      <w:r w:rsidR="00281B8E" w:rsidRPr="000A53F8">
        <w:rPr>
          <w:rFonts w:asciiTheme="minorBidi" w:hAnsiTheme="minorBidi" w:cstheme="minorBidi"/>
          <w:color w:val="000000" w:themeColor="text1"/>
          <w:sz w:val="18"/>
          <w:szCs w:val="18"/>
        </w:rPr>
        <w:t>38.</w:t>
      </w:r>
      <w:r w:rsidR="005B1B4D" w:rsidRPr="000A53F8">
        <w:rPr>
          <w:rFonts w:asciiTheme="minorBidi" w:hAnsiTheme="minorBidi" w:cstheme="minorBidi"/>
          <w:color w:val="000000" w:themeColor="text1"/>
          <w:sz w:val="18"/>
          <w:szCs w:val="18"/>
        </w:rPr>
        <w:t xml:space="preserve"> </w:t>
      </w:r>
      <w:r w:rsidR="00182DB3" w:rsidRPr="000A53F8">
        <w:rPr>
          <w:rFonts w:asciiTheme="minorBidi" w:hAnsiTheme="minorBidi" w:cstheme="minorBidi"/>
          <w:color w:val="000000" w:themeColor="text1"/>
          <w:sz w:val="18"/>
          <w:szCs w:val="18"/>
        </w:rPr>
        <w:t>Código Nacional de Procedimientos Pena</w:t>
      </w:r>
      <w:r w:rsidR="005B1B4D" w:rsidRPr="000A53F8">
        <w:rPr>
          <w:rFonts w:asciiTheme="minorBidi" w:hAnsiTheme="minorBidi" w:cstheme="minorBidi"/>
          <w:color w:val="000000" w:themeColor="text1"/>
          <w:sz w:val="18"/>
          <w:szCs w:val="18"/>
        </w:rPr>
        <w:t xml:space="preserve">les. </w:t>
      </w:r>
      <w:r w:rsidR="0034042F" w:rsidRPr="000A53F8">
        <w:rPr>
          <w:rFonts w:asciiTheme="minorBidi" w:hAnsiTheme="minorBidi" w:cstheme="minorBidi"/>
          <w:color w:val="000000" w:themeColor="text1"/>
          <w:sz w:val="18"/>
          <w:szCs w:val="18"/>
        </w:rPr>
        <w:t>Artículo 186. Definici</w:t>
      </w:r>
      <w:r w:rsidR="005B1B4D" w:rsidRPr="000A53F8">
        <w:rPr>
          <w:rFonts w:asciiTheme="minorBidi" w:hAnsiTheme="minorBidi" w:cstheme="minorBidi"/>
          <w:color w:val="000000" w:themeColor="text1"/>
          <w:sz w:val="18"/>
          <w:szCs w:val="18"/>
        </w:rPr>
        <w:t xml:space="preserve">ón. </w:t>
      </w:r>
      <w:r w:rsidR="0034042F" w:rsidRPr="000A53F8">
        <w:rPr>
          <w:rFonts w:asciiTheme="minorBidi" w:hAnsiTheme="minorBidi" w:cstheme="minorBidi"/>
          <w:color w:val="000000" w:themeColor="text1"/>
          <w:sz w:val="18"/>
          <w:szCs w:val="18"/>
        </w:rPr>
        <w:t>Los acuerdos reparatorios son aquéllos celebrados entre la víctima u ofendido y el imputado que, una vez aprobados por el Ministerio Público o el Juez de control y cumplidos en sus términos, tienen como efecto la extinción de la acción penal.</w:t>
      </w:r>
    </w:p>
  </w:footnote>
  <w:footnote w:id="132">
    <w:p w14:paraId="203083FA" w14:textId="71260EF2" w:rsidR="0048582F" w:rsidRPr="000A53F8" w:rsidRDefault="0048582F" w:rsidP="00FD3784">
      <w:pPr>
        <w:pStyle w:val="corte4fondo"/>
        <w:spacing w:line="240" w:lineRule="auto"/>
        <w:ind w:right="51" w:firstLine="0"/>
        <w:rPr>
          <w:rFonts w:asciiTheme="minorBidi" w:hAnsiTheme="minorBidi" w:cstheme="minorBidi"/>
          <w:sz w:val="18"/>
          <w:szCs w:val="18"/>
        </w:rPr>
      </w:pPr>
      <w:r w:rsidRPr="008B4BC1">
        <w:rPr>
          <w:rStyle w:val="Refdenotaalpie"/>
          <w:rFonts w:asciiTheme="minorBidi" w:hAnsiTheme="minorBidi" w:cstheme="minorBidi"/>
          <w:sz w:val="18"/>
          <w:szCs w:val="18"/>
        </w:rPr>
        <w:footnoteRef/>
      </w:r>
      <w:r w:rsidRPr="008B4BC1">
        <w:rPr>
          <w:rFonts w:asciiTheme="minorBidi" w:hAnsiTheme="minorBidi" w:cstheme="minorBidi"/>
          <w:sz w:val="18"/>
          <w:szCs w:val="18"/>
        </w:rPr>
        <w:t xml:space="preserve"> </w:t>
      </w:r>
      <w:r w:rsidR="007D7CC2" w:rsidRPr="008B4BC1">
        <w:rPr>
          <w:rFonts w:asciiTheme="minorBidi" w:hAnsiTheme="minorBidi" w:cstheme="minorBidi"/>
          <w:sz w:val="18"/>
          <w:szCs w:val="18"/>
        </w:rPr>
        <w:t>Esta</w:t>
      </w:r>
      <w:r w:rsidR="00DC731F" w:rsidRPr="008B4BC1">
        <w:rPr>
          <w:rFonts w:asciiTheme="minorBidi" w:hAnsiTheme="minorBidi" w:cstheme="minorBidi"/>
          <w:sz w:val="18"/>
          <w:szCs w:val="18"/>
        </w:rPr>
        <w:t xml:space="preserve"> conclusión no </w:t>
      </w:r>
      <w:r w:rsidR="00A94D6B">
        <w:rPr>
          <w:rFonts w:asciiTheme="minorBidi" w:hAnsiTheme="minorBidi" w:cstheme="minorBidi"/>
          <w:sz w:val="18"/>
          <w:szCs w:val="18"/>
        </w:rPr>
        <w:t>desconoce</w:t>
      </w:r>
      <w:r w:rsidR="00BF08A9" w:rsidRPr="008B4BC1">
        <w:rPr>
          <w:rFonts w:asciiTheme="minorBidi" w:hAnsiTheme="minorBidi" w:cstheme="minorBidi"/>
          <w:sz w:val="18"/>
          <w:szCs w:val="18"/>
        </w:rPr>
        <w:t xml:space="preserve"> el amparo directo en revisión 1387/2012</w:t>
      </w:r>
      <w:r w:rsidR="00301FC8" w:rsidRPr="008B4BC1">
        <w:rPr>
          <w:rFonts w:asciiTheme="minorBidi" w:hAnsiTheme="minorBidi" w:cstheme="minorBidi"/>
          <w:sz w:val="18"/>
          <w:szCs w:val="18"/>
        </w:rPr>
        <w:t>, en el que</w:t>
      </w:r>
      <w:r w:rsidR="00CB399C" w:rsidRPr="008B4BC1">
        <w:rPr>
          <w:rFonts w:asciiTheme="minorBidi" w:hAnsiTheme="minorBidi" w:cstheme="minorBidi"/>
          <w:sz w:val="18"/>
          <w:szCs w:val="18"/>
        </w:rPr>
        <w:t xml:space="preserve"> la Primera</w:t>
      </w:r>
      <w:r w:rsidR="007C49A6" w:rsidRPr="008B4BC1">
        <w:rPr>
          <w:rFonts w:asciiTheme="minorBidi" w:hAnsiTheme="minorBidi" w:cstheme="minorBidi"/>
          <w:sz w:val="18"/>
          <w:szCs w:val="18"/>
        </w:rPr>
        <w:t xml:space="preserve"> Sala </w:t>
      </w:r>
      <w:r w:rsidR="00123FB5">
        <w:rPr>
          <w:rFonts w:asciiTheme="minorBidi" w:hAnsiTheme="minorBidi" w:cstheme="minorBidi"/>
          <w:sz w:val="18"/>
          <w:szCs w:val="18"/>
        </w:rPr>
        <w:t xml:space="preserve">ordenó </w:t>
      </w:r>
      <w:r w:rsidR="007C49A6" w:rsidRPr="008B4BC1">
        <w:rPr>
          <w:rFonts w:asciiTheme="minorBidi" w:hAnsiTheme="minorBidi" w:cstheme="minorBidi"/>
          <w:sz w:val="18"/>
          <w:szCs w:val="18"/>
        </w:rPr>
        <w:t>conden</w:t>
      </w:r>
      <w:r w:rsidR="00123FB5">
        <w:rPr>
          <w:rFonts w:asciiTheme="minorBidi" w:hAnsiTheme="minorBidi" w:cstheme="minorBidi"/>
          <w:sz w:val="18"/>
          <w:szCs w:val="18"/>
        </w:rPr>
        <w:t>ar</w:t>
      </w:r>
      <w:r w:rsidR="007C49A6" w:rsidRPr="008B4BC1">
        <w:rPr>
          <w:rFonts w:asciiTheme="minorBidi" w:hAnsiTheme="minorBidi" w:cstheme="minorBidi"/>
          <w:sz w:val="18"/>
          <w:szCs w:val="18"/>
        </w:rPr>
        <w:t xml:space="preserve"> al pago de </w:t>
      </w:r>
      <w:r w:rsidR="000F0F33">
        <w:rPr>
          <w:rFonts w:asciiTheme="minorBidi" w:hAnsiTheme="minorBidi" w:cstheme="minorBidi"/>
          <w:sz w:val="18"/>
          <w:szCs w:val="18"/>
        </w:rPr>
        <w:t xml:space="preserve">una </w:t>
      </w:r>
      <w:r w:rsidR="00DE7B25">
        <w:rPr>
          <w:rFonts w:asciiTheme="minorBidi" w:hAnsiTheme="minorBidi" w:cstheme="minorBidi"/>
          <w:sz w:val="18"/>
          <w:szCs w:val="18"/>
        </w:rPr>
        <w:t>indemnización</w:t>
      </w:r>
      <w:r w:rsidR="007C49A6" w:rsidRPr="008B4BC1">
        <w:rPr>
          <w:rFonts w:asciiTheme="minorBidi" w:hAnsiTheme="minorBidi" w:cstheme="minorBidi"/>
          <w:sz w:val="18"/>
          <w:szCs w:val="18"/>
        </w:rPr>
        <w:t xml:space="preserve"> a una persona moral</w:t>
      </w:r>
      <w:r w:rsidR="00195D2F" w:rsidRPr="008B4BC1">
        <w:rPr>
          <w:rFonts w:asciiTheme="minorBidi" w:hAnsiTheme="minorBidi" w:cstheme="minorBidi"/>
          <w:sz w:val="18"/>
          <w:szCs w:val="18"/>
        </w:rPr>
        <w:t xml:space="preserve"> </w:t>
      </w:r>
      <w:r w:rsidR="00BF08A9" w:rsidRPr="008B4BC1">
        <w:rPr>
          <w:rFonts w:asciiTheme="minorBidi" w:hAnsiTheme="minorBidi" w:cstheme="minorBidi"/>
          <w:sz w:val="18"/>
          <w:szCs w:val="18"/>
        </w:rPr>
        <w:t xml:space="preserve">por </w:t>
      </w:r>
      <w:r w:rsidR="00491660" w:rsidRPr="008B4BC1">
        <w:rPr>
          <w:rFonts w:asciiTheme="minorBidi" w:hAnsiTheme="minorBidi" w:cstheme="minorBidi"/>
          <w:sz w:val="18"/>
          <w:szCs w:val="18"/>
        </w:rPr>
        <w:t xml:space="preserve">emitir </w:t>
      </w:r>
      <w:r w:rsidR="00BF08A9" w:rsidRPr="008B4BC1">
        <w:rPr>
          <w:rFonts w:asciiTheme="minorBidi" w:hAnsiTheme="minorBidi" w:cstheme="minorBidi"/>
          <w:sz w:val="18"/>
          <w:szCs w:val="18"/>
        </w:rPr>
        <w:t xml:space="preserve">una oferta de trabajo que </w:t>
      </w:r>
      <w:r w:rsidR="00811E67" w:rsidRPr="008B4BC1">
        <w:rPr>
          <w:rFonts w:asciiTheme="minorBidi" w:hAnsiTheme="minorBidi" w:cstheme="minorBidi"/>
          <w:sz w:val="18"/>
          <w:szCs w:val="18"/>
        </w:rPr>
        <w:t>excluía a</w:t>
      </w:r>
      <w:r w:rsidR="00BF08A9" w:rsidRPr="008B4BC1">
        <w:rPr>
          <w:rFonts w:asciiTheme="minorBidi" w:hAnsiTheme="minorBidi" w:cstheme="minorBidi"/>
          <w:sz w:val="18"/>
          <w:szCs w:val="18"/>
        </w:rPr>
        <w:t xml:space="preserve"> personas con discapacidad</w:t>
      </w:r>
      <w:r w:rsidR="00C315CE" w:rsidRPr="008B4BC1">
        <w:rPr>
          <w:rFonts w:asciiTheme="minorBidi" w:hAnsiTheme="minorBidi" w:cstheme="minorBidi"/>
          <w:sz w:val="18"/>
          <w:szCs w:val="18"/>
        </w:rPr>
        <w:t xml:space="preserve">, a pesar de que los hechos discriminatorios ya habían sido materia de un proceso de conciliación </w:t>
      </w:r>
      <w:r w:rsidR="00CA4C7C" w:rsidRPr="008B4BC1">
        <w:rPr>
          <w:rFonts w:asciiTheme="minorBidi" w:hAnsiTheme="minorBidi" w:cstheme="minorBidi"/>
          <w:sz w:val="18"/>
          <w:szCs w:val="18"/>
        </w:rPr>
        <w:t xml:space="preserve">previo </w:t>
      </w:r>
      <w:r w:rsidR="00C315CE" w:rsidRPr="008B4BC1">
        <w:rPr>
          <w:rFonts w:asciiTheme="minorBidi" w:hAnsiTheme="minorBidi" w:cstheme="minorBidi"/>
          <w:sz w:val="18"/>
          <w:szCs w:val="18"/>
        </w:rPr>
        <w:t>ante</w:t>
      </w:r>
      <w:r w:rsidR="00BF08A9" w:rsidRPr="008B4BC1">
        <w:rPr>
          <w:rFonts w:asciiTheme="minorBidi" w:hAnsiTheme="minorBidi" w:cstheme="minorBidi"/>
          <w:sz w:val="18"/>
          <w:szCs w:val="18"/>
        </w:rPr>
        <w:t xml:space="preserve"> CO</w:t>
      </w:r>
      <w:r w:rsidR="00C6195E" w:rsidRPr="008B4BC1">
        <w:rPr>
          <w:rFonts w:asciiTheme="minorBidi" w:hAnsiTheme="minorBidi" w:cstheme="minorBidi"/>
          <w:sz w:val="18"/>
          <w:szCs w:val="18"/>
        </w:rPr>
        <w:t>NA</w:t>
      </w:r>
      <w:r w:rsidR="00BF08A9" w:rsidRPr="008B4BC1">
        <w:rPr>
          <w:rFonts w:asciiTheme="minorBidi" w:hAnsiTheme="minorBidi" w:cstheme="minorBidi"/>
          <w:sz w:val="18"/>
          <w:szCs w:val="18"/>
        </w:rPr>
        <w:t>PRED</w:t>
      </w:r>
      <w:r w:rsidR="00C315CE" w:rsidRPr="008B4BC1">
        <w:rPr>
          <w:rFonts w:asciiTheme="minorBidi" w:hAnsiTheme="minorBidi" w:cstheme="minorBidi"/>
          <w:sz w:val="18"/>
          <w:szCs w:val="18"/>
        </w:rPr>
        <w:t>.</w:t>
      </w:r>
      <w:r w:rsidR="002C7B15" w:rsidRPr="008B4BC1">
        <w:rPr>
          <w:rFonts w:asciiTheme="minorBidi" w:hAnsiTheme="minorBidi" w:cstheme="minorBidi"/>
          <w:sz w:val="18"/>
          <w:szCs w:val="18"/>
        </w:rPr>
        <w:t xml:space="preserve"> En dicho asunto </w:t>
      </w:r>
      <w:r w:rsidR="000B282F" w:rsidRPr="008B4BC1">
        <w:rPr>
          <w:rFonts w:asciiTheme="minorBidi" w:hAnsiTheme="minorBidi" w:cstheme="minorBidi"/>
          <w:sz w:val="18"/>
          <w:szCs w:val="18"/>
        </w:rPr>
        <w:t>no estudiamos</w:t>
      </w:r>
      <w:r w:rsidR="002C7B15" w:rsidRPr="008B4BC1">
        <w:rPr>
          <w:rFonts w:asciiTheme="minorBidi" w:hAnsiTheme="minorBidi" w:cstheme="minorBidi"/>
          <w:sz w:val="18"/>
          <w:szCs w:val="18"/>
        </w:rPr>
        <w:t xml:space="preserve"> frontalmente el tema que aquí se nos presenta</w:t>
      </w:r>
      <w:r w:rsidR="00FB5E87">
        <w:rPr>
          <w:rFonts w:asciiTheme="minorBidi" w:hAnsiTheme="minorBidi" w:cstheme="minorBidi"/>
          <w:sz w:val="18"/>
          <w:szCs w:val="18"/>
        </w:rPr>
        <w:t xml:space="preserve">, pues </w:t>
      </w:r>
      <w:r w:rsidR="00D03609">
        <w:rPr>
          <w:rFonts w:asciiTheme="minorBidi" w:hAnsiTheme="minorBidi" w:cstheme="minorBidi"/>
          <w:sz w:val="18"/>
          <w:szCs w:val="18"/>
        </w:rPr>
        <w:t>ahí</w:t>
      </w:r>
      <w:r w:rsidR="00FB5E87">
        <w:rPr>
          <w:rFonts w:asciiTheme="minorBidi" w:hAnsiTheme="minorBidi" w:cstheme="minorBidi"/>
          <w:sz w:val="18"/>
          <w:szCs w:val="18"/>
        </w:rPr>
        <w:t xml:space="preserve"> la</w:t>
      </w:r>
      <w:r w:rsidR="004172A8" w:rsidRPr="008B4BC1">
        <w:rPr>
          <w:rFonts w:asciiTheme="minorBidi" w:hAnsiTheme="minorBidi" w:cstheme="minorBidi"/>
          <w:sz w:val="18"/>
          <w:szCs w:val="18"/>
        </w:rPr>
        <w:t xml:space="preserve"> posibilidad de solicitar la indemnización </w:t>
      </w:r>
      <w:r w:rsidR="00FE2951" w:rsidRPr="008B4BC1">
        <w:rPr>
          <w:rFonts w:asciiTheme="minorBidi" w:hAnsiTheme="minorBidi" w:cstheme="minorBidi"/>
          <w:sz w:val="18"/>
          <w:szCs w:val="18"/>
        </w:rPr>
        <w:t>en el</w:t>
      </w:r>
      <w:r w:rsidR="00D150C5" w:rsidRPr="008B4BC1">
        <w:rPr>
          <w:rFonts w:asciiTheme="minorBidi" w:hAnsiTheme="minorBidi" w:cstheme="minorBidi"/>
          <w:sz w:val="18"/>
          <w:szCs w:val="18"/>
        </w:rPr>
        <w:t xml:space="preserve"> </w:t>
      </w:r>
      <w:r w:rsidR="004172A8" w:rsidRPr="008B4BC1">
        <w:rPr>
          <w:rFonts w:asciiTheme="minorBidi" w:hAnsiTheme="minorBidi" w:cstheme="minorBidi"/>
          <w:sz w:val="18"/>
          <w:szCs w:val="18"/>
        </w:rPr>
        <w:t>juicio civil</w:t>
      </w:r>
      <w:r w:rsidR="005217BC">
        <w:rPr>
          <w:rFonts w:asciiTheme="minorBidi" w:hAnsiTheme="minorBidi" w:cstheme="minorBidi"/>
          <w:sz w:val="18"/>
          <w:szCs w:val="18"/>
        </w:rPr>
        <w:t>,</w:t>
      </w:r>
      <w:r w:rsidR="001C1C12">
        <w:rPr>
          <w:rFonts w:asciiTheme="minorBidi" w:hAnsiTheme="minorBidi" w:cstheme="minorBidi"/>
          <w:sz w:val="18"/>
          <w:szCs w:val="18"/>
        </w:rPr>
        <w:t xml:space="preserve"> a pesar de la conciliación</w:t>
      </w:r>
      <w:r w:rsidR="005217BC">
        <w:rPr>
          <w:rFonts w:asciiTheme="minorBidi" w:hAnsiTheme="minorBidi" w:cstheme="minorBidi"/>
          <w:sz w:val="18"/>
          <w:szCs w:val="18"/>
        </w:rPr>
        <w:t>,</w:t>
      </w:r>
      <w:r w:rsidR="00DA3BE4">
        <w:rPr>
          <w:rFonts w:asciiTheme="minorBidi" w:hAnsiTheme="minorBidi" w:cstheme="minorBidi"/>
          <w:sz w:val="18"/>
          <w:szCs w:val="18"/>
        </w:rPr>
        <w:t xml:space="preserve"> </w:t>
      </w:r>
      <w:r w:rsidR="000C0386" w:rsidRPr="008B4BC1">
        <w:rPr>
          <w:rFonts w:asciiTheme="minorBidi" w:hAnsiTheme="minorBidi" w:cstheme="minorBidi"/>
          <w:sz w:val="18"/>
          <w:szCs w:val="18"/>
        </w:rPr>
        <w:t>había quedado firme</w:t>
      </w:r>
      <w:r w:rsidR="007E5A00" w:rsidRPr="008B4BC1">
        <w:rPr>
          <w:rFonts w:asciiTheme="minorBidi" w:hAnsiTheme="minorBidi" w:cstheme="minorBidi"/>
          <w:sz w:val="18"/>
          <w:szCs w:val="18"/>
        </w:rPr>
        <w:t xml:space="preserve"> </w:t>
      </w:r>
      <w:r w:rsidR="008418A3">
        <w:rPr>
          <w:rFonts w:asciiTheme="minorBidi" w:hAnsiTheme="minorBidi" w:cstheme="minorBidi"/>
          <w:sz w:val="18"/>
          <w:szCs w:val="18"/>
        </w:rPr>
        <w:t xml:space="preserve">en un amparo previo </w:t>
      </w:r>
      <w:r w:rsidR="007E5A00" w:rsidRPr="008B4BC1">
        <w:rPr>
          <w:rFonts w:asciiTheme="minorBidi" w:hAnsiTheme="minorBidi" w:cstheme="minorBidi"/>
          <w:sz w:val="18"/>
          <w:szCs w:val="18"/>
        </w:rPr>
        <w:t>(</w:t>
      </w:r>
      <w:r w:rsidR="003F01D0" w:rsidRPr="008B4BC1">
        <w:rPr>
          <w:rFonts w:asciiTheme="minorBidi" w:hAnsiTheme="minorBidi" w:cstheme="minorBidi"/>
          <w:sz w:val="18"/>
          <w:szCs w:val="18"/>
        </w:rPr>
        <w:t>párr</w:t>
      </w:r>
      <w:r w:rsidR="007E5A00" w:rsidRPr="008B4BC1">
        <w:rPr>
          <w:rFonts w:asciiTheme="minorBidi" w:hAnsiTheme="minorBidi" w:cstheme="minorBidi"/>
          <w:sz w:val="18"/>
          <w:szCs w:val="18"/>
        </w:rPr>
        <w:t>.</w:t>
      </w:r>
      <w:r w:rsidR="003F01D0" w:rsidRPr="008B4BC1">
        <w:rPr>
          <w:rFonts w:asciiTheme="minorBidi" w:hAnsiTheme="minorBidi" w:cstheme="minorBidi"/>
          <w:sz w:val="18"/>
          <w:szCs w:val="18"/>
        </w:rPr>
        <w:t xml:space="preserve"> </w:t>
      </w:r>
      <w:r w:rsidR="00423D1A" w:rsidRPr="008B4BC1">
        <w:rPr>
          <w:rFonts w:asciiTheme="minorBidi" w:hAnsiTheme="minorBidi" w:cstheme="minorBidi"/>
          <w:sz w:val="18"/>
          <w:szCs w:val="18"/>
        </w:rPr>
        <w:t>191</w:t>
      </w:r>
      <w:r w:rsidR="007E5A00" w:rsidRPr="008B4BC1">
        <w:rPr>
          <w:rFonts w:asciiTheme="minorBidi" w:hAnsiTheme="minorBidi" w:cstheme="minorBidi"/>
          <w:sz w:val="18"/>
          <w:szCs w:val="18"/>
        </w:rPr>
        <w:t>)</w:t>
      </w:r>
      <w:r w:rsidR="0015168A">
        <w:rPr>
          <w:rFonts w:asciiTheme="minorBidi" w:hAnsiTheme="minorBidi" w:cstheme="minorBidi"/>
          <w:sz w:val="18"/>
          <w:szCs w:val="18"/>
        </w:rPr>
        <w:t>. L</w:t>
      </w:r>
      <w:r w:rsidR="001D04DF" w:rsidRPr="008B4BC1">
        <w:rPr>
          <w:rFonts w:asciiTheme="minorBidi" w:hAnsiTheme="minorBidi" w:cstheme="minorBidi"/>
          <w:sz w:val="18"/>
          <w:szCs w:val="18"/>
        </w:rPr>
        <w:t xml:space="preserve">a litis consistía </w:t>
      </w:r>
      <w:r w:rsidR="00BA4FE8">
        <w:rPr>
          <w:rFonts w:asciiTheme="minorBidi" w:hAnsiTheme="minorBidi" w:cstheme="minorBidi"/>
          <w:sz w:val="18"/>
          <w:szCs w:val="18"/>
        </w:rPr>
        <w:t xml:space="preserve">únicamente </w:t>
      </w:r>
      <w:r w:rsidR="001D04DF" w:rsidRPr="008B4BC1">
        <w:rPr>
          <w:rFonts w:asciiTheme="minorBidi" w:hAnsiTheme="minorBidi" w:cstheme="minorBidi"/>
          <w:sz w:val="18"/>
          <w:szCs w:val="18"/>
        </w:rPr>
        <w:t xml:space="preserve">en determinar </w:t>
      </w:r>
      <w:r w:rsidR="00671234">
        <w:rPr>
          <w:rFonts w:asciiTheme="minorBidi" w:hAnsiTheme="minorBidi" w:cstheme="minorBidi"/>
          <w:sz w:val="18"/>
          <w:szCs w:val="18"/>
        </w:rPr>
        <w:t xml:space="preserve">si la </w:t>
      </w:r>
      <w:r w:rsidR="001D04DF" w:rsidRPr="008B4BC1">
        <w:rPr>
          <w:rFonts w:asciiTheme="minorBidi" w:hAnsiTheme="minorBidi" w:cstheme="minorBidi"/>
          <w:sz w:val="18"/>
          <w:szCs w:val="18"/>
        </w:rPr>
        <w:t xml:space="preserve">quejosa </w:t>
      </w:r>
      <w:r w:rsidR="00671234">
        <w:rPr>
          <w:rFonts w:asciiTheme="minorBidi" w:hAnsiTheme="minorBidi" w:cstheme="minorBidi"/>
          <w:sz w:val="18"/>
          <w:szCs w:val="18"/>
        </w:rPr>
        <w:t>debía</w:t>
      </w:r>
      <w:r w:rsidR="00806A26">
        <w:rPr>
          <w:rFonts w:asciiTheme="minorBidi" w:hAnsiTheme="minorBidi" w:cstheme="minorBidi"/>
          <w:sz w:val="18"/>
          <w:szCs w:val="18"/>
        </w:rPr>
        <w:t xml:space="preserve"> acreditar el cumplimiento de</w:t>
      </w:r>
      <w:r w:rsidR="00A94D6B">
        <w:rPr>
          <w:rFonts w:asciiTheme="minorBidi" w:hAnsiTheme="minorBidi" w:cstheme="minorBidi"/>
          <w:sz w:val="18"/>
          <w:szCs w:val="18"/>
        </w:rPr>
        <w:t xml:space="preserve"> los</w:t>
      </w:r>
      <w:r w:rsidR="001D04DF" w:rsidRPr="008B4BC1">
        <w:rPr>
          <w:rFonts w:asciiTheme="minorBidi" w:hAnsiTheme="minorBidi" w:cstheme="minorBidi"/>
          <w:sz w:val="18"/>
          <w:szCs w:val="18"/>
        </w:rPr>
        <w:t xml:space="preserve"> requisitos de la oferta de trabajo para poder reclamar una indemnización por discriminación</w:t>
      </w:r>
      <w:r w:rsidR="008A3B18">
        <w:rPr>
          <w:rFonts w:asciiTheme="minorBidi" w:hAnsiTheme="minorBidi" w:cstheme="minorBidi"/>
          <w:sz w:val="18"/>
          <w:szCs w:val="18"/>
        </w:rPr>
        <w:t>,</w:t>
      </w:r>
      <w:r w:rsidR="008A3B18" w:rsidRPr="008A3B18">
        <w:rPr>
          <w:rFonts w:asciiTheme="minorBidi" w:hAnsiTheme="minorBidi" w:cstheme="minorBidi"/>
          <w:sz w:val="18"/>
          <w:szCs w:val="18"/>
        </w:rPr>
        <w:t xml:space="preserve"> </w:t>
      </w:r>
      <w:r w:rsidR="008A3B18">
        <w:rPr>
          <w:rFonts w:asciiTheme="minorBidi" w:hAnsiTheme="minorBidi" w:cstheme="minorBidi"/>
          <w:sz w:val="18"/>
          <w:szCs w:val="18"/>
        </w:rPr>
        <w:t>por lo que</w:t>
      </w:r>
      <w:r w:rsidR="00A94D6B">
        <w:rPr>
          <w:rFonts w:asciiTheme="minorBidi" w:hAnsiTheme="minorBidi" w:cstheme="minorBidi"/>
          <w:sz w:val="18"/>
          <w:szCs w:val="18"/>
        </w:rPr>
        <w:t xml:space="preserve"> lo resuelto en ese caso</w:t>
      </w:r>
      <w:r w:rsidR="008A3B18">
        <w:rPr>
          <w:rFonts w:asciiTheme="minorBidi" w:hAnsiTheme="minorBidi" w:cstheme="minorBidi"/>
          <w:sz w:val="18"/>
          <w:szCs w:val="18"/>
        </w:rPr>
        <w:t xml:space="preserve"> no afecta lo aquí </w:t>
      </w:r>
      <w:r w:rsidR="00A94D6B">
        <w:rPr>
          <w:rFonts w:asciiTheme="minorBidi" w:hAnsiTheme="minorBidi" w:cstheme="minorBidi"/>
          <w:sz w:val="18"/>
          <w:szCs w:val="18"/>
        </w:rPr>
        <w:t>establecido</w:t>
      </w:r>
      <w:r w:rsidR="00FE2951" w:rsidRPr="008B4BC1">
        <w:rPr>
          <w:rFonts w:asciiTheme="minorBidi" w:hAnsiTheme="minorBidi" w:cstheme="minorBidi"/>
          <w:sz w:val="18"/>
          <w:szCs w:val="18"/>
        </w:rPr>
        <w:t xml:space="preserve">. </w:t>
      </w:r>
      <w:r w:rsidR="001F1379">
        <w:rPr>
          <w:rFonts w:asciiTheme="minorBidi" w:hAnsiTheme="minorBidi" w:cstheme="minorBidi"/>
          <w:sz w:val="18"/>
          <w:szCs w:val="18"/>
        </w:rPr>
        <w:t>Además</w:t>
      </w:r>
      <w:r w:rsidR="00FE2951" w:rsidRPr="008B4BC1">
        <w:rPr>
          <w:rFonts w:asciiTheme="minorBidi" w:hAnsiTheme="minorBidi" w:cstheme="minorBidi"/>
          <w:sz w:val="18"/>
          <w:szCs w:val="18"/>
        </w:rPr>
        <w:t>,</w:t>
      </w:r>
      <w:r w:rsidR="00194F34" w:rsidRPr="008B4BC1">
        <w:rPr>
          <w:rFonts w:asciiTheme="minorBidi" w:hAnsiTheme="minorBidi" w:cstheme="minorBidi"/>
          <w:sz w:val="18"/>
          <w:szCs w:val="18"/>
        </w:rPr>
        <w:t xml:space="preserve"> </w:t>
      </w:r>
      <w:r w:rsidR="00706548" w:rsidRPr="008B4BC1">
        <w:rPr>
          <w:rFonts w:asciiTheme="minorBidi" w:hAnsiTheme="minorBidi" w:cstheme="minorBidi"/>
          <w:sz w:val="18"/>
          <w:szCs w:val="18"/>
        </w:rPr>
        <w:t xml:space="preserve">la óptica bajo la cual el tribunal colegiado </w:t>
      </w:r>
      <w:r w:rsidR="001A6CF6" w:rsidRPr="008B4BC1">
        <w:rPr>
          <w:rFonts w:asciiTheme="minorBidi" w:hAnsiTheme="minorBidi" w:cstheme="minorBidi"/>
          <w:sz w:val="18"/>
          <w:szCs w:val="18"/>
        </w:rPr>
        <w:t xml:space="preserve">y </w:t>
      </w:r>
      <w:r w:rsidR="007D7CC2" w:rsidRPr="008B4BC1">
        <w:rPr>
          <w:rFonts w:asciiTheme="minorBidi" w:hAnsiTheme="minorBidi" w:cstheme="minorBidi"/>
          <w:sz w:val="18"/>
          <w:szCs w:val="18"/>
        </w:rPr>
        <w:t>esta Sala resolvimos</w:t>
      </w:r>
      <w:r w:rsidR="001A6CF6" w:rsidRPr="008B4BC1">
        <w:rPr>
          <w:rFonts w:asciiTheme="minorBidi" w:hAnsiTheme="minorBidi" w:cstheme="minorBidi"/>
          <w:sz w:val="18"/>
          <w:szCs w:val="18"/>
        </w:rPr>
        <w:t xml:space="preserve"> partió</w:t>
      </w:r>
      <w:r w:rsidR="00E80633" w:rsidRPr="008B4BC1">
        <w:rPr>
          <w:rFonts w:asciiTheme="minorBidi" w:hAnsiTheme="minorBidi" w:cstheme="minorBidi"/>
          <w:sz w:val="18"/>
          <w:szCs w:val="18"/>
        </w:rPr>
        <w:t xml:space="preserve"> </w:t>
      </w:r>
      <w:r w:rsidR="00972214" w:rsidRPr="008B4BC1">
        <w:rPr>
          <w:rFonts w:asciiTheme="minorBidi" w:hAnsiTheme="minorBidi" w:cstheme="minorBidi"/>
          <w:sz w:val="18"/>
          <w:szCs w:val="18"/>
        </w:rPr>
        <w:t>de razonamientos distintos a los de</w:t>
      </w:r>
      <w:r w:rsidR="0052213F">
        <w:rPr>
          <w:rFonts w:asciiTheme="minorBidi" w:hAnsiTheme="minorBidi" w:cstheme="minorBidi"/>
          <w:sz w:val="18"/>
          <w:szCs w:val="18"/>
        </w:rPr>
        <w:t xml:space="preserve">l presente juicio de </w:t>
      </w:r>
      <w:r w:rsidR="001E1211" w:rsidRPr="008B4BC1">
        <w:rPr>
          <w:rFonts w:asciiTheme="minorBidi" w:hAnsiTheme="minorBidi" w:cstheme="minorBidi"/>
          <w:sz w:val="18"/>
          <w:szCs w:val="18"/>
        </w:rPr>
        <w:t>amparo</w:t>
      </w:r>
      <w:r w:rsidR="00972214" w:rsidRPr="008B4BC1">
        <w:rPr>
          <w:rFonts w:asciiTheme="minorBidi" w:hAnsiTheme="minorBidi" w:cstheme="minorBidi"/>
          <w:sz w:val="18"/>
          <w:szCs w:val="18"/>
        </w:rPr>
        <w:t xml:space="preserve">. </w:t>
      </w:r>
      <w:r w:rsidR="000B642D" w:rsidRPr="008B4BC1">
        <w:rPr>
          <w:rFonts w:asciiTheme="minorBidi" w:hAnsiTheme="minorBidi" w:cstheme="minorBidi"/>
          <w:sz w:val="18"/>
          <w:szCs w:val="18"/>
        </w:rPr>
        <w:t>En ese caso</w:t>
      </w:r>
      <w:r w:rsidR="000B642D" w:rsidRPr="00E12455">
        <w:rPr>
          <w:rFonts w:asciiTheme="minorBidi" w:hAnsiTheme="minorBidi" w:cstheme="minorBidi"/>
          <w:sz w:val="18"/>
          <w:szCs w:val="18"/>
        </w:rPr>
        <w:t>, p</w:t>
      </w:r>
      <w:r w:rsidR="00CE4405" w:rsidRPr="00E12455">
        <w:rPr>
          <w:rFonts w:asciiTheme="minorBidi" w:hAnsiTheme="minorBidi" w:cstheme="minorBidi"/>
          <w:sz w:val="18"/>
          <w:szCs w:val="18"/>
        </w:rPr>
        <w:t>ara la sala de apelación, no era viable examinar el reclamo de discriminación</w:t>
      </w:r>
      <w:r w:rsidR="00AE07C0" w:rsidRPr="00E12455">
        <w:rPr>
          <w:rFonts w:asciiTheme="minorBidi" w:hAnsiTheme="minorBidi" w:cstheme="minorBidi"/>
          <w:sz w:val="18"/>
          <w:szCs w:val="18"/>
        </w:rPr>
        <w:t>, ya que</w:t>
      </w:r>
      <w:r w:rsidR="00CE4405" w:rsidRPr="00E12455">
        <w:rPr>
          <w:rFonts w:asciiTheme="minorBidi" w:hAnsiTheme="minorBidi" w:cstheme="minorBidi"/>
          <w:sz w:val="18"/>
          <w:szCs w:val="18"/>
        </w:rPr>
        <w:t xml:space="preserve"> la empresa</w:t>
      </w:r>
      <w:r w:rsidR="00AE07C0" w:rsidRPr="00E12455">
        <w:rPr>
          <w:rFonts w:asciiTheme="minorBidi" w:hAnsiTheme="minorBidi" w:cstheme="minorBidi"/>
          <w:sz w:val="18"/>
          <w:szCs w:val="18"/>
        </w:rPr>
        <w:t xml:space="preserve"> </w:t>
      </w:r>
      <w:r w:rsidR="00CE4405" w:rsidRPr="00E12455">
        <w:rPr>
          <w:rFonts w:asciiTheme="minorBidi" w:hAnsiTheme="minorBidi" w:cstheme="minorBidi"/>
          <w:sz w:val="18"/>
          <w:szCs w:val="18"/>
        </w:rPr>
        <w:t xml:space="preserve">había aceptado la postulación de la quejosa </w:t>
      </w:r>
      <w:r w:rsidR="00196F3B" w:rsidRPr="00E12455">
        <w:rPr>
          <w:rFonts w:asciiTheme="minorBidi" w:hAnsiTheme="minorBidi" w:cstheme="minorBidi"/>
          <w:sz w:val="18"/>
          <w:szCs w:val="18"/>
        </w:rPr>
        <w:t>con motivo de la conciliación</w:t>
      </w:r>
      <w:r w:rsidR="00EE7FCA" w:rsidRPr="00E12455">
        <w:rPr>
          <w:rFonts w:asciiTheme="minorBidi" w:hAnsiTheme="minorBidi" w:cstheme="minorBidi"/>
          <w:sz w:val="18"/>
          <w:szCs w:val="18"/>
        </w:rPr>
        <w:t>,</w:t>
      </w:r>
      <w:r w:rsidR="001F1A24" w:rsidRPr="00E12455">
        <w:rPr>
          <w:rFonts w:asciiTheme="minorBidi" w:hAnsiTheme="minorBidi" w:cstheme="minorBidi"/>
          <w:sz w:val="18"/>
          <w:szCs w:val="18"/>
        </w:rPr>
        <w:t xml:space="preserve"> </w:t>
      </w:r>
      <w:r w:rsidR="00CE4405" w:rsidRPr="00E12455">
        <w:rPr>
          <w:rFonts w:asciiTheme="minorBidi" w:hAnsiTheme="minorBidi" w:cstheme="minorBidi"/>
          <w:sz w:val="18"/>
          <w:szCs w:val="18"/>
        </w:rPr>
        <w:t>lo que implicaba una modificación en la situación jurídica que dio origen al conflicto. No obstante, el tribunal de amparo consideró equivocada esta conclusión, argumentando que las obligaciones asumidas por la sociedad mercantil no generaban nuevas situaciones jurídicas que impidieran evaluar si efectivamente existió una violación que diera lugar a daño moral</w:t>
      </w:r>
      <w:r w:rsidR="001A6CF6" w:rsidRPr="00E12455">
        <w:rPr>
          <w:rFonts w:asciiTheme="minorBidi" w:hAnsiTheme="minorBidi" w:cstheme="minorBidi"/>
          <w:sz w:val="18"/>
          <w:szCs w:val="18"/>
        </w:rPr>
        <w:t>.</w:t>
      </w:r>
      <w:r w:rsidR="00B535FD">
        <w:rPr>
          <w:rFonts w:asciiTheme="minorBidi" w:hAnsiTheme="minorBidi" w:cstheme="minorBidi"/>
          <w:sz w:val="18"/>
          <w:szCs w:val="18"/>
        </w:rPr>
        <w:t xml:space="preserve"> </w:t>
      </w:r>
      <w:r w:rsidR="00CE7694">
        <w:rPr>
          <w:rFonts w:asciiTheme="minorBidi" w:hAnsiTheme="minorBidi" w:cstheme="minorBidi"/>
          <w:sz w:val="18"/>
          <w:szCs w:val="18"/>
        </w:rPr>
        <w:t xml:space="preserve">Estas </w:t>
      </w:r>
      <w:r w:rsidR="00773C8D">
        <w:rPr>
          <w:rFonts w:asciiTheme="minorBidi" w:hAnsiTheme="minorBidi" w:cstheme="minorBidi"/>
          <w:sz w:val="18"/>
          <w:szCs w:val="18"/>
        </w:rPr>
        <w:t>determinaciones</w:t>
      </w:r>
      <w:r w:rsidR="00CE7694">
        <w:rPr>
          <w:rFonts w:asciiTheme="minorBidi" w:hAnsiTheme="minorBidi" w:cstheme="minorBidi"/>
          <w:sz w:val="18"/>
          <w:szCs w:val="18"/>
        </w:rPr>
        <w:t xml:space="preserve"> no fueron impugnadas y habían quedado firmes. </w:t>
      </w:r>
      <w:r w:rsidR="00BF08A9" w:rsidRPr="00E12455">
        <w:rPr>
          <w:rFonts w:asciiTheme="minorBidi" w:hAnsiTheme="minorBidi" w:cstheme="minorBidi"/>
          <w:i/>
          <w:iCs/>
          <w:sz w:val="18"/>
          <w:szCs w:val="18"/>
          <w:lang w:val="es-MX"/>
        </w:rPr>
        <w:t>Vid</w:t>
      </w:r>
      <w:r w:rsidR="00BF08A9" w:rsidRPr="00E12455">
        <w:rPr>
          <w:rFonts w:asciiTheme="minorBidi" w:hAnsiTheme="minorBidi" w:cstheme="minorBidi"/>
          <w:sz w:val="18"/>
          <w:szCs w:val="18"/>
          <w:lang w:val="es-MX"/>
        </w:rPr>
        <w:t xml:space="preserve">., el </w:t>
      </w:r>
      <w:r w:rsidR="00BF08A9" w:rsidRPr="00E12455">
        <w:rPr>
          <w:rFonts w:asciiTheme="minorBidi" w:hAnsiTheme="minorBidi" w:cstheme="minorBidi"/>
          <w:sz w:val="18"/>
          <w:szCs w:val="18"/>
        </w:rPr>
        <w:t xml:space="preserve">amparo directo 1387/2012, </w:t>
      </w:r>
      <w:r w:rsidR="00B73B80" w:rsidRPr="00E12455">
        <w:rPr>
          <w:rFonts w:asciiTheme="minorBidi" w:hAnsiTheme="minorBidi" w:cstheme="minorBidi"/>
          <w:sz w:val="18"/>
          <w:szCs w:val="18"/>
        </w:rPr>
        <w:t>resuelto en sesión de 22 de enero de 2014, por mayoría de cuatro votos de los ministros Arturo Zaldívar Lelo de Larrea, José Ramón Cossío Díaz, Alfredo Gutiérrez Ortiz Mena y Olga Sánchez Cordero de García Villegas (ponente), en contra del emitido por el presidente Jorge Mario Pardo Rebolledo, quien se reservó el derecho a formular voto particular. Los ministros José Ramón Cossío Díaz y Arturo Zaldívar Lelo de Larrea, se reservaron el derecho de formular voto concurrente</w:t>
      </w:r>
      <w:r w:rsidR="00E12455" w:rsidRPr="00E12455">
        <w:rPr>
          <w:rFonts w:asciiTheme="minorBidi" w:hAnsiTheme="minorBidi" w:cstheme="minorBidi"/>
          <w:sz w:val="18"/>
          <w:szCs w:val="18"/>
        </w:rPr>
        <w:t>.</w:t>
      </w:r>
    </w:p>
  </w:footnote>
  <w:footnote w:id="133">
    <w:p w14:paraId="39E743C2" w14:textId="5D2846B8" w:rsidR="00881D4C" w:rsidRPr="000A53F8" w:rsidRDefault="00881D4C"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Expediente de COPRED, foja </w:t>
      </w:r>
      <w:r w:rsidR="00331467" w:rsidRPr="000A53F8">
        <w:rPr>
          <w:rFonts w:asciiTheme="minorBidi" w:hAnsiTheme="minorBidi" w:cstheme="minorBidi"/>
          <w:color w:val="000000" w:themeColor="text1"/>
          <w:sz w:val="18"/>
          <w:szCs w:val="18"/>
        </w:rPr>
        <w:t>96.</w:t>
      </w:r>
    </w:p>
  </w:footnote>
  <w:footnote w:id="134">
    <w:p w14:paraId="08FE081F" w14:textId="77777777" w:rsidR="00512AF0" w:rsidRPr="000A53F8" w:rsidRDefault="00512AF0"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Para este Tribunal, puede presumirse la mala fe de las empresas presuntamente responsables, quienes realizaron el convenio de conciliación con el acuerdo de únicamente “revisar” la procedencia de la indemnización.</w:t>
      </w:r>
    </w:p>
  </w:footnote>
  <w:footnote w:id="135">
    <w:p w14:paraId="7EAC33EA" w14:textId="77777777" w:rsidR="0074172B" w:rsidRPr="000A53F8" w:rsidRDefault="0074172B"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Artículo 1924. Los patrones y los dueños de establecimientos mercantiles están obligados a responder de los daños y perjuicios causados por sus obreros o dependientes, en el ejercicio de sus funciones. Esta responsabilidad cesa si demuestran que en la comisión del daño no se les puede imputar ninguna culpa o negligencia.</w:t>
      </w:r>
    </w:p>
  </w:footnote>
  <w:footnote w:id="136">
    <w:p w14:paraId="12B50E84" w14:textId="77777777" w:rsidR="000D0633" w:rsidRPr="000A53F8" w:rsidRDefault="000D0633" w:rsidP="00FD3784">
      <w:pPr>
        <w:tabs>
          <w:tab w:val="left" w:pos="284"/>
          <w:tab w:val="left" w:pos="1622"/>
        </w:tabs>
        <w:jc w:val="both"/>
        <w:rPr>
          <w:rFonts w:asciiTheme="minorBidi" w:hAnsiTheme="minorBidi"/>
          <w:color w:val="000000" w:themeColor="text1"/>
          <w:sz w:val="18"/>
          <w:szCs w:val="18"/>
        </w:rPr>
      </w:pPr>
      <w:r w:rsidRPr="000A53F8">
        <w:rPr>
          <w:rStyle w:val="Refdenotaalpie"/>
          <w:rFonts w:asciiTheme="minorBidi" w:hAnsiTheme="minorBidi"/>
          <w:color w:val="000000" w:themeColor="text1"/>
          <w:sz w:val="18"/>
          <w:szCs w:val="18"/>
        </w:rPr>
        <w:footnoteRef/>
      </w:r>
      <w:r w:rsidRPr="000A53F8">
        <w:rPr>
          <w:rFonts w:asciiTheme="minorBidi" w:hAnsiTheme="minorBidi"/>
          <w:color w:val="000000" w:themeColor="text1"/>
          <w:sz w:val="18"/>
          <w:szCs w:val="18"/>
        </w:rPr>
        <w:t xml:space="preserve"> Juicio ordinario civil 1137/2017, tomo I, fojas 298 y 316.</w:t>
      </w:r>
    </w:p>
  </w:footnote>
  <w:footnote w:id="137">
    <w:p w14:paraId="48222FDC" w14:textId="0EB5DFDB" w:rsidR="006C4B25" w:rsidRPr="000A53F8" w:rsidRDefault="006C4B25" w:rsidP="00FD3784">
      <w:pPr>
        <w:pStyle w:val="Textonotapie"/>
        <w:tabs>
          <w:tab w:val="left" w:pos="284"/>
        </w:tabs>
        <w:jc w:val="both"/>
        <w:rPr>
          <w:rFonts w:asciiTheme="minorBidi" w:hAnsiTheme="minorBidi" w:cstheme="minorBidi"/>
          <w:color w:val="000000" w:themeColor="text1"/>
          <w:sz w:val="18"/>
          <w:szCs w:val="18"/>
          <w:lang w:val="es-ES"/>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Sentencia de apelación 255/2019, fojas 111 y ss.</w:t>
      </w:r>
    </w:p>
  </w:footnote>
  <w:footnote w:id="138">
    <w:p w14:paraId="068CA19C" w14:textId="77777777" w:rsidR="00996C47" w:rsidRPr="000A53F8" w:rsidRDefault="00996C47"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Página 42 de la demanda de amparo.</w:t>
      </w:r>
    </w:p>
  </w:footnote>
  <w:footnote w:id="139">
    <w:p w14:paraId="13A8451E" w14:textId="7EB4E20D" w:rsidR="00100F21" w:rsidRPr="000A53F8" w:rsidRDefault="00100F21" w:rsidP="00FD3784">
      <w:pPr>
        <w:pStyle w:val="Textonotapie"/>
        <w:tabs>
          <w:tab w:val="left" w:pos="284"/>
        </w:tabs>
        <w:jc w:val="both"/>
        <w:rPr>
          <w:rFonts w:asciiTheme="minorBidi" w:hAnsiTheme="minorBidi" w:cstheme="minorBidi"/>
          <w:sz w:val="18"/>
          <w:szCs w:val="18"/>
        </w:rPr>
      </w:pPr>
      <w:r w:rsidRPr="000A53F8">
        <w:rPr>
          <w:rStyle w:val="Refdenotaalpie"/>
          <w:rFonts w:asciiTheme="minorBidi" w:hAnsiTheme="minorBidi" w:cstheme="minorBidi"/>
          <w:sz w:val="18"/>
          <w:szCs w:val="18"/>
        </w:rPr>
        <w:footnoteRef/>
      </w:r>
      <w:r w:rsidRPr="000A53F8">
        <w:rPr>
          <w:rFonts w:asciiTheme="minorBidi" w:hAnsiTheme="minorBidi" w:cstheme="minorBidi"/>
          <w:sz w:val="18"/>
          <w:szCs w:val="18"/>
        </w:rPr>
        <w:t xml:space="preserve"> Hecho</w:t>
      </w:r>
      <w:r w:rsidR="00810506" w:rsidRPr="000A53F8">
        <w:rPr>
          <w:rFonts w:asciiTheme="minorBidi" w:hAnsiTheme="minorBidi" w:cstheme="minorBidi"/>
          <w:sz w:val="18"/>
          <w:szCs w:val="18"/>
        </w:rPr>
        <w:t>s</w:t>
      </w:r>
      <w:r w:rsidRPr="000A53F8">
        <w:rPr>
          <w:rFonts w:asciiTheme="minorBidi" w:hAnsiTheme="minorBidi" w:cstheme="minorBidi"/>
          <w:sz w:val="18"/>
          <w:szCs w:val="18"/>
        </w:rPr>
        <w:t xml:space="preserve"> 14 </w:t>
      </w:r>
      <w:r w:rsidR="00810506" w:rsidRPr="000A53F8">
        <w:rPr>
          <w:rFonts w:asciiTheme="minorBidi" w:hAnsiTheme="minorBidi" w:cstheme="minorBidi"/>
          <w:sz w:val="18"/>
          <w:szCs w:val="18"/>
        </w:rPr>
        <w:t xml:space="preserve">y 15 </w:t>
      </w:r>
      <w:r w:rsidRPr="000A53F8">
        <w:rPr>
          <w:rFonts w:asciiTheme="minorBidi" w:hAnsiTheme="minorBidi" w:cstheme="minorBidi"/>
          <w:sz w:val="18"/>
          <w:szCs w:val="18"/>
        </w:rPr>
        <w:t xml:space="preserve">de la demanda civil inicial. </w:t>
      </w:r>
    </w:p>
  </w:footnote>
  <w:footnote w:id="140">
    <w:p w14:paraId="09BFE112" w14:textId="36BDB0A6" w:rsidR="00EB4124" w:rsidRPr="000A53F8" w:rsidRDefault="00EB4124" w:rsidP="00FD3784">
      <w:pPr>
        <w:pStyle w:val="Textonotapie"/>
        <w:tabs>
          <w:tab w:val="left" w:pos="284"/>
        </w:tabs>
        <w:jc w:val="both"/>
        <w:rPr>
          <w:rFonts w:asciiTheme="minorBidi" w:hAnsiTheme="minorBidi" w:cstheme="minorBidi"/>
          <w:sz w:val="18"/>
          <w:szCs w:val="18"/>
        </w:rPr>
      </w:pPr>
      <w:r w:rsidRPr="000A53F8">
        <w:rPr>
          <w:rStyle w:val="Refdenotaalpie"/>
          <w:rFonts w:asciiTheme="minorBidi" w:hAnsiTheme="minorBidi" w:cstheme="minorBidi"/>
          <w:sz w:val="18"/>
          <w:szCs w:val="18"/>
        </w:rPr>
        <w:footnoteRef/>
      </w:r>
      <w:r w:rsidRPr="000A53F8">
        <w:rPr>
          <w:rFonts w:asciiTheme="minorBidi" w:hAnsiTheme="minorBidi" w:cstheme="minorBidi"/>
          <w:sz w:val="18"/>
          <w:szCs w:val="18"/>
        </w:rPr>
        <w:t xml:space="preserve"> Resuelto en sesión de </w:t>
      </w:r>
      <w:r w:rsidR="000764D4" w:rsidRPr="000A53F8">
        <w:rPr>
          <w:rFonts w:asciiTheme="minorBidi" w:hAnsiTheme="minorBidi" w:cstheme="minorBidi"/>
          <w:sz w:val="18"/>
          <w:szCs w:val="18"/>
        </w:rPr>
        <w:t>22</w:t>
      </w:r>
      <w:r w:rsidRPr="000A53F8">
        <w:rPr>
          <w:rFonts w:asciiTheme="minorBidi" w:hAnsiTheme="minorBidi" w:cstheme="minorBidi"/>
          <w:sz w:val="18"/>
          <w:szCs w:val="18"/>
        </w:rPr>
        <w:t xml:space="preserve"> de junio de </w:t>
      </w:r>
      <w:r w:rsidR="000764D4" w:rsidRPr="000A53F8">
        <w:rPr>
          <w:rFonts w:asciiTheme="minorBidi" w:hAnsiTheme="minorBidi" w:cstheme="minorBidi"/>
          <w:sz w:val="18"/>
          <w:szCs w:val="18"/>
        </w:rPr>
        <w:t>2022</w:t>
      </w:r>
      <w:r w:rsidRPr="000A53F8">
        <w:rPr>
          <w:rFonts w:asciiTheme="minorBidi" w:hAnsiTheme="minorBidi" w:cstheme="minorBidi"/>
          <w:sz w:val="18"/>
          <w:szCs w:val="18"/>
        </w:rPr>
        <w:t xml:space="preserve">, </w:t>
      </w:r>
      <w:r w:rsidR="00747894" w:rsidRPr="000A53F8">
        <w:rPr>
          <w:rFonts w:asciiTheme="minorBidi" w:hAnsiTheme="minorBidi" w:cstheme="minorBidi"/>
          <w:sz w:val="18"/>
          <w:szCs w:val="18"/>
        </w:rPr>
        <w:t>por unanimidad de cinco votos de la ministra Norma Lucía Piña Hernández (ponente) y los ministros Juan Luis González Alcántara Carrancá, Jorge Mario Pardo Rebolledo, quien se reserva el derecho de formular voto aclaratorio y se separa de los párrafos cien al ciento dos, y Alfredo Gutiérrez Ortiz Mena, y la ministra presidenta Ana Margarita Ríos Farjat.</w:t>
      </w:r>
    </w:p>
  </w:footnote>
  <w:footnote w:id="141">
    <w:p w14:paraId="6F830DD1" w14:textId="5EF9C28D" w:rsidR="0021327F" w:rsidRPr="000A53F8" w:rsidRDefault="0021327F" w:rsidP="00FD3784">
      <w:pPr>
        <w:pStyle w:val="Textonotapie"/>
        <w:jc w:val="both"/>
        <w:rPr>
          <w:rFonts w:asciiTheme="minorBidi" w:hAnsiTheme="minorBidi" w:cstheme="minorBidi"/>
          <w:sz w:val="18"/>
          <w:szCs w:val="18"/>
        </w:rPr>
      </w:pPr>
      <w:r w:rsidRPr="000A53F8">
        <w:rPr>
          <w:rStyle w:val="Refdenotaalpie"/>
          <w:rFonts w:asciiTheme="minorBidi" w:hAnsiTheme="minorBidi" w:cstheme="minorBidi"/>
          <w:sz w:val="18"/>
          <w:szCs w:val="18"/>
        </w:rPr>
        <w:footnoteRef/>
      </w:r>
      <w:r w:rsidRPr="000A53F8">
        <w:rPr>
          <w:rFonts w:asciiTheme="minorBidi" w:hAnsiTheme="minorBidi" w:cstheme="minorBidi"/>
          <w:sz w:val="18"/>
          <w:szCs w:val="18"/>
        </w:rPr>
        <w:t xml:space="preserve"> </w:t>
      </w:r>
      <w:r w:rsidR="00F75A24" w:rsidRPr="000A53F8">
        <w:rPr>
          <w:rFonts w:asciiTheme="minorBidi" w:hAnsiTheme="minorBidi" w:cstheme="minorBidi"/>
          <w:sz w:val="18"/>
          <w:szCs w:val="18"/>
        </w:rPr>
        <w:t xml:space="preserve">Resuelto en sesión de 25 de enero de 2023, </w:t>
      </w:r>
      <w:r w:rsidR="00BF7B55" w:rsidRPr="000A53F8">
        <w:rPr>
          <w:rFonts w:asciiTheme="minorBidi" w:hAnsiTheme="minorBidi" w:cstheme="minorBidi"/>
          <w:sz w:val="18"/>
          <w:szCs w:val="18"/>
        </w:rPr>
        <w:t xml:space="preserve">por unanimidad de cinco votos de los Ministros Arturo Zaldívar Lelo de Larrea, quien se reservó su derecho a formular voto concurrente, Juan Luis González Alcántara Carrancá, la Ministra Ana Margarita Ríos Farjat (Ponente), Ministro Alfredo Gutiérrez Ortiz Mena, y Ministro Presidente Jorge Mario Pardo Rebolledo, quien se reservó su derecho a formular voto concurrente. </w:t>
      </w:r>
    </w:p>
  </w:footnote>
  <w:footnote w:id="142">
    <w:p w14:paraId="291C8F6E" w14:textId="2C098986" w:rsidR="00B947AB" w:rsidRPr="000A53F8" w:rsidRDefault="00B947AB" w:rsidP="00FD3784">
      <w:pPr>
        <w:pStyle w:val="Textonotapie"/>
        <w:tabs>
          <w:tab w:val="left" w:pos="284"/>
        </w:tabs>
        <w:jc w:val="both"/>
        <w:rPr>
          <w:rFonts w:asciiTheme="minorBidi" w:hAnsiTheme="minorBidi" w:cstheme="minorBidi"/>
          <w:sz w:val="18"/>
          <w:szCs w:val="18"/>
        </w:rPr>
      </w:pPr>
      <w:r w:rsidRPr="000A53F8">
        <w:rPr>
          <w:rStyle w:val="Refdenotaalpie"/>
          <w:rFonts w:asciiTheme="minorBidi" w:hAnsiTheme="minorBidi" w:cstheme="minorBidi"/>
          <w:sz w:val="18"/>
          <w:szCs w:val="18"/>
        </w:rPr>
        <w:footnoteRef/>
      </w:r>
      <w:r w:rsidRPr="000A53F8">
        <w:rPr>
          <w:rFonts w:asciiTheme="minorBidi" w:hAnsiTheme="minorBidi" w:cstheme="minorBidi"/>
          <w:sz w:val="18"/>
          <w:szCs w:val="18"/>
        </w:rPr>
        <w:t xml:space="preserve"> Resueltos en sesión de </w:t>
      </w:r>
      <w:r w:rsidR="00251EBF" w:rsidRPr="000A53F8">
        <w:rPr>
          <w:rFonts w:asciiTheme="minorBidi" w:hAnsiTheme="minorBidi" w:cstheme="minorBidi"/>
          <w:sz w:val="18"/>
          <w:szCs w:val="18"/>
        </w:rPr>
        <w:t>26</w:t>
      </w:r>
      <w:r w:rsidRPr="000A53F8">
        <w:rPr>
          <w:rFonts w:asciiTheme="minorBidi" w:hAnsiTheme="minorBidi" w:cstheme="minorBidi"/>
          <w:sz w:val="18"/>
          <w:szCs w:val="18"/>
        </w:rPr>
        <w:t xml:space="preserve"> de febrero de </w:t>
      </w:r>
      <w:r w:rsidR="00251EBF" w:rsidRPr="000A53F8">
        <w:rPr>
          <w:rFonts w:asciiTheme="minorBidi" w:hAnsiTheme="minorBidi" w:cstheme="minorBidi"/>
          <w:sz w:val="18"/>
          <w:szCs w:val="18"/>
        </w:rPr>
        <w:t>2014</w:t>
      </w:r>
      <w:r w:rsidRPr="000A53F8">
        <w:rPr>
          <w:rFonts w:asciiTheme="minorBidi" w:hAnsiTheme="minorBidi" w:cstheme="minorBidi"/>
          <w:sz w:val="18"/>
          <w:szCs w:val="18"/>
        </w:rPr>
        <w:t xml:space="preserve">, bajo la ponencia del Ministro Arturo Zaldívar Lelo de Larrea. </w:t>
      </w:r>
    </w:p>
    <w:p w14:paraId="590CC4B6" w14:textId="6FB2ADAC" w:rsidR="00B947AB" w:rsidRPr="000A53F8" w:rsidRDefault="00B947AB" w:rsidP="00FD3784">
      <w:pPr>
        <w:pStyle w:val="Textonotapie"/>
        <w:tabs>
          <w:tab w:val="left" w:pos="284"/>
        </w:tabs>
        <w:jc w:val="both"/>
        <w:rPr>
          <w:rFonts w:asciiTheme="minorBidi" w:hAnsiTheme="minorBidi" w:cstheme="minorBidi"/>
          <w:sz w:val="18"/>
          <w:szCs w:val="18"/>
          <w:lang w:val="es-ES_tradnl"/>
        </w:rPr>
      </w:pPr>
      <w:r w:rsidRPr="000A53F8">
        <w:rPr>
          <w:rFonts w:asciiTheme="minorBidi" w:hAnsiTheme="minorBidi" w:cstheme="minorBidi"/>
          <w:sz w:val="18"/>
          <w:szCs w:val="18"/>
        </w:rPr>
        <w:t xml:space="preserve">El amparo directo 30/2013 fue aprobado por unanimidad de cinco votos de </w:t>
      </w:r>
      <w:r w:rsidRPr="000A53F8">
        <w:rPr>
          <w:rFonts w:asciiTheme="minorBidi" w:hAnsiTheme="minorBidi" w:cstheme="minorBidi"/>
          <w:sz w:val="18"/>
          <w:szCs w:val="18"/>
          <w:lang w:val="es-ES_tradnl"/>
        </w:rPr>
        <w:t xml:space="preserve">los </w:t>
      </w:r>
      <w:r w:rsidR="00A77D8A" w:rsidRPr="000A53F8">
        <w:rPr>
          <w:rFonts w:asciiTheme="minorBidi" w:hAnsiTheme="minorBidi" w:cstheme="minorBidi"/>
          <w:sz w:val="18"/>
          <w:szCs w:val="18"/>
          <w:lang w:val="es-ES_tradnl"/>
        </w:rPr>
        <w:t>m</w:t>
      </w:r>
      <w:r w:rsidRPr="000A53F8">
        <w:rPr>
          <w:rFonts w:asciiTheme="minorBidi" w:hAnsiTheme="minorBidi" w:cstheme="minorBidi"/>
          <w:sz w:val="18"/>
          <w:szCs w:val="18"/>
          <w:lang w:val="es-ES_tradnl"/>
        </w:rPr>
        <w:t>inistros Arturo Zaldívar Lelo de Larrea (</w:t>
      </w:r>
      <w:r w:rsidR="00A77D8A" w:rsidRPr="000A53F8">
        <w:rPr>
          <w:rFonts w:asciiTheme="minorBidi" w:hAnsiTheme="minorBidi" w:cstheme="minorBidi"/>
          <w:sz w:val="18"/>
          <w:szCs w:val="18"/>
          <w:lang w:val="es-ES_tradnl"/>
        </w:rPr>
        <w:t>p</w:t>
      </w:r>
      <w:r w:rsidRPr="000A53F8">
        <w:rPr>
          <w:rFonts w:asciiTheme="minorBidi" w:hAnsiTheme="minorBidi" w:cstheme="minorBidi"/>
          <w:sz w:val="18"/>
          <w:szCs w:val="18"/>
          <w:lang w:val="es-ES_tradnl"/>
        </w:rPr>
        <w:t>onente), José Ramón Cossío Díaz, quien se reservó su derecho a formular voto concurrente, Alfredo Gutiérrez Ortiz Mena, Olga Sánchez Cordero de García Villegas y Jorge Mario Pardo Rebolledo, quien se reservó su derecho a formular voto concurrente.</w:t>
      </w:r>
      <w:r w:rsidR="00A77D8A" w:rsidRPr="000A53F8">
        <w:rPr>
          <w:rFonts w:asciiTheme="minorBidi" w:hAnsiTheme="minorBidi" w:cstheme="minorBidi"/>
          <w:sz w:val="18"/>
          <w:szCs w:val="18"/>
          <w:lang w:val="es-ES_tradnl"/>
        </w:rPr>
        <w:t xml:space="preserve"> </w:t>
      </w:r>
      <w:r w:rsidRPr="000A53F8">
        <w:rPr>
          <w:rFonts w:asciiTheme="minorBidi" w:hAnsiTheme="minorBidi" w:cstheme="minorBidi"/>
          <w:sz w:val="18"/>
          <w:szCs w:val="18"/>
          <w:lang w:val="es-ES_tradnl"/>
        </w:rPr>
        <w:t xml:space="preserve">El amparo directo 31/2013 fue aprobado por mayoría de cuatro votos, en contra del emitido por el </w:t>
      </w:r>
      <w:r w:rsidR="00A77D8A" w:rsidRPr="000A53F8">
        <w:rPr>
          <w:rFonts w:asciiTheme="minorBidi" w:hAnsiTheme="minorBidi" w:cstheme="minorBidi"/>
          <w:sz w:val="18"/>
          <w:szCs w:val="18"/>
          <w:lang w:val="es-ES_tradnl"/>
        </w:rPr>
        <w:t>m</w:t>
      </w:r>
      <w:r w:rsidRPr="000A53F8">
        <w:rPr>
          <w:rFonts w:asciiTheme="minorBidi" w:hAnsiTheme="minorBidi" w:cstheme="minorBidi"/>
          <w:sz w:val="18"/>
          <w:szCs w:val="18"/>
          <w:lang w:val="es-ES_tradnl"/>
        </w:rPr>
        <w:t xml:space="preserve">inistro Jorge Mario Pardo Rebolledo, quien se reservó su derecho a formular voto particular. </w:t>
      </w:r>
    </w:p>
  </w:footnote>
  <w:footnote w:id="143">
    <w:p w14:paraId="579C339A" w14:textId="31B371DF" w:rsidR="0036241C" w:rsidRPr="000A53F8" w:rsidRDefault="0036241C" w:rsidP="00FD3784">
      <w:pPr>
        <w:pStyle w:val="Textonotapie"/>
        <w:jc w:val="both"/>
        <w:rPr>
          <w:rFonts w:asciiTheme="minorBidi" w:hAnsiTheme="minorBidi" w:cstheme="minorBidi"/>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00456419" w:rsidRPr="000A53F8">
        <w:rPr>
          <w:rFonts w:asciiTheme="minorBidi" w:hAnsiTheme="minorBidi" w:cstheme="minorBidi"/>
          <w:color w:val="000000" w:themeColor="text1"/>
          <w:sz w:val="18"/>
          <w:szCs w:val="18"/>
        </w:rPr>
        <w:t>Reconocemos que</w:t>
      </w:r>
      <w:r w:rsidR="00C91D02" w:rsidRPr="000A53F8">
        <w:rPr>
          <w:rFonts w:asciiTheme="minorBidi" w:hAnsiTheme="minorBidi" w:cstheme="minorBidi"/>
          <w:color w:val="000000" w:themeColor="text1"/>
          <w:sz w:val="18"/>
          <w:szCs w:val="18"/>
        </w:rPr>
        <w:t>,</w:t>
      </w:r>
      <w:r w:rsidR="00456419" w:rsidRPr="000A53F8">
        <w:rPr>
          <w:rFonts w:asciiTheme="minorBidi" w:hAnsiTheme="minorBidi" w:cstheme="minorBidi"/>
          <w:color w:val="000000" w:themeColor="text1"/>
          <w:sz w:val="18"/>
          <w:szCs w:val="18"/>
        </w:rPr>
        <w:t xml:space="preserve"> en </w:t>
      </w:r>
      <w:r w:rsidR="00C91D02" w:rsidRPr="000A53F8">
        <w:rPr>
          <w:rFonts w:asciiTheme="minorBidi" w:hAnsiTheme="minorBidi" w:cstheme="minorBidi"/>
          <w:color w:val="000000" w:themeColor="text1"/>
          <w:sz w:val="18"/>
          <w:szCs w:val="18"/>
        </w:rPr>
        <w:t xml:space="preserve">el </w:t>
      </w:r>
      <w:r w:rsidR="00456419" w:rsidRPr="000A53F8">
        <w:rPr>
          <w:rFonts w:asciiTheme="minorBidi" w:hAnsiTheme="minorBidi" w:cstheme="minorBidi"/>
          <w:color w:val="000000" w:themeColor="text1"/>
          <w:sz w:val="18"/>
          <w:szCs w:val="18"/>
        </w:rPr>
        <w:t>derecho comparado</w:t>
      </w:r>
      <w:r w:rsidR="00C91D02" w:rsidRPr="000A53F8">
        <w:rPr>
          <w:rFonts w:asciiTheme="minorBidi" w:hAnsiTheme="minorBidi" w:cstheme="minorBidi"/>
          <w:color w:val="000000" w:themeColor="text1"/>
          <w:sz w:val="18"/>
          <w:szCs w:val="18"/>
        </w:rPr>
        <w:t>,</w:t>
      </w:r>
      <w:r w:rsidR="00456419" w:rsidRPr="000A53F8">
        <w:rPr>
          <w:rFonts w:asciiTheme="minorBidi" w:hAnsiTheme="minorBidi" w:cstheme="minorBidi"/>
          <w:color w:val="000000" w:themeColor="text1"/>
          <w:sz w:val="18"/>
          <w:szCs w:val="18"/>
        </w:rPr>
        <w:t xml:space="preserve"> el daño punitivo puede tener un fundamento </w:t>
      </w:r>
      <w:r w:rsidR="00567D4D" w:rsidRPr="000A53F8">
        <w:rPr>
          <w:rFonts w:asciiTheme="minorBidi" w:hAnsiTheme="minorBidi" w:cstheme="minorBidi"/>
          <w:color w:val="000000" w:themeColor="text1"/>
          <w:sz w:val="18"/>
          <w:szCs w:val="18"/>
        </w:rPr>
        <w:t xml:space="preserve">y sentido </w:t>
      </w:r>
      <w:r w:rsidR="00456419" w:rsidRPr="000A53F8">
        <w:rPr>
          <w:rFonts w:asciiTheme="minorBidi" w:hAnsiTheme="minorBidi" w:cstheme="minorBidi"/>
          <w:color w:val="000000" w:themeColor="text1"/>
          <w:sz w:val="18"/>
          <w:szCs w:val="18"/>
        </w:rPr>
        <w:t>distinto del que califica el daño moral</w:t>
      </w:r>
      <w:r w:rsidR="00946334" w:rsidRPr="000A53F8">
        <w:rPr>
          <w:rFonts w:asciiTheme="minorBidi" w:hAnsiTheme="minorBidi" w:cstheme="minorBidi"/>
          <w:color w:val="000000" w:themeColor="text1"/>
          <w:sz w:val="18"/>
          <w:szCs w:val="18"/>
        </w:rPr>
        <w:t>. S</w:t>
      </w:r>
      <w:r w:rsidR="00456419" w:rsidRPr="000A53F8">
        <w:rPr>
          <w:rFonts w:asciiTheme="minorBidi" w:hAnsiTheme="minorBidi" w:cstheme="minorBidi"/>
          <w:color w:val="000000" w:themeColor="text1"/>
          <w:sz w:val="18"/>
          <w:szCs w:val="18"/>
        </w:rPr>
        <w:t>in embargo, bajo la regulación actual</w:t>
      </w:r>
      <w:r w:rsidR="007168D9" w:rsidRPr="000A53F8">
        <w:rPr>
          <w:rFonts w:asciiTheme="minorBidi" w:hAnsiTheme="minorBidi" w:cstheme="minorBidi"/>
          <w:color w:val="000000" w:themeColor="text1"/>
          <w:sz w:val="18"/>
          <w:szCs w:val="18"/>
        </w:rPr>
        <w:t xml:space="preserve"> </w:t>
      </w:r>
      <w:r w:rsidR="00567D4D" w:rsidRPr="000A53F8">
        <w:rPr>
          <w:rFonts w:asciiTheme="minorBidi" w:hAnsiTheme="minorBidi" w:cstheme="minorBidi"/>
          <w:color w:val="000000" w:themeColor="text1"/>
          <w:sz w:val="18"/>
          <w:szCs w:val="18"/>
        </w:rPr>
        <w:t xml:space="preserve">en los códigos civiles, </w:t>
      </w:r>
      <w:r w:rsidR="007168D9" w:rsidRPr="000A53F8">
        <w:rPr>
          <w:rFonts w:asciiTheme="minorBidi" w:hAnsiTheme="minorBidi" w:cstheme="minorBidi"/>
          <w:color w:val="000000" w:themeColor="text1"/>
          <w:sz w:val="18"/>
          <w:szCs w:val="18"/>
        </w:rPr>
        <w:t xml:space="preserve">nuestra jurisprudencia ha reconocido esta dimensión </w:t>
      </w:r>
      <w:r w:rsidR="00D249DE" w:rsidRPr="000A53F8">
        <w:rPr>
          <w:rFonts w:asciiTheme="minorBidi" w:hAnsiTheme="minorBidi" w:cstheme="minorBidi"/>
          <w:color w:val="000000" w:themeColor="text1"/>
          <w:sz w:val="18"/>
          <w:szCs w:val="18"/>
        </w:rPr>
        <w:t xml:space="preserve">pública </w:t>
      </w:r>
      <w:r w:rsidR="00F4658A" w:rsidRPr="000A53F8">
        <w:rPr>
          <w:rFonts w:asciiTheme="minorBidi" w:hAnsiTheme="minorBidi" w:cstheme="minorBidi"/>
          <w:color w:val="000000" w:themeColor="text1"/>
          <w:sz w:val="18"/>
          <w:szCs w:val="18"/>
        </w:rPr>
        <w:t xml:space="preserve">del daño </w:t>
      </w:r>
      <w:r w:rsidR="00D249DE" w:rsidRPr="000A53F8">
        <w:rPr>
          <w:rFonts w:asciiTheme="minorBidi" w:hAnsiTheme="minorBidi" w:cstheme="minorBidi"/>
          <w:color w:val="000000" w:themeColor="text1"/>
          <w:sz w:val="18"/>
          <w:szCs w:val="18"/>
        </w:rPr>
        <w:t>en el daño moral</w:t>
      </w:r>
      <w:r w:rsidR="008C51DC" w:rsidRPr="000A53F8">
        <w:rPr>
          <w:rFonts w:asciiTheme="minorBidi" w:hAnsiTheme="minorBidi" w:cstheme="minorBidi"/>
          <w:color w:val="000000" w:themeColor="text1"/>
          <w:sz w:val="18"/>
          <w:szCs w:val="18"/>
        </w:rPr>
        <w:t>,</w:t>
      </w:r>
      <w:r w:rsidR="003A6F8D" w:rsidRPr="000A53F8">
        <w:rPr>
          <w:rFonts w:asciiTheme="minorBidi" w:hAnsiTheme="minorBidi" w:cstheme="minorBidi"/>
          <w:color w:val="000000" w:themeColor="text1"/>
          <w:sz w:val="18"/>
          <w:szCs w:val="18"/>
        </w:rPr>
        <w:t xml:space="preserve"> en atención al significado e impacto de la conducta</w:t>
      </w:r>
      <w:r w:rsidR="004B3469" w:rsidRPr="000A53F8">
        <w:rPr>
          <w:rFonts w:asciiTheme="minorBidi" w:hAnsiTheme="minorBidi" w:cstheme="minorBidi"/>
          <w:color w:val="000000" w:themeColor="text1"/>
          <w:sz w:val="18"/>
          <w:szCs w:val="18"/>
        </w:rPr>
        <w:t xml:space="preserve"> para efectos de una justa reparación</w:t>
      </w:r>
      <w:r w:rsidR="00D249DE" w:rsidRPr="000A53F8">
        <w:rPr>
          <w:rFonts w:asciiTheme="minorBidi" w:hAnsiTheme="minorBidi" w:cstheme="minorBidi"/>
          <w:color w:val="000000" w:themeColor="text1"/>
          <w:sz w:val="18"/>
          <w:szCs w:val="18"/>
        </w:rPr>
        <w:t xml:space="preserve">. </w:t>
      </w:r>
      <w:r w:rsidR="00D2776C" w:rsidRPr="000A53F8">
        <w:rPr>
          <w:rFonts w:asciiTheme="minorBidi" w:hAnsiTheme="minorBidi" w:cstheme="minorBidi"/>
          <w:i/>
          <w:iCs/>
          <w:color w:val="000000" w:themeColor="text1"/>
          <w:sz w:val="18"/>
          <w:szCs w:val="18"/>
        </w:rPr>
        <w:t>V</w:t>
      </w:r>
      <w:r w:rsidR="000B4E5B" w:rsidRPr="000A53F8">
        <w:rPr>
          <w:rFonts w:asciiTheme="minorBidi" w:hAnsiTheme="minorBidi" w:cstheme="minorBidi"/>
          <w:i/>
          <w:iCs/>
          <w:color w:val="000000" w:themeColor="text1"/>
          <w:sz w:val="18"/>
          <w:szCs w:val="18"/>
        </w:rPr>
        <w:t>id</w:t>
      </w:r>
      <w:r w:rsidR="000B4E5B" w:rsidRPr="000A53F8">
        <w:rPr>
          <w:rFonts w:asciiTheme="minorBidi" w:hAnsiTheme="minorBidi" w:cstheme="minorBidi"/>
          <w:color w:val="000000" w:themeColor="text1"/>
          <w:sz w:val="18"/>
          <w:szCs w:val="18"/>
        </w:rPr>
        <w:t xml:space="preserve">., </w:t>
      </w:r>
      <w:r w:rsidR="003D0C12" w:rsidRPr="000A53F8">
        <w:rPr>
          <w:rFonts w:asciiTheme="minorBidi" w:hAnsiTheme="minorBidi" w:cstheme="minorBidi"/>
          <w:color w:val="000000" w:themeColor="text1"/>
          <w:sz w:val="18"/>
          <w:szCs w:val="18"/>
        </w:rPr>
        <w:t xml:space="preserve">Martínez Alles, María Guadalupe. </w:t>
      </w:r>
      <w:r w:rsidR="00DF4F57" w:rsidRPr="000A53F8">
        <w:rPr>
          <w:rFonts w:asciiTheme="minorBidi" w:hAnsiTheme="minorBidi" w:cstheme="minorBidi"/>
          <w:color w:val="000000" w:themeColor="text1"/>
          <w:sz w:val="18"/>
          <w:szCs w:val="18"/>
        </w:rPr>
        <w:t xml:space="preserve">2022. </w:t>
      </w:r>
      <w:r w:rsidR="003D0C12" w:rsidRPr="000A53F8">
        <w:rPr>
          <w:rFonts w:asciiTheme="minorBidi" w:hAnsiTheme="minorBidi" w:cstheme="minorBidi"/>
          <w:color w:val="000000" w:themeColor="text1"/>
          <w:sz w:val="18"/>
          <w:szCs w:val="18"/>
        </w:rPr>
        <w:t xml:space="preserve">La dimensión sancionadora del derecho de daños. Los daños punitivos. </w:t>
      </w:r>
      <w:r w:rsidR="00DF4F57" w:rsidRPr="000A53F8">
        <w:rPr>
          <w:rFonts w:asciiTheme="minorBidi" w:hAnsiTheme="minorBidi" w:cstheme="minorBidi"/>
          <w:color w:val="000000" w:themeColor="text1"/>
          <w:sz w:val="18"/>
          <w:szCs w:val="18"/>
        </w:rPr>
        <w:t xml:space="preserve">En, </w:t>
      </w:r>
      <w:r w:rsidR="000B4E5B" w:rsidRPr="000A53F8">
        <w:rPr>
          <w:rFonts w:asciiTheme="minorBidi" w:hAnsiTheme="minorBidi" w:cstheme="minorBidi"/>
          <w:color w:val="000000" w:themeColor="text1"/>
          <w:sz w:val="18"/>
          <w:szCs w:val="18"/>
        </w:rPr>
        <w:t xml:space="preserve">Manual de derecho de daños extracontractuales, Diego M. Papayannis (coord.), </w:t>
      </w:r>
      <w:r w:rsidR="00FD791A" w:rsidRPr="000A53F8">
        <w:rPr>
          <w:rFonts w:asciiTheme="minorBidi" w:hAnsiTheme="minorBidi" w:cstheme="minorBidi"/>
          <w:color w:val="000000" w:themeColor="text1"/>
          <w:sz w:val="18"/>
          <w:szCs w:val="18"/>
        </w:rPr>
        <w:t xml:space="preserve">Suprema Corte de Justicia de la Nación, </w:t>
      </w:r>
      <w:r w:rsidR="00264E3D" w:rsidRPr="000A53F8">
        <w:rPr>
          <w:rFonts w:asciiTheme="minorBidi" w:hAnsiTheme="minorBidi" w:cstheme="minorBidi"/>
          <w:color w:val="000000" w:themeColor="text1"/>
          <w:sz w:val="18"/>
          <w:szCs w:val="18"/>
        </w:rPr>
        <w:t>pp. 601-6</w:t>
      </w:r>
      <w:r w:rsidR="00043DFA" w:rsidRPr="000A53F8">
        <w:rPr>
          <w:rFonts w:asciiTheme="minorBidi" w:hAnsiTheme="minorBidi" w:cstheme="minorBidi"/>
          <w:color w:val="000000" w:themeColor="text1"/>
          <w:sz w:val="18"/>
          <w:szCs w:val="18"/>
        </w:rPr>
        <w:t>47</w:t>
      </w:r>
      <w:r w:rsidR="00264E3D" w:rsidRPr="000A53F8">
        <w:rPr>
          <w:rFonts w:asciiTheme="minorBidi" w:hAnsiTheme="minorBidi" w:cstheme="minorBidi"/>
          <w:color w:val="000000" w:themeColor="text1"/>
          <w:sz w:val="18"/>
          <w:szCs w:val="18"/>
        </w:rPr>
        <w:t>.</w:t>
      </w:r>
    </w:p>
  </w:footnote>
  <w:footnote w:id="144">
    <w:p w14:paraId="1C6826CF" w14:textId="720A1066" w:rsidR="00884297" w:rsidRDefault="00884297" w:rsidP="00FD3784">
      <w:pPr>
        <w:pStyle w:val="Textonotapie"/>
        <w:tabs>
          <w:tab w:val="left" w:pos="284"/>
        </w:tabs>
        <w:jc w:val="both"/>
        <w:rPr>
          <w:rFonts w:asciiTheme="minorBidi" w:hAnsiTheme="minorBidi" w:cstheme="minorBidi"/>
          <w:sz w:val="18"/>
          <w:szCs w:val="18"/>
        </w:rPr>
      </w:pPr>
      <w:r w:rsidRPr="000A53F8">
        <w:rPr>
          <w:rStyle w:val="Refdenotaalpie"/>
          <w:rFonts w:asciiTheme="minorBidi" w:hAnsiTheme="minorBidi" w:cstheme="minorBidi"/>
          <w:sz w:val="18"/>
          <w:szCs w:val="18"/>
        </w:rPr>
        <w:footnoteRef/>
      </w:r>
      <w:r w:rsidR="002639B0" w:rsidRPr="000A53F8">
        <w:rPr>
          <w:rFonts w:asciiTheme="minorBidi" w:hAnsiTheme="minorBidi" w:cstheme="minorBidi"/>
          <w:sz w:val="18"/>
          <w:szCs w:val="18"/>
        </w:rPr>
        <w:t xml:space="preserve"> </w:t>
      </w:r>
      <w:r w:rsidRPr="000A53F8">
        <w:rPr>
          <w:rFonts w:asciiTheme="minorBidi" w:hAnsiTheme="minorBidi" w:cstheme="minorBidi"/>
          <w:sz w:val="18"/>
          <w:szCs w:val="18"/>
        </w:rPr>
        <w:t xml:space="preserve">Resuelto en sesión de </w:t>
      </w:r>
      <w:r w:rsidR="00042338" w:rsidRPr="000A53F8">
        <w:rPr>
          <w:rFonts w:asciiTheme="minorBidi" w:hAnsiTheme="minorBidi" w:cstheme="minorBidi"/>
          <w:sz w:val="18"/>
          <w:szCs w:val="18"/>
        </w:rPr>
        <w:t>3</w:t>
      </w:r>
      <w:r w:rsidRPr="000A53F8">
        <w:rPr>
          <w:rFonts w:asciiTheme="minorBidi" w:hAnsiTheme="minorBidi" w:cstheme="minorBidi"/>
          <w:sz w:val="18"/>
          <w:szCs w:val="18"/>
        </w:rPr>
        <w:t xml:space="preserve"> de mayo de </w:t>
      </w:r>
      <w:r w:rsidR="00042338" w:rsidRPr="000A53F8">
        <w:rPr>
          <w:rFonts w:asciiTheme="minorBidi" w:hAnsiTheme="minorBidi" w:cstheme="minorBidi"/>
          <w:sz w:val="18"/>
          <w:szCs w:val="18"/>
        </w:rPr>
        <w:t>2017</w:t>
      </w:r>
      <w:r w:rsidRPr="000A53F8">
        <w:rPr>
          <w:rFonts w:asciiTheme="minorBidi" w:hAnsiTheme="minorBidi" w:cstheme="minorBidi"/>
          <w:sz w:val="18"/>
          <w:szCs w:val="18"/>
        </w:rPr>
        <w:t>,</w:t>
      </w:r>
      <w:r w:rsidR="00CC7168" w:rsidRPr="000A53F8">
        <w:rPr>
          <w:rFonts w:asciiTheme="minorBidi" w:hAnsiTheme="minorBidi" w:cstheme="minorBidi"/>
          <w:sz w:val="18"/>
          <w:szCs w:val="18"/>
        </w:rPr>
        <w:t xml:space="preserve"> por mayoría de tres votos de los ministros Arturo Zaldívar Lelo de Larrea (ponente), José Ramón Cossío Díaz, quien se reservó el derecho de formular voto concurrente y Alfredo Gutiérrez Ortiz Mena, en contra de los emitidos por el ministro Jorge Mario Pardo Rebolledo y la ministra Norma Lucía Piña Hernández (presidenta), quienes se reservaron el derecho de formular voto particular.</w:t>
      </w:r>
    </w:p>
    <w:p w14:paraId="47E1D42F" w14:textId="77777777" w:rsidR="00614D91" w:rsidRDefault="00614D91" w:rsidP="00FD3784">
      <w:pPr>
        <w:pStyle w:val="Textonotapie"/>
        <w:tabs>
          <w:tab w:val="left" w:pos="284"/>
        </w:tabs>
        <w:jc w:val="both"/>
        <w:rPr>
          <w:rFonts w:asciiTheme="minorBidi" w:hAnsiTheme="minorBidi" w:cstheme="minorBidi"/>
          <w:sz w:val="18"/>
          <w:szCs w:val="18"/>
        </w:rPr>
      </w:pPr>
    </w:p>
    <w:p w14:paraId="39F5B79D" w14:textId="77777777" w:rsidR="00614D91" w:rsidRPr="000A53F8" w:rsidRDefault="00614D91" w:rsidP="00FD3784">
      <w:pPr>
        <w:pStyle w:val="Textonotapie"/>
        <w:tabs>
          <w:tab w:val="left" w:pos="284"/>
        </w:tabs>
        <w:jc w:val="both"/>
        <w:rPr>
          <w:rFonts w:asciiTheme="minorBidi" w:hAnsiTheme="minorBidi" w:cstheme="minorBidi"/>
          <w:sz w:val="18"/>
          <w:szCs w:val="18"/>
        </w:rPr>
      </w:pPr>
    </w:p>
  </w:footnote>
  <w:footnote w:id="145">
    <w:p w14:paraId="62A58AF2" w14:textId="2DC43972" w:rsidR="00884297" w:rsidRPr="000A53F8" w:rsidRDefault="00884297" w:rsidP="00FD3784">
      <w:pPr>
        <w:pStyle w:val="Textonotapie"/>
        <w:tabs>
          <w:tab w:val="left" w:pos="284"/>
        </w:tabs>
        <w:jc w:val="both"/>
        <w:rPr>
          <w:rFonts w:asciiTheme="minorBidi" w:hAnsiTheme="minorBidi" w:cstheme="minorBidi"/>
          <w:sz w:val="18"/>
          <w:szCs w:val="18"/>
        </w:rPr>
      </w:pPr>
      <w:r w:rsidRPr="000A53F8">
        <w:rPr>
          <w:rStyle w:val="Refdenotaalpie"/>
          <w:rFonts w:asciiTheme="minorBidi" w:hAnsiTheme="minorBidi" w:cstheme="minorBidi"/>
          <w:sz w:val="18"/>
          <w:szCs w:val="18"/>
        </w:rPr>
        <w:footnoteRef/>
      </w:r>
      <w:r w:rsidRPr="000A53F8">
        <w:rPr>
          <w:rFonts w:asciiTheme="minorBidi" w:hAnsiTheme="minorBidi" w:cstheme="minorBidi"/>
          <w:sz w:val="18"/>
          <w:szCs w:val="18"/>
        </w:rPr>
        <w:t xml:space="preserve"> Resuelto en sesión de </w:t>
      </w:r>
      <w:r w:rsidR="00D53FAF" w:rsidRPr="000A53F8">
        <w:rPr>
          <w:rFonts w:asciiTheme="minorBidi" w:hAnsiTheme="minorBidi" w:cstheme="minorBidi"/>
          <w:sz w:val="18"/>
          <w:szCs w:val="18"/>
        </w:rPr>
        <w:t>1</w:t>
      </w:r>
      <w:r w:rsidRPr="000A53F8">
        <w:rPr>
          <w:rFonts w:asciiTheme="minorBidi" w:hAnsiTheme="minorBidi" w:cstheme="minorBidi"/>
          <w:sz w:val="18"/>
          <w:szCs w:val="18"/>
        </w:rPr>
        <w:t xml:space="preserve"> de julio de</w:t>
      </w:r>
      <w:r w:rsidR="00D53FAF" w:rsidRPr="000A53F8">
        <w:rPr>
          <w:rFonts w:asciiTheme="minorBidi" w:hAnsiTheme="minorBidi" w:cstheme="minorBidi"/>
          <w:sz w:val="18"/>
          <w:szCs w:val="18"/>
        </w:rPr>
        <w:t xml:space="preserve"> 2020</w:t>
      </w:r>
      <w:r w:rsidRPr="000A53F8">
        <w:rPr>
          <w:rFonts w:asciiTheme="minorBidi" w:hAnsiTheme="minorBidi" w:cstheme="minorBidi"/>
          <w:sz w:val="18"/>
          <w:szCs w:val="18"/>
        </w:rPr>
        <w:t xml:space="preserve">, por mayoría de cuatro votos de las </w:t>
      </w:r>
      <w:r w:rsidR="00D53FAF" w:rsidRPr="000A53F8">
        <w:rPr>
          <w:rFonts w:asciiTheme="minorBidi" w:hAnsiTheme="minorBidi" w:cstheme="minorBidi"/>
          <w:sz w:val="18"/>
          <w:szCs w:val="18"/>
        </w:rPr>
        <w:t>m</w:t>
      </w:r>
      <w:r w:rsidRPr="000A53F8">
        <w:rPr>
          <w:rFonts w:asciiTheme="minorBidi" w:hAnsiTheme="minorBidi" w:cstheme="minorBidi"/>
          <w:sz w:val="18"/>
          <w:szCs w:val="18"/>
        </w:rPr>
        <w:t xml:space="preserve">inistras Norma Lucía Piña Hernández, Ana Margarita Ríos Farjat, así como de los </w:t>
      </w:r>
      <w:r w:rsidR="00D53FAF" w:rsidRPr="000A53F8">
        <w:rPr>
          <w:rFonts w:asciiTheme="minorBidi" w:hAnsiTheme="minorBidi" w:cstheme="minorBidi"/>
          <w:sz w:val="18"/>
          <w:szCs w:val="18"/>
        </w:rPr>
        <w:t>m</w:t>
      </w:r>
      <w:r w:rsidRPr="000A53F8">
        <w:rPr>
          <w:rFonts w:asciiTheme="minorBidi" w:hAnsiTheme="minorBidi" w:cstheme="minorBidi"/>
          <w:sz w:val="18"/>
          <w:szCs w:val="18"/>
        </w:rPr>
        <w:t>inistros Alfredo Gutiérrez Ortiz Mena y Juan Luis González Alcántara (ponente), en contra del emitido por el</w:t>
      </w:r>
      <w:r w:rsidR="00D53FAF" w:rsidRPr="000A53F8">
        <w:rPr>
          <w:rFonts w:asciiTheme="minorBidi" w:hAnsiTheme="minorBidi" w:cstheme="minorBidi"/>
          <w:sz w:val="18"/>
          <w:szCs w:val="18"/>
        </w:rPr>
        <w:t xml:space="preserve"> m</w:t>
      </w:r>
      <w:r w:rsidRPr="000A53F8">
        <w:rPr>
          <w:rFonts w:asciiTheme="minorBidi" w:hAnsiTheme="minorBidi" w:cstheme="minorBidi"/>
          <w:sz w:val="18"/>
          <w:szCs w:val="18"/>
        </w:rPr>
        <w:t>inistro Jorge Mario Pardo Rebolledo.</w:t>
      </w:r>
    </w:p>
  </w:footnote>
  <w:footnote w:id="146">
    <w:p w14:paraId="1FAC81AC" w14:textId="44848288" w:rsidR="0038298E" w:rsidRPr="000A53F8" w:rsidRDefault="0038298E" w:rsidP="00FD3784">
      <w:pPr>
        <w:pStyle w:val="Textonotapie"/>
        <w:jc w:val="both"/>
        <w:rPr>
          <w:rFonts w:asciiTheme="minorBidi" w:hAnsiTheme="minorBidi" w:cstheme="minorBidi"/>
          <w:sz w:val="18"/>
          <w:szCs w:val="18"/>
        </w:rPr>
      </w:pPr>
      <w:r w:rsidRPr="000A53F8">
        <w:rPr>
          <w:rStyle w:val="Refdenotaalpie"/>
          <w:rFonts w:asciiTheme="minorBidi" w:hAnsiTheme="minorBidi" w:cstheme="minorBidi"/>
          <w:sz w:val="18"/>
          <w:szCs w:val="18"/>
        </w:rPr>
        <w:footnoteRef/>
      </w:r>
      <w:r w:rsidRPr="000A53F8">
        <w:rPr>
          <w:rFonts w:asciiTheme="minorBidi" w:hAnsiTheme="minorBidi" w:cstheme="minorBidi"/>
          <w:sz w:val="18"/>
          <w:szCs w:val="18"/>
        </w:rPr>
        <w:t xml:space="preserve"> </w:t>
      </w:r>
      <w:r w:rsidR="00434543" w:rsidRPr="000A53F8">
        <w:rPr>
          <w:rFonts w:asciiTheme="minorBidi" w:hAnsiTheme="minorBidi" w:cstheme="minorBidi"/>
          <w:bCs/>
          <w:sz w:val="18"/>
          <w:szCs w:val="18"/>
        </w:rPr>
        <w:t xml:space="preserve">Entre algunos posibles elementos fácticos a valorar, en el precedente mencionamos los siguientes: la potencialidad de que siga presentándose la conducta (por ejemplo, porque haya estado inmersa o esté relacionada con actividades cotidianas del agente causante del daño que hagan más factible reincidir); la consideración del universo de posibles nuevos afectados (por ejemplo, porque la conducta se vincule con algún servicio público o privado destinado a un gran número de personas); la existencia de una relación claramente asimétrica de poder entre el causante del daño y el afectado que dé cuenta de que esa desigualdad se replica en un considerable número de personas en la misma posición del afectado; el patente dolo o la grave negligencia del agente dañador pese a que es plenamente conocedor de los deberes de cuidado en la realización de su conducta, que amerite la sanción ejemplar por notoria necesidad de prevenir inminentes o muy probables nuevos daños a terceros; la realización de la conducta como parte de una actividad lucrativa, que dé cuenta de que es mayor la exigibilidad de deberes de cuidado o acciones preventivas del daño, entre otros. </w:t>
      </w:r>
      <w:r w:rsidR="00D53FAF" w:rsidRPr="000A53F8">
        <w:rPr>
          <w:rFonts w:asciiTheme="minorBidi" w:hAnsiTheme="minorBidi" w:cstheme="minorBidi"/>
          <w:bCs/>
          <w:sz w:val="18"/>
          <w:szCs w:val="18"/>
        </w:rPr>
        <w:t>Amparo directo en revisión 358/2022; p</w:t>
      </w:r>
      <w:r w:rsidR="00434543" w:rsidRPr="000A53F8">
        <w:rPr>
          <w:rFonts w:asciiTheme="minorBidi" w:hAnsiTheme="minorBidi" w:cstheme="minorBidi"/>
          <w:bCs/>
          <w:sz w:val="18"/>
          <w:szCs w:val="18"/>
        </w:rPr>
        <w:t xml:space="preserve">árr. 109. </w:t>
      </w:r>
    </w:p>
  </w:footnote>
  <w:footnote w:id="147">
    <w:p w14:paraId="0904DE5A" w14:textId="20690AC3" w:rsidR="00AB3EBE" w:rsidRPr="00605EBB" w:rsidRDefault="00AB3EBE" w:rsidP="00FD3784">
      <w:pPr>
        <w:pStyle w:val="Textonotapie"/>
        <w:tabs>
          <w:tab w:val="left" w:pos="284"/>
        </w:tabs>
        <w:jc w:val="both"/>
        <w:rPr>
          <w:rFonts w:asciiTheme="minorBidi" w:hAnsiTheme="minorBidi" w:cstheme="minorBidi"/>
          <w:sz w:val="18"/>
          <w:szCs w:val="18"/>
          <w:lang w:val="en-US"/>
        </w:rPr>
      </w:pPr>
      <w:r w:rsidRPr="000A53F8">
        <w:rPr>
          <w:rStyle w:val="Refdenotaalpie"/>
          <w:rFonts w:asciiTheme="minorBidi" w:hAnsiTheme="minorBidi" w:cstheme="minorBidi"/>
          <w:sz w:val="18"/>
          <w:szCs w:val="18"/>
        </w:rPr>
        <w:footnoteRef/>
      </w:r>
      <w:r w:rsidRPr="00605EBB">
        <w:rPr>
          <w:rFonts w:asciiTheme="minorBidi" w:hAnsiTheme="minorBidi" w:cstheme="minorBidi"/>
          <w:i/>
          <w:sz w:val="18"/>
          <w:szCs w:val="18"/>
          <w:lang w:val="en-US"/>
        </w:rPr>
        <w:t xml:space="preserve"> Cfr</w:t>
      </w:r>
      <w:r w:rsidRPr="00605EBB">
        <w:rPr>
          <w:rFonts w:asciiTheme="minorBidi" w:hAnsiTheme="minorBidi" w:cstheme="minorBidi"/>
          <w:sz w:val="18"/>
          <w:szCs w:val="18"/>
          <w:lang w:val="en-US"/>
        </w:rPr>
        <w:t>., Khaitan, A Theory of Discrimination Law</w:t>
      </w:r>
      <w:r w:rsidR="00076727" w:rsidRPr="00605EBB">
        <w:rPr>
          <w:rFonts w:asciiTheme="minorBidi" w:hAnsiTheme="minorBidi" w:cstheme="minorBidi"/>
          <w:i/>
          <w:iCs/>
          <w:sz w:val="18"/>
          <w:szCs w:val="18"/>
          <w:lang w:val="en-US"/>
        </w:rPr>
        <w:t>;</w:t>
      </w:r>
      <w:r w:rsidRPr="00605EBB">
        <w:rPr>
          <w:rFonts w:asciiTheme="minorBidi" w:hAnsiTheme="minorBidi" w:cstheme="minorBidi"/>
          <w:sz w:val="18"/>
          <w:szCs w:val="18"/>
          <w:lang w:val="en-US"/>
        </w:rPr>
        <w:t xml:space="preserve"> pp. 18, 165, 245 y 246. </w:t>
      </w:r>
    </w:p>
  </w:footnote>
  <w:footnote w:id="148">
    <w:p w14:paraId="11D27DBF" w14:textId="226431C3" w:rsidR="0059656F" w:rsidRPr="000A53F8" w:rsidRDefault="0059656F" w:rsidP="00FD3784">
      <w:pPr>
        <w:pStyle w:val="Textonotapie"/>
        <w:jc w:val="both"/>
        <w:rPr>
          <w:rFonts w:asciiTheme="minorBidi" w:hAnsiTheme="minorBidi" w:cstheme="minorBidi"/>
          <w:sz w:val="18"/>
          <w:szCs w:val="18"/>
          <w:lang w:val="es-ES_tradnl"/>
        </w:rPr>
      </w:pPr>
      <w:r w:rsidRPr="000A53F8">
        <w:rPr>
          <w:rStyle w:val="Refdenotaalpie"/>
          <w:rFonts w:asciiTheme="minorBidi" w:hAnsiTheme="minorBidi" w:cstheme="minorBidi"/>
          <w:sz w:val="18"/>
          <w:szCs w:val="18"/>
        </w:rPr>
        <w:footnoteRef/>
      </w:r>
      <w:r w:rsidRPr="000A53F8">
        <w:rPr>
          <w:rFonts w:asciiTheme="minorBidi" w:hAnsiTheme="minorBidi" w:cstheme="minorBidi"/>
          <w:sz w:val="18"/>
          <w:szCs w:val="18"/>
        </w:rPr>
        <w:t xml:space="preserve"> </w:t>
      </w:r>
      <w:r w:rsidRPr="000A53F8">
        <w:rPr>
          <w:rFonts w:asciiTheme="minorBidi" w:hAnsiTheme="minorBidi" w:cstheme="minorBidi"/>
          <w:sz w:val="18"/>
          <w:szCs w:val="18"/>
          <w:lang w:val="es-ES_tradnl"/>
        </w:rPr>
        <w:t>Sobre la dimensión relacional del derecho de daños</w:t>
      </w:r>
      <w:r w:rsidR="00646675" w:rsidRPr="000A53F8">
        <w:rPr>
          <w:rFonts w:asciiTheme="minorBidi" w:hAnsiTheme="minorBidi" w:cstheme="minorBidi"/>
          <w:sz w:val="18"/>
          <w:szCs w:val="18"/>
          <w:lang w:val="es-ES_tradnl"/>
        </w:rPr>
        <w:t xml:space="preserve">, </w:t>
      </w:r>
      <w:r w:rsidR="00646675" w:rsidRPr="000A53F8">
        <w:rPr>
          <w:rFonts w:asciiTheme="minorBidi" w:hAnsiTheme="minorBidi" w:cstheme="minorBidi"/>
          <w:i/>
          <w:sz w:val="18"/>
          <w:szCs w:val="18"/>
          <w:lang w:val="es-ES_tradnl"/>
        </w:rPr>
        <w:t>vid</w:t>
      </w:r>
      <w:r w:rsidR="00646675" w:rsidRPr="000A53F8">
        <w:rPr>
          <w:rFonts w:asciiTheme="minorBidi" w:hAnsiTheme="minorBidi" w:cstheme="minorBidi"/>
          <w:sz w:val="18"/>
          <w:szCs w:val="18"/>
          <w:lang w:val="es-ES_tradnl"/>
        </w:rPr>
        <w:t xml:space="preserve">., </w:t>
      </w:r>
      <w:r w:rsidR="00646675" w:rsidRPr="000A53F8">
        <w:rPr>
          <w:rFonts w:asciiTheme="minorBidi" w:hAnsiTheme="minorBidi" w:cstheme="minorBidi"/>
          <w:color w:val="000000" w:themeColor="text1"/>
          <w:sz w:val="18"/>
          <w:szCs w:val="18"/>
        </w:rPr>
        <w:t>Martínez Alles, María Guadalupe. 2022. La dimensión sancionadora del derecho de daños. Los daños punitivos. En, Manual de derecho de daños extracontractuales, Diego M. Papayannis (coord.), Suprema Corte de Justicia de la Nación, pp. 601-647.</w:t>
      </w:r>
    </w:p>
  </w:footnote>
  <w:footnote w:id="149">
    <w:p w14:paraId="3FD4595D" w14:textId="77777777" w:rsidR="00A0769A" w:rsidRPr="000A53F8" w:rsidRDefault="00A0769A" w:rsidP="00FD3784">
      <w:pPr>
        <w:pStyle w:val="Textonotapie"/>
        <w:jc w:val="both"/>
        <w:rPr>
          <w:rFonts w:asciiTheme="minorBidi" w:hAnsiTheme="minorBidi" w:cstheme="minorBidi"/>
          <w:sz w:val="18"/>
          <w:szCs w:val="18"/>
        </w:rPr>
      </w:pPr>
      <w:r w:rsidRPr="000A53F8">
        <w:rPr>
          <w:rStyle w:val="Refdenotaalpie"/>
          <w:rFonts w:asciiTheme="minorBidi" w:hAnsiTheme="minorBidi" w:cstheme="minorBidi"/>
          <w:sz w:val="18"/>
          <w:szCs w:val="18"/>
        </w:rPr>
        <w:footnoteRef/>
      </w:r>
      <w:r w:rsidRPr="000A53F8">
        <w:rPr>
          <w:rFonts w:asciiTheme="minorBidi" w:hAnsiTheme="minorBidi" w:cstheme="minorBidi"/>
          <w:sz w:val="18"/>
          <w:szCs w:val="18"/>
        </w:rPr>
        <w:t xml:space="preserve"> </w:t>
      </w:r>
      <w:r w:rsidRPr="000A53F8">
        <w:rPr>
          <w:rFonts w:asciiTheme="minorBidi" w:hAnsiTheme="minorBidi" w:cstheme="minorBidi"/>
          <w:bCs/>
          <w:i/>
          <w:iCs/>
          <w:sz w:val="18"/>
          <w:szCs w:val="18"/>
        </w:rPr>
        <w:t>Vid</w:t>
      </w:r>
      <w:r w:rsidRPr="000A53F8">
        <w:rPr>
          <w:rFonts w:asciiTheme="minorBidi" w:hAnsiTheme="minorBidi" w:cstheme="minorBidi"/>
          <w:bCs/>
          <w:sz w:val="18"/>
          <w:szCs w:val="18"/>
        </w:rPr>
        <w:t>., entre otros, el amparo directo en revisión 358/2022; párr. 109.</w:t>
      </w:r>
    </w:p>
  </w:footnote>
  <w:footnote w:id="150">
    <w:p w14:paraId="54E3850D" w14:textId="403E19EC" w:rsidR="00680571" w:rsidRPr="000A53F8" w:rsidRDefault="00680571" w:rsidP="00B6667C">
      <w:pPr>
        <w:pStyle w:val="Textonotapie"/>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00B4227E" w:rsidRPr="000A53F8">
        <w:rPr>
          <w:rFonts w:asciiTheme="minorBidi" w:hAnsiTheme="minorBidi" w:cstheme="minorBidi"/>
          <w:i/>
          <w:iCs/>
          <w:color w:val="000000" w:themeColor="text1"/>
          <w:sz w:val="18"/>
          <w:szCs w:val="18"/>
        </w:rPr>
        <w:t>Vid</w:t>
      </w:r>
      <w:r w:rsidR="00B4227E" w:rsidRPr="000A53F8">
        <w:rPr>
          <w:rFonts w:asciiTheme="minorBidi" w:hAnsiTheme="minorBidi" w:cstheme="minorBidi"/>
          <w:color w:val="000000" w:themeColor="text1"/>
          <w:sz w:val="18"/>
          <w:szCs w:val="18"/>
        </w:rPr>
        <w:t xml:space="preserve">., </w:t>
      </w:r>
      <w:r w:rsidR="00D1747E" w:rsidRPr="000A53F8">
        <w:rPr>
          <w:rFonts w:asciiTheme="minorBidi" w:hAnsiTheme="minorBidi" w:cstheme="minorBidi"/>
          <w:color w:val="000000" w:themeColor="text1"/>
          <w:sz w:val="18"/>
          <w:szCs w:val="18"/>
        </w:rPr>
        <w:t xml:space="preserve">Grupo Reforma. 2022. Acusan discriminación en Plaza Reforma 222. Periódico Reforma, </w:t>
      </w:r>
      <w:r w:rsidR="00674765" w:rsidRPr="000A53F8">
        <w:rPr>
          <w:rFonts w:asciiTheme="minorBidi" w:hAnsiTheme="minorBidi" w:cstheme="minorBidi"/>
          <w:color w:val="000000" w:themeColor="text1"/>
          <w:sz w:val="18"/>
          <w:szCs w:val="18"/>
        </w:rPr>
        <w:t xml:space="preserve">disponible en el sitio web: </w:t>
      </w:r>
      <w:hyperlink r:id="rId5" w:history="1">
        <w:r w:rsidR="005E5E00" w:rsidRPr="000A53F8">
          <w:rPr>
            <w:rStyle w:val="Hipervnculo"/>
            <w:rFonts w:asciiTheme="minorBidi" w:hAnsiTheme="minorBidi" w:cstheme="minorBidi"/>
            <w:color w:val="000000" w:themeColor="text1"/>
            <w:sz w:val="18"/>
            <w:szCs w:val="18"/>
            <w:u w:val="none"/>
          </w:rPr>
          <w:t>https://www.reforma.com/acusan-discriminacion-en-plaza-reforma-222/ar2422815</w:t>
        </w:r>
      </w:hyperlink>
      <w:r w:rsidR="00A23AAF" w:rsidRPr="000A53F8">
        <w:rPr>
          <w:rFonts w:asciiTheme="minorBidi" w:hAnsiTheme="minorBidi" w:cstheme="minorBidi"/>
          <w:color w:val="000000" w:themeColor="text1"/>
          <w:sz w:val="18"/>
          <w:szCs w:val="18"/>
        </w:rPr>
        <w:t>;</w:t>
      </w:r>
      <w:r w:rsidR="00247347" w:rsidRPr="000A53F8">
        <w:rPr>
          <w:rFonts w:asciiTheme="minorBidi" w:hAnsiTheme="minorBidi" w:cstheme="minorBidi"/>
          <w:color w:val="000000" w:themeColor="text1"/>
          <w:sz w:val="18"/>
          <w:szCs w:val="18"/>
        </w:rPr>
        <w:t xml:space="preserve"> </w:t>
      </w:r>
      <w:r w:rsidR="00A23AAF" w:rsidRPr="000A53F8">
        <w:rPr>
          <w:rFonts w:asciiTheme="minorBidi" w:hAnsiTheme="minorBidi" w:cstheme="minorBidi"/>
          <w:color w:val="000000" w:themeColor="text1"/>
          <w:sz w:val="18"/>
          <w:szCs w:val="18"/>
        </w:rPr>
        <w:t xml:space="preserve">Redacción. 2022. Mujer trans denuncia discriminación en baños de Cinemex Reforma 222. Periódico El Financiero, </w:t>
      </w:r>
      <w:r w:rsidR="00674765" w:rsidRPr="000A53F8">
        <w:rPr>
          <w:rFonts w:asciiTheme="minorBidi" w:hAnsiTheme="minorBidi" w:cstheme="minorBidi"/>
          <w:color w:val="000000" w:themeColor="text1"/>
          <w:sz w:val="18"/>
          <w:szCs w:val="18"/>
        </w:rPr>
        <w:t xml:space="preserve">disponible en el sitio web: </w:t>
      </w:r>
      <w:hyperlink r:id="rId6" w:history="1">
        <w:r w:rsidR="00F06C41" w:rsidRPr="000A53F8">
          <w:rPr>
            <w:rStyle w:val="Hipervnculo"/>
            <w:rFonts w:asciiTheme="minorBidi" w:hAnsiTheme="minorBidi" w:cstheme="minorBidi"/>
            <w:color w:val="000000" w:themeColor="text1"/>
            <w:sz w:val="18"/>
            <w:szCs w:val="18"/>
            <w:u w:val="none"/>
          </w:rPr>
          <w:t>https://www.elfinanciero.com.mx/cdmx/2022/04/16/mujer-trans-denuncia-discriminacion-en-banos-de-cinemex-reforma-222/</w:t>
        </w:r>
      </w:hyperlink>
      <w:r w:rsidR="00247347" w:rsidRPr="000A53F8">
        <w:rPr>
          <w:rStyle w:val="Hipervnculo"/>
          <w:rFonts w:asciiTheme="minorBidi" w:hAnsiTheme="minorBidi" w:cstheme="minorBidi"/>
          <w:color w:val="000000" w:themeColor="text1"/>
          <w:sz w:val="18"/>
          <w:szCs w:val="18"/>
          <w:u w:val="none"/>
        </w:rPr>
        <w:t xml:space="preserve">; así como </w:t>
      </w:r>
      <w:r w:rsidR="00247347" w:rsidRPr="000A53F8">
        <w:rPr>
          <w:rFonts w:asciiTheme="minorBidi" w:hAnsiTheme="minorBidi" w:cstheme="minorBidi"/>
          <w:color w:val="000000" w:themeColor="text1"/>
          <w:sz w:val="18"/>
          <w:szCs w:val="18"/>
        </w:rPr>
        <w:t xml:space="preserve">Peralta, Omar. 2022. Reforma 222 y el orgullo gay en sus pasillos solo se permite si se paga alquiler. Yahoo! Noticias, disponible en el sitio web: </w:t>
      </w:r>
      <w:hyperlink r:id="rId7" w:history="1">
        <w:r w:rsidR="00857B11" w:rsidRPr="000A53F8">
          <w:rPr>
            <w:rStyle w:val="Hipervnculo"/>
            <w:rFonts w:asciiTheme="minorBidi" w:hAnsiTheme="minorBidi" w:cstheme="minorBidi"/>
            <w:color w:val="000000" w:themeColor="text1"/>
            <w:sz w:val="18"/>
            <w:szCs w:val="18"/>
            <w:u w:val="none"/>
          </w:rPr>
          <w:t>https://es-us.noticias.yahoo.com/reforma-222-y-el-orgullo-gay-que-solo-se-permite-se-se-paga-alquiler-021206126.html?guccounter=1&amp;guce_referrer=aHR0cHM6Ly93d3cuZ29vZ2xlLmNvbS8&amp;guce_referrer_sig=AQAAAMvV4oZ-u6Di8MatckWP_BVJVFlXHUDwiUS36c17dNSX0lzjhexmZsued3sya0WB8LVy1gIWvUjV8_nHOoeGKWSsH8YH1iGmr_2jvLULFcnfOnyxsR89RM_Ax4Nyp6wl4uOMByVJxQo-AM-_4-XfM-4kDdMpVmLzaJipI-x8TS8D</w:t>
        </w:r>
      </w:hyperlink>
    </w:p>
  </w:footnote>
  <w:footnote w:id="151">
    <w:p w14:paraId="4ADCB592" w14:textId="7BD5C3AC" w:rsidR="009F38D6" w:rsidRDefault="009F38D6" w:rsidP="00B6667C">
      <w:pPr>
        <w:pStyle w:val="Textonotapie"/>
        <w:jc w:val="both"/>
        <w:rPr>
          <w:rFonts w:asciiTheme="minorBidi" w:hAnsiTheme="minorBidi" w:cstheme="minorBidi"/>
          <w:sz w:val="18"/>
          <w:szCs w:val="18"/>
        </w:rPr>
      </w:pPr>
      <w:r w:rsidRPr="00672D03">
        <w:rPr>
          <w:rStyle w:val="Refdenotaalpie"/>
          <w:rFonts w:asciiTheme="minorBidi" w:hAnsiTheme="minorBidi" w:cstheme="minorBidi"/>
          <w:sz w:val="18"/>
          <w:szCs w:val="18"/>
        </w:rPr>
        <w:footnoteRef/>
      </w:r>
      <w:r w:rsidRPr="00672D03">
        <w:rPr>
          <w:rFonts w:asciiTheme="minorBidi" w:hAnsiTheme="minorBidi" w:cstheme="minorBidi"/>
          <w:sz w:val="18"/>
          <w:szCs w:val="18"/>
        </w:rPr>
        <w:t xml:space="preserve"> </w:t>
      </w:r>
      <w:bookmarkStart w:id="5" w:name="_Hlk188388664"/>
      <w:r w:rsidR="003F593C" w:rsidRPr="00672D03">
        <w:rPr>
          <w:rFonts w:asciiTheme="minorBidi" w:hAnsiTheme="minorBidi" w:cstheme="minorBidi"/>
          <w:sz w:val="18"/>
          <w:szCs w:val="18"/>
        </w:rPr>
        <w:t>Lo anterior, en el entendido</w:t>
      </w:r>
      <w:r w:rsidR="00537E36" w:rsidRPr="00672D03">
        <w:rPr>
          <w:rFonts w:asciiTheme="minorBidi" w:hAnsiTheme="minorBidi" w:cstheme="minorBidi"/>
          <w:sz w:val="18"/>
          <w:szCs w:val="18"/>
        </w:rPr>
        <w:t>, claro está,</w:t>
      </w:r>
      <w:r w:rsidR="003F593C" w:rsidRPr="00672D03">
        <w:rPr>
          <w:rFonts w:asciiTheme="minorBidi" w:hAnsiTheme="minorBidi" w:cstheme="minorBidi"/>
          <w:sz w:val="18"/>
          <w:szCs w:val="18"/>
        </w:rPr>
        <w:t xml:space="preserve"> de que</w:t>
      </w:r>
      <w:r w:rsidR="00905B67" w:rsidRPr="00672D03">
        <w:rPr>
          <w:rFonts w:asciiTheme="minorBidi" w:hAnsiTheme="minorBidi" w:cstheme="minorBidi"/>
          <w:sz w:val="18"/>
          <w:szCs w:val="18"/>
        </w:rPr>
        <w:t>,</w:t>
      </w:r>
      <w:r w:rsidR="003F593C" w:rsidRPr="00672D03">
        <w:rPr>
          <w:rFonts w:asciiTheme="minorBidi" w:hAnsiTheme="minorBidi" w:cstheme="minorBidi"/>
          <w:sz w:val="18"/>
          <w:szCs w:val="18"/>
        </w:rPr>
        <w:t xml:space="preserve"> una vez determinado el monto de</w:t>
      </w:r>
      <w:r w:rsidR="00566605" w:rsidRPr="00672D03">
        <w:rPr>
          <w:rFonts w:asciiTheme="minorBidi" w:hAnsiTheme="minorBidi" w:cstheme="minorBidi"/>
          <w:sz w:val="18"/>
          <w:szCs w:val="18"/>
        </w:rPr>
        <w:t xml:space="preserve"> la faceta punitiva de la indemnización, </w:t>
      </w:r>
      <w:r w:rsidR="003F593C" w:rsidRPr="00672D03">
        <w:rPr>
          <w:rFonts w:asciiTheme="minorBidi" w:hAnsiTheme="minorBidi" w:cstheme="minorBidi"/>
          <w:sz w:val="18"/>
          <w:szCs w:val="18"/>
        </w:rPr>
        <w:t xml:space="preserve">la </w:t>
      </w:r>
      <w:r w:rsidR="00566605" w:rsidRPr="00672D03">
        <w:rPr>
          <w:rFonts w:asciiTheme="minorBidi" w:hAnsiTheme="minorBidi" w:cstheme="minorBidi"/>
          <w:sz w:val="18"/>
          <w:szCs w:val="18"/>
        </w:rPr>
        <w:t xml:space="preserve">partes </w:t>
      </w:r>
      <w:r w:rsidR="003F593C" w:rsidRPr="00672D03">
        <w:rPr>
          <w:rFonts w:asciiTheme="minorBidi" w:hAnsiTheme="minorBidi" w:cstheme="minorBidi"/>
          <w:sz w:val="18"/>
          <w:szCs w:val="18"/>
        </w:rPr>
        <w:t>est</w:t>
      </w:r>
      <w:r w:rsidR="00281C25" w:rsidRPr="00672D03">
        <w:rPr>
          <w:rFonts w:asciiTheme="minorBidi" w:hAnsiTheme="minorBidi" w:cstheme="minorBidi"/>
          <w:sz w:val="18"/>
          <w:szCs w:val="18"/>
        </w:rPr>
        <w:t>ará</w:t>
      </w:r>
      <w:r w:rsidR="003F593C" w:rsidRPr="00672D03">
        <w:rPr>
          <w:rFonts w:asciiTheme="minorBidi" w:hAnsiTheme="minorBidi" w:cstheme="minorBidi"/>
          <w:sz w:val="18"/>
          <w:szCs w:val="18"/>
        </w:rPr>
        <w:t xml:space="preserve">n en libertad de transigir sobre el cumplimiento de dicha condena, mediante los mecanismos o formas </w:t>
      </w:r>
      <w:r w:rsidR="00542064" w:rsidRPr="00672D03">
        <w:rPr>
          <w:rFonts w:asciiTheme="minorBidi" w:hAnsiTheme="minorBidi" w:cstheme="minorBidi"/>
          <w:sz w:val="18"/>
          <w:szCs w:val="18"/>
        </w:rPr>
        <w:t>distintas al pago un monto pecuniario</w:t>
      </w:r>
      <w:r w:rsidR="00905B67" w:rsidRPr="00672D03">
        <w:rPr>
          <w:rFonts w:asciiTheme="minorBidi" w:hAnsiTheme="minorBidi" w:cstheme="minorBidi"/>
          <w:sz w:val="18"/>
          <w:szCs w:val="18"/>
        </w:rPr>
        <w:t>, que consideren adecuada</w:t>
      </w:r>
      <w:r w:rsidR="000A53F8" w:rsidRPr="00672D03">
        <w:rPr>
          <w:rFonts w:asciiTheme="minorBidi" w:hAnsiTheme="minorBidi" w:cstheme="minorBidi"/>
          <w:sz w:val="18"/>
          <w:szCs w:val="18"/>
        </w:rPr>
        <w:t>s</w:t>
      </w:r>
      <w:r w:rsidR="003F593C" w:rsidRPr="00672D03">
        <w:rPr>
          <w:rFonts w:asciiTheme="minorBidi" w:hAnsiTheme="minorBidi" w:cstheme="minorBidi"/>
          <w:sz w:val="18"/>
          <w:szCs w:val="18"/>
        </w:rPr>
        <w:t>.</w:t>
      </w:r>
      <w:bookmarkEnd w:id="5"/>
    </w:p>
    <w:p w14:paraId="0C8E84A6" w14:textId="77777777" w:rsidR="00E748DE" w:rsidRDefault="00E748DE" w:rsidP="00B6667C">
      <w:pPr>
        <w:pStyle w:val="Textonotapie"/>
        <w:jc w:val="both"/>
        <w:rPr>
          <w:rFonts w:asciiTheme="minorBidi" w:hAnsiTheme="minorBidi" w:cstheme="minorBidi"/>
          <w:sz w:val="18"/>
          <w:szCs w:val="18"/>
        </w:rPr>
      </w:pPr>
    </w:p>
    <w:p w14:paraId="1D559A4D" w14:textId="77777777" w:rsidR="00E748DE" w:rsidRPr="00F07687" w:rsidRDefault="00E748DE" w:rsidP="00B6667C">
      <w:pPr>
        <w:pStyle w:val="Textonotapie"/>
        <w:jc w:val="both"/>
        <w:rPr>
          <w:rFonts w:asciiTheme="minorBidi" w:hAnsiTheme="minorBidi" w:cstheme="minorBidi"/>
          <w:b/>
          <w:bCs/>
          <w:sz w:val="18"/>
          <w:szCs w:val="18"/>
          <w:u w:val="single"/>
        </w:rPr>
      </w:pPr>
    </w:p>
  </w:footnote>
  <w:footnote w:id="152">
    <w:p w14:paraId="6A974BAE" w14:textId="7DC8F1F4" w:rsidR="00F46DD0" w:rsidRPr="000A53F8" w:rsidRDefault="00A55FF1" w:rsidP="00FD3784">
      <w:pPr>
        <w:pStyle w:val="Textonotapie"/>
        <w:tabs>
          <w:tab w:val="left" w:pos="284"/>
        </w:tabs>
        <w:jc w:val="both"/>
        <w:rPr>
          <w:rFonts w:asciiTheme="minorBidi" w:hAnsiTheme="minorBidi" w:cstheme="minorBidi"/>
          <w:color w:val="000000" w:themeColor="text1"/>
          <w:sz w:val="18"/>
          <w:szCs w:val="18"/>
        </w:rPr>
      </w:pPr>
      <w:r w:rsidRPr="000A53F8">
        <w:rPr>
          <w:rStyle w:val="Refdenotaalpie"/>
          <w:rFonts w:asciiTheme="minorBidi" w:hAnsiTheme="minorBidi" w:cstheme="minorBidi"/>
          <w:color w:val="000000" w:themeColor="text1"/>
          <w:sz w:val="18"/>
          <w:szCs w:val="18"/>
        </w:rPr>
        <w:footnoteRef/>
      </w:r>
      <w:r w:rsidRPr="000A53F8">
        <w:rPr>
          <w:rFonts w:asciiTheme="minorBidi" w:hAnsiTheme="minorBidi" w:cstheme="minorBidi"/>
          <w:color w:val="000000" w:themeColor="text1"/>
          <w:sz w:val="18"/>
          <w:szCs w:val="18"/>
        </w:rPr>
        <w:t xml:space="preserve"> </w:t>
      </w:r>
      <w:r w:rsidRPr="000A53F8">
        <w:rPr>
          <w:rFonts w:asciiTheme="minorBidi" w:hAnsiTheme="minorBidi" w:cstheme="minorBidi"/>
          <w:i/>
          <w:iCs/>
          <w:color w:val="000000" w:themeColor="text1"/>
          <w:sz w:val="18"/>
          <w:szCs w:val="18"/>
        </w:rPr>
        <w:t>Vid</w:t>
      </w:r>
      <w:r w:rsidRPr="000A53F8">
        <w:rPr>
          <w:rFonts w:asciiTheme="minorBidi" w:hAnsiTheme="minorBidi" w:cstheme="minorBidi"/>
          <w:color w:val="000000" w:themeColor="text1"/>
          <w:sz w:val="18"/>
          <w:szCs w:val="18"/>
        </w:rPr>
        <w:t xml:space="preserve">., en particular, la sentencia recaída al amparo directo en revisión 2558/2021, resuelto el 19 de enero de 2022, </w:t>
      </w:r>
      <w:r w:rsidRPr="000A53F8">
        <w:rPr>
          <w:rFonts w:asciiTheme="minorBidi" w:hAnsiTheme="minorBidi" w:cstheme="minorBidi"/>
          <w:color w:val="000000" w:themeColor="text1"/>
          <w:sz w:val="18"/>
          <w:szCs w:val="18"/>
          <w:lang w:eastAsia="es-ES"/>
        </w:rPr>
        <w:t>por unanimidad de cinco votos de las ministras y los ministros Norma Lucía Piña Hernández, quien está con el sentido pero con salvedad en las consideraciones relativas a la inexistencia de la aplicación retroactiva de la jurisprudencia, Juan Luis González Alcántara Carrancá, Jorge Mario Pardo Rebolledo, quien está con el sentido pero se separa de los daños punitivos y se reservó su derecho a formular voto concurrente, Alfredo Gutiérrez Ortiz Mena (ponente) y presidenta Ana Margarita Ríos Farjat</w:t>
      </w:r>
      <w:r w:rsidRPr="000A53F8">
        <w:rPr>
          <w:rFonts w:asciiTheme="minorBidi" w:hAnsiTheme="minorBidi" w:cstheme="minorBidi"/>
          <w:color w:val="000000" w:themeColor="text1"/>
          <w:sz w:val="18"/>
          <w:szCs w:val="18"/>
        </w:rPr>
        <w:t>; así como la jurisprudencia de rubro “DAÑO MORAL. LINEAMIENTOS GENERALES PARA SU CUANTIFICACIÓN”. Registro digital: 2027015. Instancia: Primera Sala. Undécima Época. Materia(s): Constitucional, Civil. Tesis: 1a./J. 109/2023 (11a.). Fuente: Gaceta del Semanario Judicial de la Federación. Libro 28, agosto de 2023, Tomo II, página 1262. Tipo: Jurisprudencia.</w:t>
      </w:r>
      <w:r w:rsidR="00E748DE">
        <w:rPr>
          <w:rFonts w:asciiTheme="minorBidi" w:hAnsiTheme="minorBidi" w:cstheme="minorBidi"/>
          <w:color w:val="000000" w:themeColor="text1"/>
          <w:sz w:val="18"/>
          <w:szCs w:val="18"/>
        </w:rPr>
        <w:t xml:space="preserve"> </w:t>
      </w:r>
    </w:p>
    <w:p w14:paraId="5B91BA32" w14:textId="77777777" w:rsidR="006B3FDA" w:rsidRPr="000A53F8" w:rsidRDefault="006B3FDA" w:rsidP="00FD3784">
      <w:pPr>
        <w:pStyle w:val="Textonotapie"/>
        <w:tabs>
          <w:tab w:val="left" w:pos="284"/>
        </w:tabs>
        <w:jc w:val="both"/>
        <w:rPr>
          <w:rFonts w:asciiTheme="minorBidi" w:hAnsiTheme="minorBidi" w:cstheme="minorBidi"/>
          <w:color w:val="000000" w:themeColor="text1"/>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B80B5" w14:textId="77777777" w:rsidR="00AF7D6E" w:rsidRDefault="00AF7D6E" w:rsidP="000B5907">
    <w:pPr>
      <w:pStyle w:val="corte6cintilloypie"/>
      <w:jc w:val="left"/>
      <w:rPr>
        <w:color w:val="0070C0"/>
        <w:szCs w:val="24"/>
        <w:lang w:val="es-MX"/>
      </w:rPr>
    </w:pPr>
  </w:p>
  <w:p w14:paraId="6B6E512B" w14:textId="77777777" w:rsidR="00AF7D6E" w:rsidRPr="0015534A" w:rsidRDefault="00AF7D6E" w:rsidP="000B5907">
    <w:pPr>
      <w:pStyle w:val="corte6cintilloypie"/>
      <w:jc w:val="left"/>
      <w:rPr>
        <w:color w:val="0070C0"/>
        <w:sz w:val="28"/>
        <w:szCs w:val="28"/>
        <w:lang w:val="es-MX"/>
      </w:rPr>
    </w:pPr>
  </w:p>
  <w:p w14:paraId="6A5D951C" w14:textId="525D96C8" w:rsidR="000B5907" w:rsidRPr="00A05649" w:rsidRDefault="000B5907" w:rsidP="00A05649">
    <w:pPr>
      <w:pStyle w:val="corte6cintilloypie"/>
      <w:jc w:val="center"/>
      <w:rPr>
        <w:color w:val="000000" w:themeColor="text1"/>
        <w:sz w:val="26"/>
        <w:szCs w:val="26"/>
        <w:lang w:val="es-MX"/>
      </w:rPr>
    </w:pPr>
    <w:r w:rsidRPr="00A05649">
      <w:rPr>
        <w:color w:val="000000" w:themeColor="text1"/>
        <w:sz w:val="26"/>
        <w:szCs w:val="26"/>
        <w:lang w:val="es-MX"/>
      </w:rPr>
      <w:t>AMPARO DIRECTO 15/2020</w:t>
    </w:r>
  </w:p>
  <w:p w14:paraId="702962FC" w14:textId="77777777" w:rsidR="000B5907" w:rsidRDefault="000B5907" w:rsidP="000B5907">
    <w:pPr>
      <w:pStyle w:val="Encabezado"/>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ED122" w14:textId="717F19BA" w:rsidR="00AF7D6E" w:rsidRDefault="00AF7D6E" w:rsidP="000B5907">
    <w:pPr>
      <w:pStyle w:val="corte6cintilloypie"/>
      <w:rPr>
        <w:color w:val="0070C0"/>
        <w:szCs w:val="24"/>
        <w:lang w:val="es-MX"/>
      </w:rPr>
    </w:pPr>
  </w:p>
  <w:p w14:paraId="0B86EDCD" w14:textId="77777777" w:rsidR="00AF7D6E" w:rsidRDefault="00AF7D6E" w:rsidP="000B5907">
    <w:pPr>
      <w:pStyle w:val="corte6cintilloypie"/>
      <w:rPr>
        <w:color w:val="0070C0"/>
        <w:szCs w:val="24"/>
        <w:lang w:val="es-MX"/>
      </w:rPr>
    </w:pPr>
  </w:p>
  <w:p w14:paraId="50726304" w14:textId="2B3E2E67" w:rsidR="000B5907" w:rsidRPr="00A05649" w:rsidRDefault="000B5907" w:rsidP="00A05649">
    <w:pPr>
      <w:pStyle w:val="corte6cintilloypie"/>
      <w:jc w:val="center"/>
      <w:rPr>
        <w:color w:val="000000" w:themeColor="text1"/>
        <w:sz w:val="26"/>
        <w:szCs w:val="26"/>
        <w:lang w:val="es-MX"/>
      </w:rPr>
    </w:pPr>
    <w:r w:rsidRPr="00A05649">
      <w:rPr>
        <w:color w:val="000000" w:themeColor="text1"/>
        <w:sz w:val="26"/>
        <w:szCs w:val="26"/>
        <w:lang w:val="es-MX"/>
      </w:rPr>
      <w:t>AMPARO DIRECTO 15/2020</w:t>
    </w:r>
  </w:p>
  <w:p w14:paraId="3E06074C" w14:textId="77777777" w:rsidR="000B5907" w:rsidRDefault="000B59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EE96D" w14:textId="0C4CAA10" w:rsidR="00A310B0" w:rsidRPr="003B57CA" w:rsidRDefault="00A310B0" w:rsidP="004E61E8">
    <w:pPr>
      <w:pStyle w:val="Encabezado"/>
      <w:jc w:val="both"/>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43D3B"/>
    <w:multiLevelType w:val="hybridMultilevel"/>
    <w:tmpl w:val="9432E146"/>
    <w:lvl w:ilvl="0" w:tplc="BF50D854">
      <w:start w:val="1"/>
      <w:numFmt w:val="lowerRoman"/>
      <w:lvlText w:val="(%1)"/>
      <w:lvlJc w:val="left"/>
      <w:pPr>
        <w:ind w:left="1080" w:hanging="720"/>
      </w:pPr>
      <w:rPr>
        <w:rFonts w:hint="default"/>
        <w:b w:val="0"/>
        <w:bCs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71234D"/>
    <w:multiLevelType w:val="hybridMultilevel"/>
    <w:tmpl w:val="E7B491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9475E6"/>
    <w:multiLevelType w:val="hybridMultilevel"/>
    <w:tmpl w:val="22185BB2"/>
    <w:lvl w:ilvl="0" w:tplc="119CF106">
      <w:start w:val="1"/>
      <w:numFmt w:val="lowerRoman"/>
      <w:lvlText w:val="%1)"/>
      <w:lvlJc w:val="left"/>
      <w:pPr>
        <w:ind w:left="720" w:hanging="360"/>
      </w:pPr>
      <w:rPr>
        <w:rFonts w:hint="default"/>
        <w:b/>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AD375F"/>
    <w:multiLevelType w:val="hybridMultilevel"/>
    <w:tmpl w:val="B0B0C126"/>
    <w:lvl w:ilvl="0" w:tplc="49C43B8A">
      <w:start w:val="142"/>
      <w:numFmt w:val="decimal"/>
      <w:lvlText w:val="%1."/>
      <w:lvlJc w:val="left"/>
      <w:pPr>
        <w:ind w:left="720" w:hanging="360"/>
      </w:pPr>
      <w:rPr>
        <w:rFonts w:ascii="Arial" w:hAnsi="Arial" w:cs="Arial" w:hint="default"/>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4E1E33"/>
    <w:multiLevelType w:val="hybridMultilevel"/>
    <w:tmpl w:val="637E6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8D5DF4"/>
    <w:multiLevelType w:val="hybridMultilevel"/>
    <w:tmpl w:val="27A65A64"/>
    <w:lvl w:ilvl="0" w:tplc="0AEC6A80">
      <w:start w:val="3"/>
      <w:numFmt w:val="bullet"/>
      <w:lvlText w:val="-"/>
      <w:lvlJc w:val="left"/>
      <w:pPr>
        <w:ind w:left="1429" w:hanging="360"/>
      </w:pPr>
      <w:rPr>
        <w:rFonts w:ascii="Arial" w:eastAsia="Times New Roman" w:hAnsi="Arial" w:cs="Aria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15:restartNumberingAfterBreak="0">
    <w:nsid w:val="0E9E7F68"/>
    <w:multiLevelType w:val="hybridMultilevel"/>
    <w:tmpl w:val="162C06C8"/>
    <w:lvl w:ilvl="0" w:tplc="89560B02">
      <w:start w:val="1"/>
      <w:numFmt w:val="decimal"/>
      <w:lvlText w:val="%1."/>
      <w:lvlJc w:val="left"/>
      <w:pPr>
        <w:ind w:left="720" w:hanging="360"/>
      </w:pPr>
      <w:rPr>
        <w:rFonts w:ascii="Arial" w:hAnsi="Arial" w:cs="Arial" w:hint="default"/>
        <w:b w:val="0"/>
        <w:i w:val="0"/>
        <w:iCs w:val="0"/>
        <w:sz w:val="28"/>
        <w:szCs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0F305CCD"/>
    <w:multiLevelType w:val="hybridMultilevel"/>
    <w:tmpl w:val="F3E40F7E"/>
    <w:lvl w:ilvl="0" w:tplc="FFFFFFFF">
      <w:start w:val="1"/>
      <w:numFmt w:val="lowerRoman"/>
      <w:lvlText w:val="(%1)"/>
      <w:lvlJc w:val="left"/>
      <w:pPr>
        <w:ind w:left="720" w:hanging="360"/>
      </w:pPr>
      <w:rPr>
        <w:rFonts w:hint="default"/>
        <w:b w:val="0"/>
        <w:bCs w:val="0"/>
        <w:color w:val="000000" w:themeColor="text1"/>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FCA713D"/>
    <w:multiLevelType w:val="hybridMultilevel"/>
    <w:tmpl w:val="F15C1DBC"/>
    <w:lvl w:ilvl="0" w:tplc="8A78B360">
      <w:start w:val="1"/>
      <w:numFmt w:val="lowerRoman"/>
      <w:lvlText w:val="%1)"/>
      <w:lvlJc w:val="left"/>
      <w:pPr>
        <w:ind w:left="1145" w:hanging="360"/>
      </w:pPr>
      <w:rPr>
        <w:rFonts w:hint="default"/>
      </w:rPr>
    </w:lvl>
    <w:lvl w:ilvl="1" w:tplc="080A0019" w:tentative="1">
      <w:start w:val="1"/>
      <w:numFmt w:val="lowerLetter"/>
      <w:lvlText w:val="%2."/>
      <w:lvlJc w:val="left"/>
      <w:pPr>
        <w:ind w:left="1865" w:hanging="360"/>
      </w:pPr>
    </w:lvl>
    <w:lvl w:ilvl="2" w:tplc="080A001B" w:tentative="1">
      <w:start w:val="1"/>
      <w:numFmt w:val="lowerRoman"/>
      <w:lvlText w:val="%3."/>
      <w:lvlJc w:val="right"/>
      <w:pPr>
        <w:ind w:left="2585" w:hanging="180"/>
      </w:pPr>
    </w:lvl>
    <w:lvl w:ilvl="3" w:tplc="080A000F">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9" w15:restartNumberingAfterBreak="0">
    <w:nsid w:val="10EB345F"/>
    <w:multiLevelType w:val="hybridMultilevel"/>
    <w:tmpl w:val="1B5AAEAC"/>
    <w:lvl w:ilvl="0" w:tplc="8A7A14EC">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4A3F15"/>
    <w:multiLevelType w:val="hybridMultilevel"/>
    <w:tmpl w:val="0C102B9E"/>
    <w:lvl w:ilvl="0" w:tplc="9A821178">
      <w:start w:val="2"/>
      <w:numFmt w:val="lowerRoman"/>
      <w:lvlText w:val="%1)"/>
      <w:lvlJc w:val="left"/>
      <w:pPr>
        <w:ind w:left="1571" w:hanging="720"/>
      </w:pPr>
      <w:rPr>
        <w:rFonts w:hint="default"/>
        <w:b w:val="0"/>
        <w:bCs w:val="0"/>
        <w:sz w:val="26"/>
        <w:szCs w:val="26"/>
      </w:rPr>
    </w:lvl>
    <w:lvl w:ilvl="1" w:tplc="080A0019">
      <w:start w:val="1"/>
      <w:numFmt w:val="lowerLetter"/>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1B610886"/>
    <w:multiLevelType w:val="hybridMultilevel"/>
    <w:tmpl w:val="3F7CFF2A"/>
    <w:lvl w:ilvl="0" w:tplc="A70278CE">
      <w:start w:val="1"/>
      <w:numFmt w:val="decimal"/>
      <w:lvlText w:val="%1."/>
      <w:lvlJc w:val="left"/>
      <w:pPr>
        <w:ind w:left="1997" w:hanging="720"/>
      </w:pPr>
      <w:rPr>
        <w:rFonts w:ascii="Arial" w:eastAsia="Times New Roman" w:hAnsi="Arial" w:cs="Arial"/>
        <w:b w:val="0"/>
        <w:i w:val="0"/>
        <w:sz w:val="26"/>
        <w:szCs w:val="26"/>
        <w:vertAlign w:val="baseline"/>
      </w:rPr>
    </w:lvl>
    <w:lvl w:ilvl="1" w:tplc="080A001B">
      <w:start w:val="1"/>
      <w:numFmt w:val="lowerRoman"/>
      <w:lvlText w:val="%2."/>
      <w:lvlJc w:val="righ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BA37561"/>
    <w:multiLevelType w:val="hybridMultilevel"/>
    <w:tmpl w:val="9432E146"/>
    <w:lvl w:ilvl="0" w:tplc="FFFFFFFF">
      <w:start w:val="1"/>
      <w:numFmt w:val="lowerRoman"/>
      <w:lvlText w:val="(%1)"/>
      <w:lvlJc w:val="left"/>
      <w:pPr>
        <w:ind w:left="1080" w:hanging="720"/>
      </w:pPr>
      <w:rPr>
        <w:rFonts w:hint="default"/>
        <w:b w:val="0"/>
        <w:bCs w:val="0"/>
        <w:color w:val="000000" w:themeColor="text1"/>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C2D1CCA"/>
    <w:multiLevelType w:val="hybridMultilevel"/>
    <w:tmpl w:val="4E36F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DF8647D"/>
    <w:multiLevelType w:val="hybridMultilevel"/>
    <w:tmpl w:val="F396560A"/>
    <w:lvl w:ilvl="0" w:tplc="8A78B360">
      <w:start w:val="1"/>
      <w:numFmt w:val="lowerRoman"/>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E891732"/>
    <w:multiLevelType w:val="hybridMultilevel"/>
    <w:tmpl w:val="389AF068"/>
    <w:lvl w:ilvl="0" w:tplc="080A000F">
      <w:start w:val="1"/>
      <w:numFmt w:val="decimal"/>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16" w15:restartNumberingAfterBreak="0">
    <w:nsid w:val="1EC77CEE"/>
    <w:multiLevelType w:val="hybridMultilevel"/>
    <w:tmpl w:val="57BEA2B0"/>
    <w:lvl w:ilvl="0" w:tplc="AC8E4F80">
      <w:start w:val="1"/>
      <w:numFmt w:val="decimal"/>
      <w:lvlText w:val="%1."/>
      <w:lvlJc w:val="left"/>
      <w:pPr>
        <w:ind w:left="720" w:hanging="360"/>
      </w:pPr>
      <w:rPr>
        <w:rFonts w:ascii="Arial" w:eastAsia="Times New Roman" w:hAnsi="Arial" w:cs="Arial"/>
        <w:b w:val="0"/>
        <w:bCs/>
        <w:i w:val="0"/>
        <w:iCs w:val="0"/>
        <w:sz w:val="26"/>
        <w:szCs w:val="26"/>
      </w:rPr>
    </w:lvl>
    <w:lvl w:ilvl="1" w:tplc="FFFFFFFF">
      <w:start w:val="1"/>
      <w:numFmt w:val="lowerLetter"/>
      <w:lvlText w:val="%2."/>
      <w:lvlJc w:val="left"/>
      <w:pPr>
        <w:ind w:left="1440" w:hanging="360"/>
      </w:pPr>
    </w:lvl>
    <w:lvl w:ilvl="2" w:tplc="FFFFFFFF">
      <w:start w:val="1"/>
      <w:numFmt w:val="upperLetter"/>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FD85616"/>
    <w:multiLevelType w:val="hybridMultilevel"/>
    <w:tmpl w:val="B2086150"/>
    <w:lvl w:ilvl="0" w:tplc="C2722452">
      <w:start w:val="1"/>
      <w:numFmt w:val="lowerLetter"/>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02E4508"/>
    <w:multiLevelType w:val="hybridMultilevel"/>
    <w:tmpl w:val="1BBC5A2A"/>
    <w:lvl w:ilvl="0" w:tplc="FFFFFFFF">
      <w:start w:val="1"/>
      <w:numFmt w:val="decimal"/>
      <w:lvlText w:val="%1."/>
      <w:lvlJc w:val="left"/>
      <w:pPr>
        <w:ind w:left="5748" w:hanging="360"/>
      </w:pPr>
      <w:rPr>
        <w:b w:val="0"/>
        <w:bCs w:val="0"/>
        <w:i w:val="0"/>
        <w:iCs w:val="0"/>
        <w:color w:val="000000" w:themeColor="text1"/>
        <w:sz w:val="26"/>
        <w:szCs w:val="26"/>
        <w:lang w:val="es-MX"/>
      </w:rPr>
    </w:lvl>
    <w:lvl w:ilvl="1" w:tplc="FFFFFFFF">
      <w:start w:val="1"/>
      <w:numFmt w:val="lowerLetter"/>
      <w:lvlText w:val="%2."/>
      <w:lvlJc w:val="left"/>
      <w:pPr>
        <w:ind w:left="2640" w:hanging="360"/>
      </w:pPr>
      <w:rPr>
        <w:b/>
        <w:bCs/>
      </w:rPr>
    </w:lvl>
    <w:lvl w:ilvl="2" w:tplc="FFFFFFFF">
      <w:start w:val="1"/>
      <w:numFmt w:val="lowerLetter"/>
      <w:lvlText w:val="%3)"/>
      <w:lvlJc w:val="left"/>
      <w:pPr>
        <w:ind w:left="3540" w:hanging="360"/>
      </w:pPr>
      <w:rPr>
        <w:rFonts w:hint="default"/>
      </w:rPr>
    </w:lvl>
    <w:lvl w:ilvl="3" w:tplc="FFFFFFFF">
      <w:start w:val="1"/>
      <w:numFmt w:val="upperLetter"/>
      <w:lvlText w:val="%4."/>
      <w:lvlJc w:val="left"/>
      <w:pPr>
        <w:ind w:left="644" w:hanging="360"/>
      </w:pPr>
      <w:rPr>
        <w:rFonts w:hint="default"/>
      </w:r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19" w15:restartNumberingAfterBreak="0">
    <w:nsid w:val="2454554B"/>
    <w:multiLevelType w:val="hybridMultilevel"/>
    <w:tmpl w:val="28CEED00"/>
    <w:lvl w:ilvl="0" w:tplc="080A0015">
      <w:start w:val="9"/>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4FC0F1D"/>
    <w:multiLevelType w:val="multilevel"/>
    <w:tmpl w:val="86ACF30E"/>
    <w:lvl w:ilvl="0">
      <w:start w:val="20"/>
      <w:numFmt w:val="decimal"/>
      <w:lvlText w:val="%1."/>
      <w:lvlJc w:val="left"/>
      <w:pPr>
        <w:ind w:left="645" w:hanging="645"/>
      </w:pPr>
      <w:rPr>
        <w:rFonts w:hint="default"/>
        <w:b w:val="0"/>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2A924C95"/>
    <w:multiLevelType w:val="hybridMultilevel"/>
    <w:tmpl w:val="F44A505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B691E9D"/>
    <w:multiLevelType w:val="hybridMultilevel"/>
    <w:tmpl w:val="260E6E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F7A061D"/>
    <w:multiLevelType w:val="hybridMultilevel"/>
    <w:tmpl w:val="5D56109A"/>
    <w:lvl w:ilvl="0" w:tplc="8A78B360">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1E60AC7"/>
    <w:multiLevelType w:val="hybridMultilevel"/>
    <w:tmpl w:val="513CE606"/>
    <w:lvl w:ilvl="0" w:tplc="062874CC">
      <w:start w:val="2"/>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2E774FD"/>
    <w:multiLevelType w:val="hybridMultilevel"/>
    <w:tmpl w:val="A418CBB2"/>
    <w:lvl w:ilvl="0" w:tplc="7F5EBE5E">
      <w:start w:val="174"/>
      <w:numFmt w:val="bullet"/>
      <w:lvlText w:val="-"/>
      <w:lvlJc w:val="left"/>
      <w:pPr>
        <w:ind w:left="-207" w:hanging="360"/>
      </w:pPr>
      <w:rPr>
        <w:rFonts w:ascii="Arial" w:eastAsia="Times New Roman" w:hAnsi="Arial" w:cs="Arial" w:hint="default"/>
      </w:rPr>
    </w:lvl>
    <w:lvl w:ilvl="1" w:tplc="080A0003" w:tentative="1">
      <w:start w:val="1"/>
      <w:numFmt w:val="bullet"/>
      <w:lvlText w:val="o"/>
      <w:lvlJc w:val="left"/>
      <w:pPr>
        <w:ind w:left="513" w:hanging="360"/>
      </w:pPr>
      <w:rPr>
        <w:rFonts w:ascii="Courier New" w:hAnsi="Courier New" w:cs="Courier New" w:hint="default"/>
      </w:rPr>
    </w:lvl>
    <w:lvl w:ilvl="2" w:tplc="080A0005" w:tentative="1">
      <w:start w:val="1"/>
      <w:numFmt w:val="bullet"/>
      <w:lvlText w:val=""/>
      <w:lvlJc w:val="left"/>
      <w:pPr>
        <w:ind w:left="1233" w:hanging="360"/>
      </w:pPr>
      <w:rPr>
        <w:rFonts w:ascii="Wingdings" w:hAnsi="Wingdings" w:hint="default"/>
      </w:rPr>
    </w:lvl>
    <w:lvl w:ilvl="3" w:tplc="080A0001" w:tentative="1">
      <w:start w:val="1"/>
      <w:numFmt w:val="bullet"/>
      <w:lvlText w:val=""/>
      <w:lvlJc w:val="left"/>
      <w:pPr>
        <w:ind w:left="1953" w:hanging="360"/>
      </w:pPr>
      <w:rPr>
        <w:rFonts w:ascii="Symbol" w:hAnsi="Symbol" w:hint="default"/>
      </w:rPr>
    </w:lvl>
    <w:lvl w:ilvl="4" w:tplc="080A0003" w:tentative="1">
      <w:start w:val="1"/>
      <w:numFmt w:val="bullet"/>
      <w:lvlText w:val="o"/>
      <w:lvlJc w:val="left"/>
      <w:pPr>
        <w:ind w:left="2673" w:hanging="360"/>
      </w:pPr>
      <w:rPr>
        <w:rFonts w:ascii="Courier New" w:hAnsi="Courier New" w:cs="Courier New" w:hint="default"/>
      </w:rPr>
    </w:lvl>
    <w:lvl w:ilvl="5" w:tplc="080A0005" w:tentative="1">
      <w:start w:val="1"/>
      <w:numFmt w:val="bullet"/>
      <w:lvlText w:val=""/>
      <w:lvlJc w:val="left"/>
      <w:pPr>
        <w:ind w:left="3393" w:hanging="360"/>
      </w:pPr>
      <w:rPr>
        <w:rFonts w:ascii="Wingdings" w:hAnsi="Wingdings" w:hint="default"/>
      </w:rPr>
    </w:lvl>
    <w:lvl w:ilvl="6" w:tplc="080A0001" w:tentative="1">
      <w:start w:val="1"/>
      <w:numFmt w:val="bullet"/>
      <w:lvlText w:val=""/>
      <w:lvlJc w:val="left"/>
      <w:pPr>
        <w:ind w:left="4113" w:hanging="360"/>
      </w:pPr>
      <w:rPr>
        <w:rFonts w:ascii="Symbol" w:hAnsi="Symbol" w:hint="default"/>
      </w:rPr>
    </w:lvl>
    <w:lvl w:ilvl="7" w:tplc="080A0003" w:tentative="1">
      <w:start w:val="1"/>
      <w:numFmt w:val="bullet"/>
      <w:lvlText w:val="o"/>
      <w:lvlJc w:val="left"/>
      <w:pPr>
        <w:ind w:left="4833" w:hanging="360"/>
      </w:pPr>
      <w:rPr>
        <w:rFonts w:ascii="Courier New" w:hAnsi="Courier New" w:cs="Courier New" w:hint="default"/>
      </w:rPr>
    </w:lvl>
    <w:lvl w:ilvl="8" w:tplc="080A0005" w:tentative="1">
      <w:start w:val="1"/>
      <w:numFmt w:val="bullet"/>
      <w:lvlText w:val=""/>
      <w:lvlJc w:val="left"/>
      <w:pPr>
        <w:ind w:left="5553" w:hanging="360"/>
      </w:pPr>
      <w:rPr>
        <w:rFonts w:ascii="Wingdings" w:hAnsi="Wingdings" w:hint="default"/>
      </w:rPr>
    </w:lvl>
  </w:abstractNum>
  <w:abstractNum w:abstractNumId="26" w15:restartNumberingAfterBreak="0">
    <w:nsid w:val="345D1625"/>
    <w:multiLevelType w:val="hybridMultilevel"/>
    <w:tmpl w:val="A8987F6A"/>
    <w:lvl w:ilvl="0" w:tplc="99E213A0">
      <w:start w:val="1"/>
      <w:numFmt w:val="bullet"/>
      <w:lvlText w:val="-"/>
      <w:lvlJc w:val="left"/>
      <w:pPr>
        <w:ind w:left="720" w:hanging="360"/>
      </w:pPr>
      <w:rPr>
        <w:rFonts w:ascii="Arial" w:eastAsiaTheme="minorHAnsi" w:hAnsi="Arial" w:cs="Arial" w:hint="default"/>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584344E"/>
    <w:multiLevelType w:val="hybridMultilevel"/>
    <w:tmpl w:val="8D78BE04"/>
    <w:lvl w:ilvl="0" w:tplc="31421CDC">
      <w:start w:val="1"/>
      <w:numFmt w:val="decimal"/>
      <w:lvlText w:val="%1."/>
      <w:lvlJc w:val="left"/>
      <w:pPr>
        <w:ind w:left="5180" w:hanging="360"/>
      </w:pPr>
      <w:rPr>
        <w:rFonts w:ascii="Arial" w:hAnsi="Arial" w:cs="Arial" w:hint="default"/>
        <w:b w:val="0"/>
        <w:i w:val="0"/>
        <w:sz w:val="26"/>
        <w:szCs w:val="26"/>
        <w:lang w:val="es-ES_tradnl"/>
      </w:rPr>
    </w:lvl>
    <w:lvl w:ilvl="1" w:tplc="0C402DCE">
      <w:start w:val="5"/>
      <w:numFmt w:val="lowerLetter"/>
      <w:lvlText w:val="%2)"/>
      <w:lvlJc w:val="left"/>
      <w:pPr>
        <w:ind w:left="1440" w:hanging="360"/>
      </w:pPr>
      <w:rPr>
        <w:rFonts w:ascii="Arial" w:eastAsia="Times New Roman"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8E85D89"/>
    <w:multiLevelType w:val="hybridMultilevel"/>
    <w:tmpl w:val="789094F0"/>
    <w:lvl w:ilvl="0" w:tplc="49581110">
      <w:start w:val="1"/>
      <w:numFmt w:val="lowerRoman"/>
      <w:lvlText w:val="%1)"/>
      <w:lvlJc w:val="left"/>
      <w:pPr>
        <w:ind w:left="720" w:hanging="360"/>
      </w:pPr>
      <w:rPr>
        <w:rFonts w:hint="default"/>
        <w:b/>
        <w:bCs/>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B4B6429"/>
    <w:multiLevelType w:val="hybridMultilevel"/>
    <w:tmpl w:val="855A505A"/>
    <w:numStyleLink w:val="Estiloimportado2"/>
  </w:abstractNum>
  <w:abstractNum w:abstractNumId="30" w15:restartNumberingAfterBreak="0">
    <w:nsid w:val="43C75FC9"/>
    <w:multiLevelType w:val="hybridMultilevel"/>
    <w:tmpl w:val="7F5C882C"/>
    <w:lvl w:ilvl="0" w:tplc="41E41CC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3D450D2"/>
    <w:multiLevelType w:val="hybridMultilevel"/>
    <w:tmpl w:val="3ACC197A"/>
    <w:lvl w:ilvl="0" w:tplc="9E76B4C8">
      <w:start w:val="1"/>
      <w:numFmt w:val="lowerRoman"/>
      <w:lvlText w:val="(%1)"/>
      <w:lvlJc w:val="left"/>
      <w:pPr>
        <w:ind w:left="10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51F6937"/>
    <w:multiLevelType w:val="hybridMultilevel"/>
    <w:tmpl w:val="42F4E244"/>
    <w:lvl w:ilvl="0" w:tplc="FFFFFFFF">
      <w:start w:val="1"/>
      <w:numFmt w:val="lowerRoman"/>
      <w:lvlText w:val="%1)"/>
      <w:lvlJc w:val="left"/>
      <w:pPr>
        <w:ind w:left="1145" w:hanging="360"/>
      </w:pPr>
      <w:rPr>
        <w:rFonts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8A78B360">
      <w:start w:val="1"/>
      <w:numFmt w:val="lowerRoman"/>
      <w:lvlText w:val="%4)"/>
      <w:lvlJc w:val="left"/>
      <w:pPr>
        <w:ind w:left="720" w:hanging="360"/>
      </w:pPr>
      <w:rPr>
        <w:rFonts w:hint="default"/>
      </w:r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33" w15:restartNumberingAfterBreak="0">
    <w:nsid w:val="4AEC0FD2"/>
    <w:multiLevelType w:val="hybridMultilevel"/>
    <w:tmpl w:val="2F74EDC2"/>
    <w:lvl w:ilvl="0" w:tplc="D8560C24">
      <w:start w:val="1"/>
      <w:numFmt w:val="lowerRoman"/>
      <w:lvlText w:val="(%1)"/>
      <w:lvlJc w:val="left"/>
      <w:pPr>
        <w:ind w:left="1440" w:hanging="360"/>
      </w:pPr>
      <w:rPr>
        <w:rFonts w:hint="default"/>
        <w:b/>
        <w:bCs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4D406780"/>
    <w:multiLevelType w:val="hybridMultilevel"/>
    <w:tmpl w:val="62F003A0"/>
    <w:lvl w:ilvl="0" w:tplc="5E322F5E">
      <w:start w:val="1"/>
      <w:numFmt w:val="decimal"/>
      <w:lvlText w:val="%1."/>
      <w:lvlJc w:val="left"/>
      <w:pPr>
        <w:ind w:left="546" w:hanging="569"/>
      </w:pPr>
      <w:rPr>
        <w:rFonts w:ascii="Arial" w:eastAsia="Arial" w:hAnsi="Arial" w:cs="Arial" w:hint="default"/>
        <w:b w:val="0"/>
        <w:bCs/>
        <w:i w:val="0"/>
        <w:iCs w:val="0"/>
        <w:color w:val="auto"/>
        <w:spacing w:val="-1"/>
        <w:w w:val="99"/>
        <w:sz w:val="26"/>
        <w:szCs w:val="26"/>
      </w:rPr>
    </w:lvl>
    <w:lvl w:ilvl="1" w:tplc="542ECF72">
      <w:start w:val="1"/>
      <w:numFmt w:val="bullet"/>
      <w:lvlText w:val="•"/>
      <w:lvlJc w:val="left"/>
      <w:pPr>
        <w:ind w:left="1452" w:hanging="569"/>
      </w:pPr>
      <w:rPr>
        <w:rFonts w:hint="default"/>
      </w:rPr>
    </w:lvl>
    <w:lvl w:ilvl="2" w:tplc="F8E87ED6">
      <w:start w:val="1"/>
      <w:numFmt w:val="bullet"/>
      <w:lvlText w:val="•"/>
      <w:lvlJc w:val="left"/>
      <w:pPr>
        <w:ind w:left="2357" w:hanging="569"/>
      </w:pPr>
      <w:rPr>
        <w:rFonts w:hint="default"/>
      </w:rPr>
    </w:lvl>
    <w:lvl w:ilvl="3" w:tplc="45E25BBA">
      <w:start w:val="1"/>
      <w:numFmt w:val="bullet"/>
      <w:lvlText w:val="•"/>
      <w:lvlJc w:val="left"/>
      <w:pPr>
        <w:ind w:left="3263" w:hanging="569"/>
      </w:pPr>
      <w:rPr>
        <w:rFonts w:hint="default"/>
      </w:rPr>
    </w:lvl>
    <w:lvl w:ilvl="4" w:tplc="8A148FC6">
      <w:start w:val="1"/>
      <w:numFmt w:val="bullet"/>
      <w:lvlText w:val="•"/>
      <w:lvlJc w:val="left"/>
      <w:pPr>
        <w:ind w:left="4168" w:hanging="569"/>
      </w:pPr>
      <w:rPr>
        <w:rFonts w:hint="default"/>
      </w:rPr>
    </w:lvl>
    <w:lvl w:ilvl="5" w:tplc="2F263650">
      <w:start w:val="1"/>
      <w:numFmt w:val="bullet"/>
      <w:lvlText w:val="•"/>
      <w:lvlJc w:val="left"/>
      <w:pPr>
        <w:ind w:left="5074" w:hanging="569"/>
      </w:pPr>
      <w:rPr>
        <w:rFonts w:hint="default"/>
      </w:rPr>
    </w:lvl>
    <w:lvl w:ilvl="6" w:tplc="17C897A2">
      <w:start w:val="1"/>
      <w:numFmt w:val="bullet"/>
      <w:lvlText w:val="•"/>
      <w:lvlJc w:val="left"/>
      <w:pPr>
        <w:ind w:left="5980" w:hanging="569"/>
      </w:pPr>
      <w:rPr>
        <w:rFonts w:hint="default"/>
      </w:rPr>
    </w:lvl>
    <w:lvl w:ilvl="7" w:tplc="93B64518">
      <w:start w:val="1"/>
      <w:numFmt w:val="bullet"/>
      <w:lvlText w:val="•"/>
      <w:lvlJc w:val="left"/>
      <w:pPr>
        <w:ind w:left="6885" w:hanging="569"/>
      </w:pPr>
      <w:rPr>
        <w:rFonts w:hint="default"/>
      </w:rPr>
    </w:lvl>
    <w:lvl w:ilvl="8" w:tplc="1B1E8E52">
      <w:start w:val="1"/>
      <w:numFmt w:val="bullet"/>
      <w:lvlText w:val="•"/>
      <w:lvlJc w:val="left"/>
      <w:pPr>
        <w:ind w:left="7791" w:hanging="569"/>
      </w:pPr>
      <w:rPr>
        <w:rFonts w:hint="default"/>
      </w:rPr>
    </w:lvl>
  </w:abstractNum>
  <w:abstractNum w:abstractNumId="35" w15:restartNumberingAfterBreak="0">
    <w:nsid w:val="510C7A32"/>
    <w:multiLevelType w:val="hybridMultilevel"/>
    <w:tmpl w:val="4AFC3C10"/>
    <w:lvl w:ilvl="0" w:tplc="8A78B360">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1EF0B90"/>
    <w:multiLevelType w:val="hybridMultilevel"/>
    <w:tmpl w:val="340C2544"/>
    <w:lvl w:ilvl="0" w:tplc="ADD8B32A">
      <w:start w:val="1"/>
      <w:numFmt w:val="lowerRoman"/>
      <w:lvlText w:val="(%1)"/>
      <w:lvlJc w:val="left"/>
      <w:pPr>
        <w:ind w:left="720" w:hanging="360"/>
      </w:pPr>
      <w:rPr>
        <w:rFonts w:hint="default"/>
        <w:b w:val="0"/>
        <w:bCs w:val="0"/>
        <w:color w:val="000000" w:themeColor="text1"/>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D2C0C286">
      <w:start w:val="1"/>
      <w:numFmt w:val="lowerRoman"/>
      <w:lvlText w:val="%5)"/>
      <w:lvlJc w:val="left"/>
      <w:pPr>
        <w:ind w:left="3960" w:hanging="720"/>
      </w:pPr>
      <w:rPr>
        <w:rFonts w:hint="default"/>
      </w:rPr>
    </w:lvl>
    <w:lvl w:ilvl="5" w:tplc="BA6EA22C">
      <w:start w:val="1"/>
      <w:numFmt w:val="upperRoman"/>
      <w:lvlText w:val="%6)"/>
      <w:lvlJc w:val="left"/>
      <w:pPr>
        <w:ind w:left="4860" w:hanging="720"/>
      </w:pPr>
      <w:rPr>
        <w:rFonts w:hint="default"/>
      </w:rPr>
    </w:lvl>
    <w:lvl w:ilvl="6" w:tplc="0AEC6A80">
      <w:start w:val="3"/>
      <w:numFmt w:val="bullet"/>
      <w:lvlText w:val="-"/>
      <w:lvlJc w:val="left"/>
      <w:pPr>
        <w:ind w:left="5040" w:hanging="360"/>
      </w:pPr>
      <w:rPr>
        <w:rFonts w:ascii="Arial" w:eastAsia="Times New Roman" w:hAnsi="Arial" w:cs="Arial" w:hint="default"/>
      </w:r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2000DF1"/>
    <w:multiLevelType w:val="hybridMultilevel"/>
    <w:tmpl w:val="1BBC5A2A"/>
    <w:lvl w:ilvl="0" w:tplc="FFFFFFFF">
      <w:start w:val="1"/>
      <w:numFmt w:val="decimal"/>
      <w:lvlText w:val="%1."/>
      <w:lvlJc w:val="left"/>
      <w:pPr>
        <w:ind w:left="5748" w:hanging="360"/>
      </w:pPr>
      <w:rPr>
        <w:b w:val="0"/>
        <w:bCs w:val="0"/>
        <w:i w:val="0"/>
        <w:iCs w:val="0"/>
        <w:color w:val="000000" w:themeColor="text1"/>
        <w:sz w:val="26"/>
        <w:szCs w:val="26"/>
        <w:lang w:val="es-MX"/>
      </w:rPr>
    </w:lvl>
    <w:lvl w:ilvl="1" w:tplc="FFFFFFFF">
      <w:start w:val="1"/>
      <w:numFmt w:val="lowerLetter"/>
      <w:lvlText w:val="%2."/>
      <w:lvlJc w:val="left"/>
      <w:pPr>
        <w:ind w:left="2640" w:hanging="360"/>
      </w:pPr>
      <w:rPr>
        <w:b/>
        <w:bCs/>
      </w:rPr>
    </w:lvl>
    <w:lvl w:ilvl="2" w:tplc="FFFFFFFF">
      <w:start w:val="1"/>
      <w:numFmt w:val="lowerLetter"/>
      <w:lvlText w:val="%3)"/>
      <w:lvlJc w:val="left"/>
      <w:pPr>
        <w:ind w:left="3540" w:hanging="360"/>
      </w:pPr>
      <w:rPr>
        <w:rFonts w:hint="default"/>
      </w:rPr>
    </w:lvl>
    <w:lvl w:ilvl="3" w:tplc="FFFFFFFF">
      <w:start w:val="1"/>
      <w:numFmt w:val="upperLetter"/>
      <w:lvlText w:val="%4."/>
      <w:lvlJc w:val="left"/>
      <w:pPr>
        <w:ind w:left="644" w:hanging="360"/>
      </w:pPr>
      <w:rPr>
        <w:rFonts w:hint="default"/>
      </w:r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38" w15:restartNumberingAfterBreak="0">
    <w:nsid w:val="5841104E"/>
    <w:multiLevelType w:val="hybridMultilevel"/>
    <w:tmpl w:val="595814C8"/>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9" w15:restartNumberingAfterBreak="0">
    <w:nsid w:val="59502D28"/>
    <w:multiLevelType w:val="hybridMultilevel"/>
    <w:tmpl w:val="21BA33D4"/>
    <w:lvl w:ilvl="0" w:tplc="D5EA0A24">
      <w:start w:val="21"/>
      <w:numFmt w:val="decimal"/>
      <w:lvlText w:val="%1."/>
      <w:lvlJc w:val="left"/>
      <w:pPr>
        <w:ind w:left="5748" w:hanging="360"/>
      </w:pPr>
      <w:rPr>
        <w:rFonts w:hint="default"/>
        <w:b w:val="0"/>
        <w:bCs w:val="0"/>
        <w:i w:val="0"/>
        <w:iCs w:val="0"/>
        <w:color w:val="000000" w:themeColor="text1"/>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AA36F59"/>
    <w:multiLevelType w:val="hybridMultilevel"/>
    <w:tmpl w:val="5A76DBA0"/>
    <w:lvl w:ilvl="0" w:tplc="5E4C106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DC04E82"/>
    <w:multiLevelType w:val="hybridMultilevel"/>
    <w:tmpl w:val="A5762724"/>
    <w:lvl w:ilvl="0" w:tplc="841C99DA">
      <w:start w:val="1"/>
      <w:numFmt w:val="decimal"/>
      <w:lvlText w:val="%1."/>
      <w:lvlJc w:val="left"/>
      <w:pPr>
        <w:ind w:left="5748" w:hanging="360"/>
      </w:pPr>
      <w:rPr>
        <w:b w:val="0"/>
        <w:bCs w:val="0"/>
        <w:i w:val="0"/>
        <w:iCs w:val="0"/>
        <w:color w:val="000000" w:themeColor="text1"/>
        <w:sz w:val="26"/>
        <w:szCs w:val="26"/>
        <w:lang w:val="es-MX"/>
      </w:rPr>
    </w:lvl>
    <w:lvl w:ilvl="1" w:tplc="1A28BD9E">
      <w:start w:val="1"/>
      <w:numFmt w:val="lowerLetter"/>
      <w:lvlText w:val="%2."/>
      <w:lvlJc w:val="left"/>
      <w:pPr>
        <w:ind w:left="2640" w:hanging="360"/>
      </w:pPr>
      <w:rPr>
        <w:b/>
        <w:bCs/>
      </w:rPr>
    </w:lvl>
    <w:lvl w:ilvl="2" w:tplc="BB02CDAA">
      <w:start w:val="1"/>
      <w:numFmt w:val="lowerLetter"/>
      <w:lvlText w:val="%3)"/>
      <w:lvlJc w:val="left"/>
      <w:pPr>
        <w:ind w:left="3540" w:hanging="360"/>
      </w:pPr>
      <w:rPr>
        <w:rFonts w:hint="default"/>
      </w:rPr>
    </w:lvl>
    <w:lvl w:ilvl="3" w:tplc="4A4487FC">
      <w:start w:val="1"/>
      <w:numFmt w:val="upperLetter"/>
      <w:lvlText w:val="%4."/>
      <w:lvlJc w:val="left"/>
      <w:pPr>
        <w:ind w:left="644" w:hanging="360"/>
      </w:pPr>
      <w:rPr>
        <w:rFonts w:hint="default"/>
      </w:r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42" w15:restartNumberingAfterBreak="0">
    <w:nsid w:val="5F0C152F"/>
    <w:multiLevelType w:val="hybridMultilevel"/>
    <w:tmpl w:val="A3127B06"/>
    <w:lvl w:ilvl="0" w:tplc="EF7CFC98">
      <w:start w:val="121"/>
      <w:numFmt w:val="decimal"/>
      <w:lvlText w:val="%1."/>
      <w:lvlJc w:val="left"/>
      <w:pPr>
        <w:ind w:left="2880" w:hanging="360"/>
      </w:pPr>
      <w:rPr>
        <w:rFonts w:hint="default"/>
        <w:b w:val="0"/>
        <w:bCs/>
        <w:color w:val="000000" w:themeColor="text1"/>
        <w:sz w:val="26"/>
        <w:szCs w:val="2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59906FA6">
      <w:start w:val="1"/>
      <w:numFmt w:val="low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0544C13"/>
    <w:multiLevelType w:val="hybridMultilevel"/>
    <w:tmpl w:val="855A505A"/>
    <w:styleLink w:val="Estiloimportado2"/>
    <w:lvl w:ilvl="0" w:tplc="F02C461E">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68F01AC0">
      <w:start w:val="1"/>
      <w:numFmt w:val="lowerLetter"/>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A07C3420">
      <w:start w:val="1"/>
      <w:numFmt w:val="lowerRoman"/>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0F94FF12">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DC4E1B6C">
      <w:start w:val="1"/>
      <w:numFmt w:val="lowerLetter"/>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4CDCF53A">
      <w:start w:val="1"/>
      <w:numFmt w:val="lowerRoman"/>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343EB310">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E2C09706">
      <w:start w:val="1"/>
      <w:numFmt w:val="lowerLetter"/>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2ED897CA">
      <w:start w:val="1"/>
      <w:numFmt w:val="lowerRoman"/>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44" w15:restartNumberingAfterBreak="0">
    <w:nsid w:val="607832DE"/>
    <w:multiLevelType w:val="hybridMultilevel"/>
    <w:tmpl w:val="4222A06A"/>
    <w:lvl w:ilvl="0" w:tplc="E7A64E46">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488055C"/>
    <w:multiLevelType w:val="hybridMultilevel"/>
    <w:tmpl w:val="2BBE9704"/>
    <w:lvl w:ilvl="0" w:tplc="F9D4C9BC">
      <w:start w:val="1"/>
      <w:numFmt w:val="upperRoman"/>
      <w:lvlText w:val="%1."/>
      <w:lvlJc w:val="left"/>
      <w:pPr>
        <w:ind w:left="1080" w:hanging="720"/>
      </w:pPr>
      <w:rPr>
        <w:rFonts w:hint="default"/>
        <w:b w:val="0"/>
        <w:bCs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D592DD8"/>
    <w:multiLevelType w:val="hybridMultilevel"/>
    <w:tmpl w:val="1BBC5A2A"/>
    <w:lvl w:ilvl="0" w:tplc="FFFFFFFF">
      <w:start w:val="1"/>
      <w:numFmt w:val="decimal"/>
      <w:lvlText w:val="%1."/>
      <w:lvlJc w:val="left"/>
      <w:pPr>
        <w:ind w:left="5748" w:hanging="360"/>
      </w:pPr>
      <w:rPr>
        <w:b w:val="0"/>
        <w:bCs w:val="0"/>
        <w:i w:val="0"/>
        <w:iCs w:val="0"/>
        <w:color w:val="000000" w:themeColor="text1"/>
        <w:sz w:val="26"/>
        <w:szCs w:val="26"/>
        <w:lang w:val="es-MX"/>
      </w:rPr>
    </w:lvl>
    <w:lvl w:ilvl="1" w:tplc="FFFFFFFF">
      <w:start w:val="1"/>
      <w:numFmt w:val="lowerLetter"/>
      <w:lvlText w:val="%2."/>
      <w:lvlJc w:val="left"/>
      <w:pPr>
        <w:ind w:left="2640" w:hanging="360"/>
      </w:pPr>
      <w:rPr>
        <w:b/>
        <w:bCs/>
      </w:rPr>
    </w:lvl>
    <w:lvl w:ilvl="2" w:tplc="FFFFFFFF">
      <w:start w:val="1"/>
      <w:numFmt w:val="lowerLetter"/>
      <w:lvlText w:val="%3)"/>
      <w:lvlJc w:val="left"/>
      <w:pPr>
        <w:ind w:left="3540" w:hanging="360"/>
      </w:pPr>
      <w:rPr>
        <w:rFonts w:hint="default"/>
      </w:rPr>
    </w:lvl>
    <w:lvl w:ilvl="3" w:tplc="FFFFFFFF">
      <w:start w:val="1"/>
      <w:numFmt w:val="upperLetter"/>
      <w:lvlText w:val="%4."/>
      <w:lvlJc w:val="left"/>
      <w:pPr>
        <w:ind w:left="644" w:hanging="360"/>
      </w:pPr>
      <w:rPr>
        <w:rFonts w:hint="default"/>
      </w:r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47" w15:restartNumberingAfterBreak="0">
    <w:nsid w:val="6FF15006"/>
    <w:multiLevelType w:val="hybridMultilevel"/>
    <w:tmpl w:val="45CAA9DC"/>
    <w:lvl w:ilvl="0" w:tplc="8A78B360">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0FA6EDE"/>
    <w:multiLevelType w:val="hybridMultilevel"/>
    <w:tmpl w:val="0D34C74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1F638F0"/>
    <w:multiLevelType w:val="hybridMultilevel"/>
    <w:tmpl w:val="1224556E"/>
    <w:lvl w:ilvl="0" w:tplc="E3A6F15A">
      <w:start w:val="1"/>
      <w:numFmt w:val="upp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21D06A1"/>
    <w:multiLevelType w:val="hybridMultilevel"/>
    <w:tmpl w:val="5A46B626"/>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F6A6C08"/>
    <w:multiLevelType w:val="hybridMultilevel"/>
    <w:tmpl w:val="F6CECDFC"/>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02319099">
    <w:abstractNumId w:val="19"/>
  </w:num>
  <w:num w:numId="2" w16cid:durableId="1209729975">
    <w:abstractNumId w:val="41"/>
  </w:num>
  <w:num w:numId="3" w16cid:durableId="813330591">
    <w:abstractNumId w:val="44"/>
  </w:num>
  <w:num w:numId="4" w16cid:durableId="795178355">
    <w:abstractNumId w:val="13"/>
  </w:num>
  <w:num w:numId="5" w16cid:durableId="1165558640">
    <w:abstractNumId w:val="1"/>
  </w:num>
  <w:num w:numId="6" w16cid:durableId="1750345646">
    <w:abstractNumId w:val="36"/>
  </w:num>
  <w:num w:numId="7" w16cid:durableId="255595527">
    <w:abstractNumId w:val="10"/>
  </w:num>
  <w:num w:numId="8" w16cid:durableId="1739745995">
    <w:abstractNumId w:val="0"/>
  </w:num>
  <w:num w:numId="9" w16cid:durableId="1515538133">
    <w:abstractNumId w:val="17"/>
  </w:num>
  <w:num w:numId="10" w16cid:durableId="1911690278">
    <w:abstractNumId w:val="31"/>
  </w:num>
  <w:num w:numId="11" w16cid:durableId="1204632700">
    <w:abstractNumId w:val="49"/>
  </w:num>
  <w:num w:numId="12" w16cid:durableId="981040271">
    <w:abstractNumId w:val="2"/>
  </w:num>
  <w:num w:numId="13" w16cid:durableId="2075198020">
    <w:abstractNumId w:val="9"/>
  </w:num>
  <w:num w:numId="14" w16cid:durableId="1132405594">
    <w:abstractNumId w:val="28"/>
  </w:num>
  <w:num w:numId="15" w16cid:durableId="1955016922">
    <w:abstractNumId w:val="51"/>
  </w:num>
  <w:num w:numId="16" w16cid:durableId="521631528">
    <w:abstractNumId w:val="4"/>
  </w:num>
  <w:num w:numId="17" w16cid:durableId="1195339333">
    <w:abstractNumId w:val="26"/>
  </w:num>
  <w:num w:numId="18" w16cid:durableId="280765313">
    <w:abstractNumId w:val="50"/>
  </w:num>
  <w:num w:numId="19" w16cid:durableId="1746957295">
    <w:abstractNumId w:val="38"/>
  </w:num>
  <w:num w:numId="20" w16cid:durableId="1307054983">
    <w:abstractNumId w:val="33"/>
  </w:num>
  <w:num w:numId="21" w16cid:durableId="645161286">
    <w:abstractNumId w:val="34"/>
  </w:num>
  <w:num w:numId="22" w16cid:durableId="909582328">
    <w:abstractNumId w:val="40"/>
  </w:num>
  <w:num w:numId="23" w16cid:durableId="1912353410">
    <w:abstractNumId w:val="7"/>
  </w:num>
  <w:num w:numId="24" w16cid:durableId="1382560616">
    <w:abstractNumId w:val="12"/>
  </w:num>
  <w:num w:numId="25" w16cid:durableId="716204822">
    <w:abstractNumId w:val="43"/>
  </w:num>
  <w:num w:numId="26" w16cid:durableId="130902157">
    <w:abstractNumId w:val="29"/>
    <w:lvlOverride w:ilvl="0">
      <w:lvl w:ilvl="0" w:tplc="998E4D12">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sz w:val="26"/>
          <w:szCs w:val="26"/>
          <w:highlight w:val="none"/>
          <w:vertAlign w:val="baseline"/>
          <w:lang w:val="es-MX"/>
        </w:rPr>
      </w:lvl>
    </w:lvlOverride>
  </w:num>
  <w:num w:numId="27" w16cid:durableId="1112474441">
    <w:abstractNumId w:val="23"/>
  </w:num>
  <w:num w:numId="28" w16cid:durableId="1485581918">
    <w:abstractNumId w:val="14"/>
  </w:num>
  <w:num w:numId="29" w16cid:durableId="2022969510">
    <w:abstractNumId w:val="45"/>
  </w:num>
  <w:num w:numId="30" w16cid:durableId="975986944">
    <w:abstractNumId w:val="22"/>
  </w:num>
  <w:num w:numId="31" w16cid:durableId="940262037">
    <w:abstractNumId w:val="47"/>
  </w:num>
  <w:num w:numId="32" w16cid:durableId="1532840005">
    <w:abstractNumId w:val="35"/>
  </w:num>
  <w:num w:numId="33" w16cid:durableId="660154913">
    <w:abstractNumId w:val="42"/>
  </w:num>
  <w:num w:numId="34" w16cid:durableId="72165886">
    <w:abstractNumId w:val="15"/>
  </w:num>
  <w:num w:numId="35" w16cid:durableId="1328748606">
    <w:abstractNumId w:val="25"/>
  </w:num>
  <w:num w:numId="36" w16cid:durableId="1601645001">
    <w:abstractNumId w:val="20"/>
  </w:num>
  <w:num w:numId="37" w16cid:durableId="775101738">
    <w:abstractNumId w:val="24"/>
  </w:num>
  <w:num w:numId="38" w16cid:durableId="231963643">
    <w:abstractNumId w:val="30"/>
  </w:num>
  <w:num w:numId="39" w16cid:durableId="496961459">
    <w:abstractNumId w:val="3"/>
  </w:num>
  <w:num w:numId="40" w16cid:durableId="1012562721">
    <w:abstractNumId w:val="48"/>
  </w:num>
  <w:num w:numId="41" w16cid:durableId="1342122883">
    <w:abstractNumId w:val="27"/>
  </w:num>
  <w:num w:numId="42" w16cid:durableId="259534445">
    <w:abstractNumId w:val="18"/>
  </w:num>
  <w:num w:numId="43" w16cid:durableId="428351176">
    <w:abstractNumId w:val="37"/>
  </w:num>
  <w:num w:numId="44" w16cid:durableId="1995253981">
    <w:abstractNumId w:val="46"/>
  </w:num>
  <w:num w:numId="45" w16cid:durableId="2031763146">
    <w:abstractNumId w:val="8"/>
  </w:num>
  <w:num w:numId="46" w16cid:durableId="759519588">
    <w:abstractNumId w:val="32"/>
  </w:num>
  <w:num w:numId="47" w16cid:durableId="246768669">
    <w:abstractNumId w:val="21"/>
  </w:num>
  <w:num w:numId="48" w16cid:durableId="1875263149">
    <w:abstractNumId w:val="6"/>
  </w:num>
  <w:num w:numId="49" w16cid:durableId="480737856">
    <w:abstractNumId w:val="16"/>
  </w:num>
  <w:num w:numId="50" w16cid:durableId="1656883303">
    <w:abstractNumId w:val="5"/>
  </w:num>
  <w:num w:numId="51" w16cid:durableId="618343469">
    <w:abstractNumId w:val="11"/>
  </w:num>
  <w:num w:numId="52" w16cid:durableId="811098710">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EFE"/>
    <w:rsid w:val="00000223"/>
    <w:rsid w:val="0000088F"/>
    <w:rsid w:val="00000BBB"/>
    <w:rsid w:val="000016E5"/>
    <w:rsid w:val="00001C33"/>
    <w:rsid w:val="00001D0A"/>
    <w:rsid w:val="000021FE"/>
    <w:rsid w:val="000023B2"/>
    <w:rsid w:val="000024B6"/>
    <w:rsid w:val="000026A9"/>
    <w:rsid w:val="00002731"/>
    <w:rsid w:val="00002ABA"/>
    <w:rsid w:val="00002FD5"/>
    <w:rsid w:val="00003421"/>
    <w:rsid w:val="00003816"/>
    <w:rsid w:val="00003C45"/>
    <w:rsid w:val="000047C1"/>
    <w:rsid w:val="00005210"/>
    <w:rsid w:val="000052C9"/>
    <w:rsid w:val="00005546"/>
    <w:rsid w:val="00005649"/>
    <w:rsid w:val="00006415"/>
    <w:rsid w:val="000065C0"/>
    <w:rsid w:val="00006662"/>
    <w:rsid w:val="0000672B"/>
    <w:rsid w:val="00006872"/>
    <w:rsid w:val="0000698F"/>
    <w:rsid w:val="00006DA2"/>
    <w:rsid w:val="000070C2"/>
    <w:rsid w:val="00007224"/>
    <w:rsid w:val="00007298"/>
    <w:rsid w:val="0000752A"/>
    <w:rsid w:val="000075D8"/>
    <w:rsid w:val="00007890"/>
    <w:rsid w:val="0000798D"/>
    <w:rsid w:val="00007AD5"/>
    <w:rsid w:val="00007AFC"/>
    <w:rsid w:val="00007EBB"/>
    <w:rsid w:val="000102F9"/>
    <w:rsid w:val="00010882"/>
    <w:rsid w:val="00010AEB"/>
    <w:rsid w:val="000110A7"/>
    <w:rsid w:val="00011355"/>
    <w:rsid w:val="000114E5"/>
    <w:rsid w:val="00011549"/>
    <w:rsid w:val="000115FB"/>
    <w:rsid w:val="00011F0E"/>
    <w:rsid w:val="0001223D"/>
    <w:rsid w:val="00012603"/>
    <w:rsid w:val="00012747"/>
    <w:rsid w:val="000127BF"/>
    <w:rsid w:val="00012D21"/>
    <w:rsid w:val="000132CF"/>
    <w:rsid w:val="00013439"/>
    <w:rsid w:val="0001348F"/>
    <w:rsid w:val="000137AC"/>
    <w:rsid w:val="0001390F"/>
    <w:rsid w:val="00013987"/>
    <w:rsid w:val="00013B71"/>
    <w:rsid w:val="000140F1"/>
    <w:rsid w:val="00014C2B"/>
    <w:rsid w:val="00014D89"/>
    <w:rsid w:val="000153A3"/>
    <w:rsid w:val="0001570E"/>
    <w:rsid w:val="0001579E"/>
    <w:rsid w:val="000158A1"/>
    <w:rsid w:val="00015B85"/>
    <w:rsid w:val="00015FC5"/>
    <w:rsid w:val="0001606B"/>
    <w:rsid w:val="00016220"/>
    <w:rsid w:val="00016372"/>
    <w:rsid w:val="000164B0"/>
    <w:rsid w:val="000164CA"/>
    <w:rsid w:val="000166A2"/>
    <w:rsid w:val="00016A4C"/>
    <w:rsid w:val="00016C5D"/>
    <w:rsid w:val="00016FB5"/>
    <w:rsid w:val="0001731F"/>
    <w:rsid w:val="00017367"/>
    <w:rsid w:val="00017A92"/>
    <w:rsid w:val="00017B05"/>
    <w:rsid w:val="00017CE7"/>
    <w:rsid w:val="000202FE"/>
    <w:rsid w:val="000203F7"/>
    <w:rsid w:val="0002068C"/>
    <w:rsid w:val="00020AFD"/>
    <w:rsid w:val="000211EC"/>
    <w:rsid w:val="0002129B"/>
    <w:rsid w:val="000213DD"/>
    <w:rsid w:val="000216B6"/>
    <w:rsid w:val="00021785"/>
    <w:rsid w:val="000219D0"/>
    <w:rsid w:val="00021A13"/>
    <w:rsid w:val="00021B0C"/>
    <w:rsid w:val="00021C41"/>
    <w:rsid w:val="000221FE"/>
    <w:rsid w:val="000226B6"/>
    <w:rsid w:val="00022CF6"/>
    <w:rsid w:val="0002313E"/>
    <w:rsid w:val="00023662"/>
    <w:rsid w:val="00023A30"/>
    <w:rsid w:val="00023A3C"/>
    <w:rsid w:val="00023E55"/>
    <w:rsid w:val="000242B0"/>
    <w:rsid w:val="000246FC"/>
    <w:rsid w:val="00024869"/>
    <w:rsid w:val="00024EBD"/>
    <w:rsid w:val="00024F70"/>
    <w:rsid w:val="00024F85"/>
    <w:rsid w:val="0002501B"/>
    <w:rsid w:val="000251EF"/>
    <w:rsid w:val="00025416"/>
    <w:rsid w:val="00025817"/>
    <w:rsid w:val="00025BFF"/>
    <w:rsid w:val="00026341"/>
    <w:rsid w:val="00026455"/>
    <w:rsid w:val="00026BD3"/>
    <w:rsid w:val="00027123"/>
    <w:rsid w:val="000271F2"/>
    <w:rsid w:val="0002722F"/>
    <w:rsid w:val="000272E2"/>
    <w:rsid w:val="00027550"/>
    <w:rsid w:val="0002767C"/>
    <w:rsid w:val="00027A2A"/>
    <w:rsid w:val="00027A34"/>
    <w:rsid w:val="00027C44"/>
    <w:rsid w:val="00027C96"/>
    <w:rsid w:val="00027EA0"/>
    <w:rsid w:val="00030A77"/>
    <w:rsid w:val="00030EFF"/>
    <w:rsid w:val="0003112B"/>
    <w:rsid w:val="00031153"/>
    <w:rsid w:val="000312A0"/>
    <w:rsid w:val="000312E7"/>
    <w:rsid w:val="00031450"/>
    <w:rsid w:val="000317CA"/>
    <w:rsid w:val="00031ADD"/>
    <w:rsid w:val="00032007"/>
    <w:rsid w:val="0003263F"/>
    <w:rsid w:val="0003279B"/>
    <w:rsid w:val="00032BB8"/>
    <w:rsid w:val="00032C14"/>
    <w:rsid w:val="00032C49"/>
    <w:rsid w:val="00033049"/>
    <w:rsid w:val="000330F8"/>
    <w:rsid w:val="000335FD"/>
    <w:rsid w:val="000340E5"/>
    <w:rsid w:val="00034710"/>
    <w:rsid w:val="00034F69"/>
    <w:rsid w:val="000353DC"/>
    <w:rsid w:val="000354F5"/>
    <w:rsid w:val="00035552"/>
    <w:rsid w:val="00035702"/>
    <w:rsid w:val="00035766"/>
    <w:rsid w:val="0003594B"/>
    <w:rsid w:val="00035A4A"/>
    <w:rsid w:val="00035AC9"/>
    <w:rsid w:val="00035BDC"/>
    <w:rsid w:val="00036115"/>
    <w:rsid w:val="00036213"/>
    <w:rsid w:val="000362B2"/>
    <w:rsid w:val="000368AE"/>
    <w:rsid w:val="000368B8"/>
    <w:rsid w:val="00036AF9"/>
    <w:rsid w:val="00036B8F"/>
    <w:rsid w:val="00036F01"/>
    <w:rsid w:val="000371F4"/>
    <w:rsid w:val="0003722F"/>
    <w:rsid w:val="00037553"/>
    <w:rsid w:val="000377F6"/>
    <w:rsid w:val="00037A27"/>
    <w:rsid w:val="00037CD5"/>
    <w:rsid w:val="00037D2A"/>
    <w:rsid w:val="0004008D"/>
    <w:rsid w:val="00040502"/>
    <w:rsid w:val="00040543"/>
    <w:rsid w:val="0004088A"/>
    <w:rsid w:val="00040FBA"/>
    <w:rsid w:val="00041174"/>
    <w:rsid w:val="000412AC"/>
    <w:rsid w:val="00041365"/>
    <w:rsid w:val="00041370"/>
    <w:rsid w:val="00041ACC"/>
    <w:rsid w:val="00041B22"/>
    <w:rsid w:val="00042088"/>
    <w:rsid w:val="000420BB"/>
    <w:rsid w:val="000421A7"/>
    <w:rsid w:val="00042338"/>
    <w:rsid w:val="00042346"/>
    <w:rsid w:val="00042403"/>
    <w:rsid w:val="0004246C"/>
    <w:rsid w:val="000425CF"/>
    <w:rsid w:val="00042710"/>
    <w:rsid w:val="00042939"/>
    <w:rsid w:val="00042ABD"/>
    <w:rsid w:val="00042C84"/>
    <w:rsid w:val="000436F6"/>
    <w:rsid w:val="00043B41"/>
    <w:rsid w:val="00043B4E"/>
    <w:rsid w:val="00043DFA"/>
    <w:rsid w:val="00043FCE"/>
    <w:rsid w:val="00044130"/>
    <w:rsid w:val="00044298"/>
    <w:rsid w:val="000443F4"/>
    <w:rsid w:val="000449AB"/>
    <w:rsid w:val="00044D18"/>
    <w:rsid w:val="00044D4D"/>
    <w:rsid w:val="00045288"/>
    <w:rsid w:val="000452D3"/>
    <w:rsid w:val="00045302"/>
    <w:rsid w:val="000455F8"/>
    <w:rsid w:val="000456F2"/>
    <w:rsid w:val="000457B9"/>
    <w:rsid w:val="0004590A"/>
    <w:rsid w:val="00045F92"/>
    <w:rsid w:val="0004640A"/>
    <w:rsid w:val="000465B7"/>
    <w:rsid w:val="000467E4"/>
    <w:rsid w:val="00046ADF"/>
    <w:rsid w:val="00047172"/>
    <w:rsid w:val="00047875"/>
    <w:rsid w:val="00047D33"/>
    <w:rsid w:val="00047DF9"/>
    <w:rsid w:val="00047F8A"/>
    <w:rsid w:val="00047FDF"/>
    <w:rsid w:val="0005016C"/>
    <w:rsid w:val="00050176"/>
    <w:rsid w:val="000503FC"/>
    <w:rsid w:val="000505F3"/>
    <w:rsid w:val="0005066E"/>
    <w:rsid w:val="000506EA"/>
    <w:rsid w:val="0005073B"/>
    <w:rsid w:val="000507C2"/>
    <w:rsid w:val="00050C13"/>
    <w:rsid w:val="00050CBB"/>
    <w:rsid w:val="00050F18"/>
    <w:rsid w:val="00050FC9"/>
    <w:rsid w:val="0005199D"/>
    <w:rsid w:val="00051A0F"/>
    <w:rsid w:val="00051AE5"/>
    <w:rsid w:val="00051AF8"/>
    <w:rsid w:val="0005202E"/>
    <w:rsid w:val="00052165"/>
    <w:rsid w:val="00052E0C"/>
    <w:rsid w:val="00052FA2"/>
    <w:rsid w:val="00052FE6"/>
    <w:rsid w:val="00053147"/>
    <w:rsid w:val="00053359"/>
    <w:rsid w:val="000535B0"/>
    <w:rsid w:val="00053A3E"/>
    <w:rsid w:val="00053A51"/>
    <w:rsid w:val="00053AFF"/>
    <w:rsid w:val="00053B7A"/>
    <w:rsid w:val="00053D23"/>
    <w:rsid w:val="00053D33"/>
    <w:rsid w:val="00054277"/>
    <w:rsid w:val="000548BE"/>
    <w:rsid w:val="00054955"/>
    <w:rsid w:val="00054A2C"/>
    <w:rsid w:val="000553EB"/>
    <w:rsid w:val="00055BA3"/>
    <w:rsid w:val="00055F08"/>
    <w:rsid w:val="00055F8F"/>
    <w:rsid w:val="00056275"/>
    <w:rsid w:val="000562C6"/>
    <w:rsid w:val="00056A35"/>
    <w:rsid w:val="00056B06"/>
    <w:rsid w:val="00056D30"/>
    <w:rsid w:val="00056E43"/>
    <w:rsid w:val="00056FF4"/>
    <w:rsid w:val="0005704E"/>
    <w:rsid w:val="000570A1"/>
    <w:rsid w:val="0005713F"/>
    <w:rsid w:val="000575A1"/>
    <w:rsid w:val="00057631"/>
    <w:rsid w:val="00057837"/>
    <w:rsid w:val="00057976"/>
    <w:rsid w:val="00057C98"/>
    <w:rsid w:val="000602FE"/>
    <w:rsid w:val="00060827"/>
    <w:rsid w:val="000609DC"/>
    <w:rsid w:val="00060D39"/>
    <w:rsid w:val="00061182"/>
    <w:rsid w:val="000614A1"/>
    <w:rsid w:val="0006176A"/>
    <w:rsid w:val="00061857"/>
    <w:rsid w:val="00061BE8"/>
    <w:rsid w:val="00061CCA"/>
    <w:rsid w:val="00061E0A"/>
    <w:rsid w:val="00061E7E"/>
    <w:rsid w:val="00062065"/>
    <w:rsid w:val="00062181"/>
    <w:rsid w:val="0006264F"/>
    <w:rsid w:val="0006268B"/>
    <w:rsid w:val="00062905"/>
    <w:rsid w:val="00062B6F"/>
    <w:rsid w:val="00063057"/>
    <w:rsid w:val="000632DA"/>
    <w:rsid w:val="00063773"/>
    <w:rsid w:val="00063843"/>
    <w:rsid w:val="00063BA9"/>
    <w:rsid w:val="00064115"/>
    <w:rsid w:val="0006487A"/>
    <w:rsid w:val="00064960"/>
    <w:rsid w:val="00064C4A"/>
    <w:rsid w:val="00064F05"/>
    <w:rsid w:val="00065286"/>
    <w:rsid w:val="000652D2"/>
    <w:rsid w:val="000653BB"/>
    <w:rsid w:val="00065686"/>
    <w:rsid w:val="00065A6C"/>
    <w:rsid w:val="00065AFE"/>
    <w:rsid w:val="00065B21"/>
    <w:rsid w:val="00065C66"/>
    <w:rsid w:val="00065DEA"/>
    <w:rsid w:val="0006611C"/>
    <w:rsid w:val="00066362"/>
    <w:rsid w:val="0006699C"/>
    <w:rsid w:val="00066AD5"/>
    <w:rsid w:val="00066AD6"/>
    <w:rsid w:val="00067124"/>
    <w:rsid w:val="00067243"/>
    <w:rsid w:val="0006749A"/>
    <w:rsid w:val="000676A4"/>
    <w:rsid w:val="00067C5F"/>
    <w:rsid w:val="0007018A"/>
    <w:rsid w:val="00070448"/>
    <w:rsid w:val="00070717"/>
    <w:rsid w:val="0007077C"/>
    <w:rsid w:val="00070947"/>
    <w:rsid w:val="00070A99"/>
    <w:rsid w:val="00070BFC"/>
    <w:rsid w:val="00071137"/>
    <w:rsid w:val="00071262"/>
    <w:rsid w:val="00071650"/>
    <w:rsid w:val="00071707"/>
    <w:rsid w:val="00071991"/>
    <w:rsid w:val="00071B2F"/>
    <w:rsid w:val="00071CD0"/>
    <w:rsid w:val="00071D95"/>
    <w:rsid w:val="00071FB4"/>
    <w:rsid w:val="00072398"/>
    <w:rsid w:val="00072468"/>
    <w:rsid w:val="0007271A"/>
    <w:rsid w:val="000727BB"/>
    <w:rsid w:val="0007291A"/>
    <w:rsid w:val="00072E4A"/>
    <w:rsid w:val="00072ED9"/>
    <w:rsid w:val="00072F0D"/>
    <w:rsid w:val="00073373"/>
    <w:rsid w:val="000733E6"/>
    <w:rsid w:val="00073629"/>
    <w:rsid w:val="00073747"/>
    <w:rsid w:val="00074253"/>
    <w:rsid w:val="00074427"/>
    <w:rsid w:val="00074577"/>
    <w:rsid w:val="00074F30"/>
    <w:rsid w:val="00074F41"/>
    <w:rsid w:val="000752C7"/>
    <w:rsid w:val="00075A14"/>
    <w:rsid w:val="00075C9C"/>
    <w:rsid w:val="00075DBB"/>
    <w:rsid w:val="000760AD"/>
    <w:rsid w:val="000761FC"/>
    <w:rsid w:val="0007635E"/>
    <w:rsid w:val="000764D4"/>
    <w:rsid w:val="000765C3"/>
    <w:rsid w:val="00076672"/>
    <w:rsid w:val="00076727"/>
    <w:rsid w:val="0007677B"/>
    <w:rsid w:val="00076AD3"/>
    <w:rsid w:val="00076AEE"/>
    <w:rsid w:val="00076B0D"/>
    <w:rsid w:val="00076B40"/>
    <w:rsid w:val="00076E57"/>
    <w:rsid w:val="00076F26"/>
    <w:rsid w:val="000771AE"/>
    <w:rsid w:val="00077437"/>
    <w:rsid w:val="000774B2"/>
    <w:rsid w:val="000779E4"/>
    <w:rsid w:val="00077EC7"/>
    <w:rsid w:val="00077FBC"/>
    <w:rsid w:val="00080085"/>
    <w:rsid w:val="00080328"/>
    <w:rsid w:val="00080511"/>
    <w:rsid w:val="00080538"/>
    <w:rsid w:val="00080B9C"/>
    <w:rsid w:val="00080BE6"/>
    <w:rsid w:val="00080C80"/>
    <w:rsid w:val="000816BB"/>
    <w:rsid w:val="00081C65"/>
    <w:rsid w:val="00081D9B"/>
    <w:rsid w:val="000820BA"/>
    <w:rsid w:val="000825A8"/>
    <w:rsid w:val="00082612"/>
    <w:rsid w:val="00082660"/>
    <w:rsid w:val="00082DA1"/>
    <w:rsid w:val="00082E4E"/>
    <w:rsid w:val="00083536"/>
    <w:rsid w:val="00083826"/>
    <w:rsid w:val="000838A5"/>
    <w:rsid w:val="00083961"/>
    <w:rsid w:val="000839BB"/>
    <w:rsid w:val="00083FEF"/>
    <w:rsid w:val="0008478E"/>
    <w:rsid w:val="0008486A"/>
    <w:rsid w:val="00084B3E"/>
    <w:rsid w:val="00084E8C"/>
    <w:rsid w:val="000854FC"/>
    <w:rsid w:val="00085827"/>
    <w:rsid w:val="00085913"/>
    <w:rsid w:val="0008592B"/>
    <w:rsid w:val="00085DDD"/>
    <w:rsid w:val="00086073"/>
    <w:rsid w:val="000861B1"/>
    <w:rsid w:val="0008623A"/>
    <w:rsid w:val="00086808"/>
    <w:rsid w:val="000868AC"/>
    <w:rsid w:val="00086A21"/>
    <w:rsid w:val="00086C71"/>
    <w:rsid w:val="00086E03"/>
    <w:rsid w:val="000873A7"/>
    <w:rsid w:val="00087465"/>
    <w:rsid w:val="00087E39"/>
    <w:rsid w:val="0009012A"/>
    <w:rsid w:val="00090251"/>
    <w:rsid w:val="000907D5"/>
    <w:rsid w:val="000909DD"/>
    <w:rsid w:val="00090C76"/>
    <w:rsid w:val="00090D01"/>
    <w:rsid w:val="00090F99"/>
    <w:rsid w:val="00090F9B"/>
    <w:rsid w:val="00091373"/>
    <w:rsid w:val="00091573"/>
    <w:rsid w:val="0009168F"/>
    <w:rsid w:val="00091AD2"/>
    <w:rsid w:val="00091B90"/>
    <w:rsid w:val="00091C65"/>
    <w:rsid w:val="000924F8"/>
    <w:rsid w:val="00092B15"/>
    <w:rsid w:val="00092BBF"/>
    <w:rsid w:val="00092D6E"/>
    <w:rsid w:val="0009370D"/>
    <w:rsid w:val="0009389E"/>
    <w:rsid w:val="0009392F"/>
    <w:rsid w:val="00093937"/>
    <w:rsid w:val="00093A4A"/>
    <w:rsid w:val="00094060"/>
    <w:rsid w:val="00094280"/>
    <w:rsid w:val="000947D9"/>
    <w:rsid w:val="000949DA"/>
    <w:rsid w:val="000949DF"/>
    <w:rsid w:val="00094AA1"/>
    <w:rsid w:val="00095101"/>
    <w:rsid w:val="00095259"/>
    <w:rsid w:val="00095319"/>
    <w:rsid w:val="0009531F"/>
    <w:rsid w:val="0009578F"/>
    <w:rsid w:val="00095D67"/>
    <w:rsid w:val="00095DB1"/>
    <w:rsid w:val="0009613D"/>
    <w:rsid w:val="00096221"/>
    <w:rsid w:val="00096271"/>
    <w:rsid w:val="00096DCA"/>
    <w:rsid w:val="000975E7"/>
    <w:rsid w:val="00097B9C"/>
    <w:rsid w:val="000A01BF"/>
    <w:rsid w:val="000A030D"/>
    <w:rsid w:val="000A0F8E"/>
    <w:rsid w:val="000A1138"/>
    <w:rsid w:val="000A1376"/>
    <w:rsid w:val="000A19C5"/>
    <w:rsid w:val="000A1BA6"/>
    <w:rsid w:val="000A1F54"/>
    <w:rsid w:val="000A26C8"/>
    <w:rsid w:val="000A271E"/>
    <w:rsid w:val="000A2807"/>
    <w:rsid w:val="000A2843"/>
    <w:rsid w:val="000A29FB"/>
    <w:rsid w:val="000A2FD3"/>
    <w:rsid w:val="000A3639"/>
    <w:rsid w:val="000A3A44"/>
    <w:rsid w:val="000A3C5F"/>
    <w:rsid w:val="000A3FE1"/>
    <w:rsid w:val="000A3FE3"/>
    <w:rsid w:val="000A4A27"/>
    <w:rsid w:val="000A4E6D"/>
    <w:rsid w:val="000A4FB4"/>
    <w:rsid w:val="000A4FC8"/>
    <w:rsid w:val="000A5004"/>
    <w:rsid w:val="000A504D"/>
    <w:rsid w:val="000A53F8"/>
    <w:rsid w:val="000A560E"/>
    <w:rsid w:val="000A585F"/>
    <w:rsid w:val="000A60DF"/>
    <w:rsid w:val="000A6143"/>
    <w:rsid w:val="000A64C4"/>
    <w:rsid w:val="000A64F0"/>
    <w:rsid w:val="000A6515"/>
    <w:rsid w:val="000A6A16"/>
    <w:rsid w:val="000A6CCF"/>
    <w:rsid w:val="000A6E03"/>
    <w:rsid w:val="000A6F92"/>
    <w:rsid w:val="000A6FAD"/>
    <w:rsid w:val="000A706C"/>
    <w:rsid w:val="000A71AD"/>
    <w:rsid w:val="000A753C"/>
    <w:rsid w:val="000A7605"/>
    <w:rsid w:val="000A7969"/>
    <w:rsid w:val="000A7BE2"/>
    <w:rsid w:val="000A7CAC"/>
    <w:rsid w:val="000A7E4B"/>
    <w:rsid w:val="000A7FC1"/>
    <w:rsid w:val="000B023E"/>
    <w:rsid w:val="000B06AF"/>
    <w:rsid w:val="000B0C12"/>
    <w:rsid w:val="000B0C3F"/>
    <w:rsid w:val="000B153B"/>
    <w:rsid w:val="000B1F05"/>
    <w:rsid w:val="000B2434"/>
    <w:rsid w:val="000B282F"/>
    <w:rsid w:val="000B2AEB"/>
    <w:rsid w:val="000B2AED"/>
    <w:rsid w:val="000B2C0B"/>
    <w:rsid w:val="000B2DE9"/>
    <w:rsid w:val="000B36D6"/>
    <w:rsid w:val="000B3898"/>
    <w:rsid w:val="000B39F6"/>
    <w:rsid w:val="000B3F56"/>
    <w:rsid w:val="000B4222"/>
    <w:rsid w:val="000B466C"/>
    <w:rsid w:val="000B4786"/>
    <w:rsid w:val="000B4E5B"/>
    <w:rsid w:val="000B4F25"/>
    <w:rsid w:val="000B520F"/>
    <w:rsid w:val="000B5304"/>
    <w:rsid w:val="000B5329"/>
    <w:rsid w:val="000B5498"/>
    <w:rsid w:val="000B577B"/>
    <w:rsid w:val="000B5907"/>
    <w:rsid w:val="000B5A9E"/>
    <w:rsid w:val="000B5D93"/>
    <w:rsid w:val="000B6086"/>
    <w:rsid w:val="000B624B"/>
    <w:rsid w:val="000B6354"/>
    <w:rsid w:val="000B638B"/>
    <w:rsid w:val="000B642D"/>
    <w:rsid w:val="000B661B"/>
    <w:rsid w:val="000B69AD"/>
    <w:rsid w:val="000B7076"/>
    <w:rsid w:val="000B739A"/>
    <w:rsid w:val="000C017D"/>
    <w:rsid w:val="000C0386"/>
    <w:rsid w:val="000C0628"/>
    <w:rsid w:val="000C0756"/>
    <w:rsid w:val="000C0886"/>
    <w:rsid w:val="000C0BDE"/>
    <w:rsid w:val="000C0F58"/>
    <w:rsid w:val="000C0FEC"/>
    <w:rsid w:val="000C1233"/>
    <w:rsid w:val="000C1ED4"/>
    <w:rsid w:val="000C2FD0"/>
    <w:rsid w:val="000C3023"/>
    <w:rsid w:val="000C318F"/>
    <w:rsid w:val="000C31AD"/>
    <w:rsid w:val="000C32F0"/>
    <w:rsid w:val="000C33E9"/>
    <w:rsid w:val="000C3627"/>
    <w:rsid w:val="000C4516"/>
    <w:rsid w:val="000C456B"/>
    <w:rsid w:val="000C4591"/>
    <w:rsid w:val="000C46CE"/>
    <w:rsid w:val="000C478C"/>
    <w:rsid w:val="000C4F86"/>
    <w:rsid w:val="000C53FE"/>
    <w:rsid w:val="000C5422"/>
    <w:rsid w:val="000C5527"/>
    <w:rsid w:val="000C64BF"/>
    <w:rsid w:val="000C659A"/>
    <w:rsid w:val="000C67BC"/>
    <w:rsid w:val="000C697D"/>
    <w:rsid w:val="000C6C79"/>
    <w:rsid w:val="000C77EC"/>
    <w:rsid w:val="000C7A05"/>
    <w:rsid w:val="000C7A29"/>
    <w:rsid w:val="000C7BBA"/>
    <w:rsid w:val="000D00E0"/>
    <w:rsid w:val="000D0221"/>
    <w:rsid w:val="000D046C"/>
    <w:rsid w:val="000D0633"/>
    <w:rsid w:val="000D0A53"/>
    <w:rsid w:val="000D0B6A"/>
    <w:rsid w:val="000D11C5"/>
    <w:rsid w:val="000D12EC"/>
    <w:rsid w:val="000D141B"/>
    <w:rsid w:val="000D15A9"/>
    <w:rsid w:val="000D1859"/>
    <w:rsid w:val="000D1BE1"/>
    <w:rsid w:val="000D1E4E"/>
    <w:rsid w:val="000D216E"/>
    <w:rsid w:val="000D2467"/>
    <w:rsid w:val="000D2468"/>
    <w:rsid w:val="000D2549"/>
    <w:rsid w:val="000D271F"/>
    <w:rsid w:val="000D27BE"/>
    <w:rsid w:val="000D2C5F"/>
    <w:rsid w:val="000D2CF1"/>
    <w:rsid w:val="000D3439"/>
    <w:rsid w:val="000D3D8E"/>
    <w:rsid w:val="000D3F14"/>
    <w:rsid w:val="000D40E5"/>
    <w:rsid w:val="000D4258"/>
    <w:rsid w:val="000D4485"/>
    <w:rsid w:val="000D4641"/>
    <w:rsid w:val="000D4F05"/>
    <w:rsid w:val="000D4F69"/>
    <w:rsid w:val="000D50EF"/>
    <w:rsid w:val="000D518A"/>
    <w:rsid w:val="000D551A"/>
    <w:rsid w:val="000D57F3"/>
    <w:rsid w:val="000D5991"/>
    <w:rsid w:val="000D5BCE"/>
    <w:rsid w:val="000D71BD"/>
    <w:rsid w:val="000D71E9"/>
    <w:rsid w:val="000D7384"/>
    <w:rsid w:val="000D7811"/>
    <w:rsid w:val="000D7AFE"/>
    <w:rsid w:val="000E0243"/>
    <w:rsid w:val="000E04AF"/>
    <w:rsid w:val="000E06CE"/>
    <w:rsid w:val="000E07D4"/>
    <w:rsid w:val="000E0804"/>
    <w:rsid w:val="000E08D6"/>
    <w:rsid w:val="000E0919"/>
    <w:rsid w:val="000E11EB"/>
    <w:rsid w:val="000E1751"/>
    <w:rsid w:val="000E1760"/>
    <w:rsid w:val="000E1910"/>
    <w:rsid w:val="000E1A36"/>
    <w:rsid w:val="000E1C45"/>
    <w:rsid w:val="000E2114"/>
    <w:rsid w:val="000E25CD"/>
    <w:rsid w:val="000E2F37"/>
    <w:rsid w:val="000E2FBC"/>
    <w:rsid w:val="000E306F"/>
    <w:rsid w:val="000E3552"/>
    <w:rsid w:val="000E38D2"/>
    <w:rsid w:val="000E3AF2"/>
    <w:rsid w:val="000E3B94"/>
    <w:rsid w:val="000E3D57"/>
    <w:rsid w:val="000E473D"/>
    <w:rsid w:val="000E4DC3"/>
    <w:rsid w:val="000E50ED"/>
    <w:rsid w:val="000E5233"/>
    <w:rsid w:val="000E5737"/>
    <w:rsid w:val="000E5AA9"/>
    <w:rsid w:val="000E5B04"/>
    <w:rsid w:val="000E5D0B"/>
    <w:rsid w:val="000E5E70"/>
    <w:rsid w:val="000E6633"/>
    <w:rsid w:val="000E67AC"/>
    <w:rsid w:val="000E683E"/>
    <w:rsid w:val="000E6AB5"/>
    <w:rsid w:val="000E6ACA"/>
    <w:rsid w:val="000E6D82"/>
    <w:rsid w:val="000E7155"/>
    <w:rsid w:val="000E7DE1"/>
    <w:rsid w:val="000F01AC"/>
    <w:rsid w:val="000F01FB"/>
    <w:rsid w:val="000F0214"/>
    <w:rsid w:val="000F05B6"/>
    <w:rsid w:val="000F0AFD"/>
    <w:rsid w:val="000F0F33"/>
    <w:rsid w:val="000F0FA7"/>
    <w:rsid w:val="000F14F6"/>
    <w:rsid w:val="000F162C"/>
    <w:rsid w:val="000F194A"/>
    <w:rsid w:val="000F1A22"/>
    <w:rsid w:val="000F1BE3"/>
    <w:rsid w:val="000F208B"/>
    <w:rsid w:val="000F2175"/>
    <w:rsid w:val="000F22B8"/>
    <w:rsid w:val="000F22FE"/>
    <w:rsid w:val="000F2449"/>
    <w:rsid w:val="000F24BB"/>
    <w:rsid w:val="000F2734"/>
    <w:rsid w:val="000F2E54"/>
    <w:rsid w:val="000F318B"/>
    <w:rsid w:val="000F3348"/>
    <w:rsid w:val="000F37DD"/>
    <w:rsid w:val="000F380A"/>
    <w:rsid w:val="000F3960"/>
    <w:rsid w:val="000F3B22"/>
    <w:rsid w:val="000F3E8D"/>
    <w:rsid w:val="000F489A"/>
    <w:rsid w:val="000F5A5C"/>
    <w:rsid w:val="000F5AA6"/>
    <w:rsid w:val="000F5ACA"/>
    <w:rsid w:val="000F5CFB"/>
    <w:rsid w:val="000F5D4F"/>
    <w:rsid w:val="000F6026"/>
    <w:rsid w:val="000F614A"/>
    <w:rsid w:val="000F628C"/>
    <w:rsid w:val="000F638D"/>
    <w:rsid w:val="000F6549"/>
    <w:rsid w:val="000F6623"/>
    <w:rsid w:val="000F6682"/>
    <w:rsid w:val="000F66AA"/>
    <w:rsid w:val="000F696E"/>
    <w:rsid w:val="000F69A9"/>
    <w:rsid w:val="000F6ABA"/>
    <w:rsid w:val="000F7279"/>
    <w:rsid w:val="000F74A9"/>
    <w:rsid w:val="000F74DF"/>
    <w:rsid w:val="000F7654"/>
    <w:rsid w:val="000F78B0"/>
    <w:rsid w:val="000F79E8"/>
    <w:rsid w:val="000F7CB2"/>
    <w:rsid w:val="000F7D54"/>
    <w:rsid w:val="000F7FE4"/>
    <w:rsid w:val="00100006"/>
    <w:rsid w:val="00100060"/>
    <w:rsid w:val="001004A0"/>
    <w:rsid w:val="0010065C"/>
    <w:rsid w:val="00100DA0"/>
    <w:rsid w:val="00100E38"/>
    <w:rsid w:val="00100F21"/>
    <w:rsid w:val="001010AC"/>
    <w:rsid w:val="0010139F"/>
    <w:rsid w:val="00101931"/>
    <w:rsid w:val="00101B03"/>
    <w:rsid w:val="00102554"/>
    <w:rsid w:val="001025DE"/>
    <w:rsid w:val="00102625"/>
    <w:rsid w:val="001027AE"/>
    <w:rsid w:val="00102B30"/>
    <w:rsid w:val="00102CD8"/>
    <w:rsid w:val="00102D92"/>
    <w:rsid w:val="00102EF8"/>
    <w:rsid w:val="00103270"/>
    <w:rsid w:val="00103399"/>
    <w:rsid w:val="001034DC"/>
    <w:rsid w:val="00103915"/>
    <w:rsid w:val="0010396D"/>
    <w:rsid w:val="00104046"/>
    <w:rsid w:val="00104A2A"/>
    <w:rsid w:val="00104AF8"/>
    <w:rsid w:val="0010514E"/>
    <w:rsid w:val="001054E0"/>
    <w:rsid w:val="00105B7B"/>
    <w:rsid w:val="0010616D"/>
    <w:rsid w:val="001061A6"/>
    <w:rsid w:val="001061B7"/>
    <w:rsid w:val="001062BF"/>
    <w:rsid w:val="001064D4"/>
    <w:rsid w:val="0010680F"/>
    <w:rsid w:val="0010682D"/>
    <w:rsid w:val="00106A79"/>
    <w:rsid w:val="00106F60"/>
    <w:rsid w:val="001070C6"/>
    <w:rsid w:val="0010719C"/>
    <w:rsid w:val="0010761A"/>
    <w:rsid w:val="0010762E"/>
    <w:rsid w:val="00107C2F"/>
    <w:rsid w:val="00110182"/>
    <w:rsid w:val="0011037D"/>
    <w:rsid w:val="0011081E"/>
    <w:rsid w:val="00110948"/>
    <w:rsid w:val="00110A3B"/>
    <w:rsid w:val="00110C71"/>
    <w:rsid w:val="00111202"/>
    <w:rsid w:val="00111611"/>
    <w:rsid w:val="001123D5"/>
    <w:rsid w:val="00112458"/>
    <w:rsid w:val="00112596"/>
    <w:rsid w:val="00112908"/>
    <w:rsid w:val="00112AD6"/>
    <w:rsid w:val="00112F26"/>
    <w:rsid w:val="00113A30"/>
    <w:rsid w:val="00113D74"/>
    <w:rsid w:val="00113ECC"/>
    <w:rsid w:val="00113F50"/>
    <w:rsid w:val="001146D7"/>
    <w:rsid w:val="00114AC0"/>
    <w:rsid w:val="00114CCE"/>
    <w:rsid w:val="00114F45"/>
    <w:rsid w:val="00114FC1"/>
    <w:rsid w:val="0011502F"/>
    <w:rsid w:val="00115053"/>
    <w:rsid w:val="001153A0"/>
    <w:rsid w:val="00115447"/>
    <w:rsid w:val="0011598C"/>
    <w:rsid w:val="00115C63"/>
    <w:rsid w:val="00115D93"/>
    <w:rsid w:val="00115DA2"/>
    <w:rsid w:val="001160DB"/>
    <w:rsid w:val="00116275"/>
    <w:rsid w:val="0011645B"/>
    <w:rsid w:val="0011683F"/>
    <w:rsid w:val="0011697C"/>
    <w:rsid w:val="00116B2C"/>
    <w:rsid w:val="00116B8E"/>
    <w:rsid w:val="00116D73"/>
    <w:rsid w:val="00116F7A"/>
    <w:rsid w:val="001170EF"/>
    <w:rsid w:val="001171B8"/>
    <w:rsid w:val="0011756C"/>
    <w:rsid w:val="0011760C"/>
    <w:rsid w:val="001178B5"/>
    <w:rsid w:val="001179C7"/>
    <w:rsid w:val="00117BF0"/>
    <w:rsid w:val="00117C57"/>
    <w:rsid w:val="00117CAD"/>
    <w:rsid w:val="00117DBD"/>
    <w:rsid w:val="00117E91"/>
    <w:rsid w:val="00120398"/>
    <w:rsid w:val="0012055F"/>
    <w:rsid w:val="00120AF7"/>
    <w:rsid w:val="00120E20"/>
    <w:rsid w:val="00120F0A"/>
    <w:rsid w:val="00120F85"/>
    <w:rsid w:val="0012111C"/>
    <w:rsid w:val="0012154A"/>
    <w:rsid w:val="0012181F"/>
    <w:rsid w:val="001218F5"/>
    <w:rsid w:val="00121C65"/>
    <w:rsid w:val="00121E7D"/>
    <w:rsid w:val="00121FA9"/>
    <w:rsid w:val="001220D5"/>
    <w:rsid w:val="001223B6"/>
    <w:rsid w:val="0012256A"/>
    <w:rsid w:val="0012298E"/>
    <w:rsid w:val="00122AA3"/>
    <w:rsid w:val="00122B9F"/>
    <w:rsid w:val="00122EED"/>
    <w:rsid w:val="00122EF3"/>
    <w:rsid w:val="0012375F"/>
    <w:rsid w:val="0012391E"/>
    <w:rsid w:val="001239F8"/>
    <w:rsid w:val="00123FB5"/>
    <w:rsid w:val="00124669"/>
    <w:rsid w:val="0012493B"/>
    <w:rsid w:val="00124EC9"/>
    <w:rsid w:val="001250C1"/>
    <w:rsid w:val="00125298"/>
    <w:rsid w:val="00125320"/>
    <w:rsid w:val="001255F1"/>
    <w:rsid w:val="00125641"/>
    <w:rsid w:val="0012578F"/>
    <w:rsid w:val="0012588A"/>
    <w:rsid w:val="00125B5A"/>
    <w:rsid w:val="00125C23"/>
    <w:rsid w:val="00125DE0"/>
    <w:rsid w:val="00126245"/>
    <w:rsid w:val="00126263"/>
    <w:rsid w:val="001264F8"/>
    <w:rsid w:val="001267E1"/>
    <w:rsid w:val="00126C05"/>
    <w:rsid w:val="00126C18"/>
    <w:rsid w:val="0012721C"/>
    <w:rsid w:val="00127A77"/>
    <w:rsid w:val="0013020B"/>
    <w:rsid w:val="00130358"/>
    <w:rsid w:val="001305AC"/>
    <w:rsid w:val="00130BEC"/>
    <w:rsid w:val="00130C13"/>
    <w:rsid w:val="00130DD8"/>
    <w:rsid w:val="00130E5D"/>
    <w:rsid w:val="0013129E"/>
    <w:rsid w:val="00131360"/>
    <w:rsid w:val="001319FE"/>
    <w:rsid w:val="00131F8C"/>
    <w:rsid w:val="001324D7"/>
    <w:rsid w:val="00132697"/>
    <w:rsid w:val="00132756"/>
    <w:rsid w:val="00132869"/>
    <w:rsid w:val="00133137"/>
    <w:rsid w:val="001332F3"/>
    <w:rsid w:val="00133608"/>
    <w:rsid w:val="00133789"/>
    <w:rsid w:val="0013395B"/>
    <w:rsid w:val="00133B91"/>
    <w:rsid w:val="00133ED7"/>
    <w:rsid w:val="001341F0"/>
    <w:rsid w:val="0013436D"/>
    <w:rsid w:val="001345A2"/>
    <w:rsid w:val="001346F5"/>
    <w:rsid w:val="00134A28"/>
    <w:rsid w:val="00134A42"/>
    <w:rsid w:val="00134A72"/>
    <w:rsid w:val="00134CAF"/>
    <w:rsid w:val="00134F93"/>
    <w:rsid w:val="00135169"/>
    <w:rsid w:val="001351F2"/>
    <w:rsid w:val="0013528E"/>
    <w:rsid w:val="001354E4"/>
    <w:rsid w:val="0013572D"/>
    <w:rsid w:val="001358AE"/>
    <w:rsid w:val="00135A66"/>
    <w:rsid w:val="00135B2B"/>
    <w:rsid w:val="00135C64"/>
    <w:rsid w:val="001363C4"/>
    <w:rsid w:val="00136470"/>
    <w:rsid w:val="001366E6"/>
    <w:rsid w:val="0013698C"/>
    <w:rsid w:val="00136C01"/>
    <w:rsid w:val="001371E5"/>
    <w:rsid w:val="00137324"/>
    <w:rsid w:val="00137976"/>
    <w:rsid w:val="00137ADC"/>
    <w:rsid w:val="00140130"/>
    <w:rsid w:val="00140967"/>
    <w:rsid w:val="00140AE7"/>
    <w:rsid w:val="00141032"/>
    <w:rsid w:val="00141843"/>
    <w:rsid w:val="00141914"/>
    <w:rsid w:val="00141CB8"/>
    <w:rsid w:val="00141DB8"/>
    <w:rsid w:val="00141F2D"/>
    <w:rsid w:val="00142163"/>
    <w:rsid w:val="00142B09"/>
    <w:rsid w:val="00142FE0"/>
    <w:rsid w:val="00143A26"/>
    <w:rsid w:val="00143B2D"/>
    <w:rsid w:val="00143D6D"/>
    <w:rsid w:val="001444B1"/>
    <w:rsid w:val="00144A35"/>
    <w:rsid w:val="00144A3A"/>
    <w:rsid w:val="00144D79"/>
    <w:rsid w:val="00144DDB"/>
    <w:rsid w:val="00145556"/>
    <w:rsid w:val="00145C89"/>
    <w:rsid w:val="00145FB8"/>
    <w:rsid w:val="0014714C"/>
    <w:rsid w:val="00147176"/>
    <w:rsid w:val="0014788F"/>
    <w:rsid w:val="0015008A"/>
    <w:rsid w:val="00150A9C"/>
    <w:rsid w:val="00150B06"/>
    <w:rsid w:val="00150D60"/>
    <w:rsid w:val="00150F30"/>
    <w:rsid w:val="00151146"/>
    <w:rsid w:val="001515D2"/>
    <w:rsid w:val="0015168A"/>
    <w:rsid w:val="00151868"/>
    <w:rsid w:val="001527FC"/>
    <w:rsid w:val="00152D63"/>
    <w:rsid w:val="001530D5"/>
    <w:rsid w:val="0015340F"/>
    <w:rsid w:val="00153838"/>
    <w:rsid w:val="00153BEB"/>
    <w:rsid w:val="00153C6C"/>
    <w:rsid w:val="00153D67"/>
    <w:rsid w:val="00153F61"/>
    <w:rsid w:val="00154042"/>
    <w:rsid w:val="00154C25"/>
    <w:rsid w:val="00154F0E"/>
    <w:rsid w:val="0015534A"/>
    <w:rsid w:val="00155873"/>
    <w:rsid w:val="00155A10"/>
    <w:rsid w:val="00155B65"/>
    <w:rsid w:val="00155CB3"/>
    <w:rsid w:val="00156114"/>
    <w:rsid w:val="0015655F"/>
    <w:rsid w:val="001566D4"/>
    <w:rsid w:val="00156957"/>
    <w:rsid w:val="00156986"/>
    <w:rsid w:val="001572DF"/>
    <w:rsid w:val="00157437"/>
    <w:rsid w:val="0015751F"/>
    <w:rsid w:val="00157704"/>
    <w:rsid w:val="001579DB"/>
    <w:rsid w:val="001579F1"/>
    <w:rsid w:val="00157D4E"/>
    <w:rsid w:val="00157E65"/>
    <w:rsid w:val="00160020"/>
    <w:rsid w:val="00160478"/>
    <w:rsid w:val="001605FB"/>
    <w:rsid w:val="00160A17"/>
    <w:rsid w:val="00160D19"/>
    <w:rsid w:val="00160D35"/>
    <w:rsid w:val="00161007"/>
    <w:rsid w:val="00161066"/>
    <w:rsid w:val="001610D5"/>
    <w:rsid w:val="001611D7"/>
    <w:rsid w:val="00161369"/>
    <w:rsid w:val="00161E54"/>
    <w:rsid w:val="0016218D"/>
    <w:rsid w:val="001622B5"/>
    <w:rsid w:val="00162A4E"/>
    <w:rsid w:val="00162C27"/>
    <w:rsid w:val="00162F13"/>
    <w:rsid w:val="0016303F"/>
    <w:rsid w:val="001630FA"/>
    <w:rsid w:val="00163235"/>
    <w:rsid w:val="00163668"/>
    <w:rsid w:val="00163875"/>
    <w:rsid w:val="00163945"/>
    <w:rsid w:val="00163F23"/>
    <w:rsid w:val="00164342"/>
    <w:rsid w:val="00164526"/>
    <w:rsid w:val="00164589"/>
    <w:rsid w:val="00164723"/>
    <w:rsid w:val="00164E69"/>
    <w:rsid w:val="00164FFF"/>
    <w:rsid w:val="001650CC"/>
    <w:rsid w:val="001658A5"/>
    <w:rsid w:val="00165B17"/>
    <w:rsid w:val="00165DDC"/>
    <w:rsid w:val="001664AD"/>
    <w:rsid w:val="00166536"/>
    <w:rsid w:val="0016672F"/>
    <w:rsid w:val="00166BE8"/>
    <w:rsid w:val="00166CA0"/>
    <w:rsid w:val="00166E2C"/>
    <w:rsid w:val="0016792E"/>
    <w:rsid w:val="00167CD5"/>
    <w:rsid w:val="00167D07"/>
    <w:rsid w:val="00167E8D"/>
    <w:rsid w:val="001703C3"/>
    <w:rsid w:val="00170773"/>
    <w:rsid w:val="00170A8E"/>
    <w:rsid w:val="00170ADA"/>
    <w:rsid w:val="00170B2D"/>
    <w:rsid w:val="00170B7F"/>
    <w:rsid w:val="00170D49"/>
    <w:rsid w:val="00170FBC"/>
    <w:rsid w:val="00170FEA"/>
    <w:rsid w:val="001715C4"/>
    <w:rsid w:val="00171754"/>
    <w:rsid w:val="00171812"/>
    <w:rsid w:val="00171BD2"/>
    <w:rsid w:val="00171CF4"/>
    <w:rsid w:val="00172075"/>
    <w:rsid w:val="0017225A"/>
    <w:rsid w:val="001725DC"/>
    <w:rsid w:val="00172905"/>
    <w:rsid w:val="001729BF"/>
    <w:rsid w:val="00172C3F"/>
    <w:rsid w:val="00172C6B"/>
    <w:rsid w:val="00172D51"/>
    <w:rsid w:val="00172D6D"/>
    <w:rsid w:val="00172F67"/>
    <w:rsid w:val="0017332E"/>
    <w:rsid w:val="0017364C"/>
    <w:rsid w:val="0017369B"/>
    <w:rsid w:val="001737B4"/>
    <w:rsid w:val="00173996"/>
    <w:rsid w:val="00173DB0"/>
    <w:rsid w:val="00173DB9"/>
    <w:rsid w:val="0017408F"/>
    <w:rsid w:val="00174277"/>
    <w:rsid w:val="001743C1"/>
    <w:rsid w:val="0017472D"/>
    <w:rsid w:val="00174837"/>
    <w:rsid w:val="00174B31"/>
    <w:rsid w:val="00174C09"/>
    <w:rsid w:val="00174C39"/>
    <w:rsid w:val="0017574D"/>
    <w:rsid w:val="0017587F"/>
    <w:rsid w:val="00175ADD"/>
    <w:rsid w:val="00175DA6"/>
    <w:rsid w:val="00175DEC"/>
    <w:rsid w:val="001760E9"/>
    <w:rsid w:val="00176340"/>
    <w:rsid w:val="0017671D"/>
    <w:rsid w:val="00176990"/>
    <w:rsid w:val="00176A1E"/>
    <w:rsid w:val="00176A87"/>
    <w:rsid w:val="00176B7A"/>
    <w:rsid w:val="00176DCA"/>
    <w:rsid w:val="00177053"/>
    <w:rsid w:val="001770D4"/>
    <w:rsid w:val="00177266"/>
    <w:rsid w:val="00177425"/>
    <w:rsid w:val="00177623"/>
    <w:rsid w:val="00177A82"/>
    <w:rsid w:val="00177BCC"/>
    <w:rsid w:val="00177D2B"/>
    <w:rsid w:val="00177F6D"/>
    <w:rsid w:val="001805DF"/>
    <w:rsid w:val="00180902"/>
    <w:rsid w:val="00180B80"/>
    <w:rsid w:val="001810F8"/>
    <w:rsid w:val="00181D98"/>
    <w:rsid w:val="001820DB"/>
    <w:rsid w:val="0018277C"/>
    <w:rsid w:val="00182DB3"/>
    <w:rsid w:val="001831C6"/>
    <w:rsid w:val="00183356"/>
    <w:rsid w:val="00183839"/>
    <w:rsid w:val="00183886"/>
    <w:rsid w:val="00183AB0"/>
    <w:rsid w:val="0018411A"/>
    <w:rsid w:val="001841B1"/>
    <w:rsid w:val="0018433F"/>
    <w:rsid w:val="00184368"/>
    <w:rsid w:val="001844DF"/>
    <w:rsid w:val="001846BA"/>
    <w:rsid w:val="001849E6"/>
    <w:rsid w:val="00184DA9"/>
    <w:rsid w:val="00185052"/>
    <w:rsid w:val="00185142"/>
    <w:rsid w:val="001851EA"/>
    <w:rsid w:val="001852FC"/>
    <w:rsid w:val="001854D0"/>
    <w:rsid w:val="00185AC0"/>
    <w:rsid w:val="00185BC0"/>
    <w:rsid w:val="00185DCB"/>
    <w:rsid w:val="00185F56"/>
    <w:rsid w:val="00185FC5"/>
    <w:rsid w:val="001861F5"/>
    <w:rsid w:val="00186C3F"/>
    <w:rsid w:val="00186C97"/>
    <w:rsid w:val="00186D64"/>
    <w:rsid w:val="00187336"/>
    <w:rsid w:val="00187621"/>
    <w:rsid w:val="00187DFA"/>
    <w:rsid w:val="00187E42"/>
    <w:rsid w:val="001905A0"/>
    <w:rsid w:val="001906D7"/>
    <w:rsid w:val="001909D5"/>
    <w:rsid w:val="00190A8E"/>
    <w:rsid w:val="00190BB9"/>
    <w:rsid w:val="00191033"/>
    <w:rsid w:val="001912CB"/>
    <w:rsid w:val="001913C5"/>
    <w:rsid w:val="0019199F"/>
    <w:rsid w:val="00191A54"/>
    <w:rsid w:val="00191B4D"/>
    <w:rsid w:val="00192362"/>
    <w:rsid w:val="00192EFA"/>
    <w:rsid w:val="00192F40"/>
    <w:rsid w:val="00192F8F"/>
    <w:rsid w:val="001930F8"/>
    <w:rsid w:val="001932D8"/>
    <w:rsid w:val="001933FB"/>
    <w:rsid w:val="001934E4"/>
    <w:rsid w:val="0019466A"/>
    <w:rsid w:val="00194688"/>
    <w:rsid w:val="001947E5"/>
    <w:rsid w:val="00194E93"/>
    <w:rsid w:val="00194F34"/>
    <w:rsid w:val="00195654"/>
    <w:rsid w:val="00195A17"/>
    <w:rsid w:val="00195BE5"/>
    <w:rsid w:val="00195D2F"/>
    <w:rsid w:val="00195F77"/>
    <w:rsid w:val="00196277"/>
    <w:rsid w:val="00196904"/>
    <w:rsid w:val="00196985"/>
    <w:rsid w:val="00196A13"/>
    <w:rsid w:val="00196F17"/>
    <w:rsid w:val="00196F3B"/>
    <w:rsid w:val="00197206"/>
    <w:rsid w:val="001974CF"/>
    <w:rsid w:val="00197601"/>
    <w:rsid w:val="0019788F"/>
    <w:rsid w:val="001978B8"/>
    <w:rsid w:val="00197C96"/>
    <w:rsid w:val="001A029D"/>
    <w:rsid w:val="001A0503"/>
    <w:rsid w:val="001A09B7"/>
    <w:rsid w:val="001A0ADA"/>
    <w:rsid w:val="001A0C2A"/>
    <w:rsid w:val="001A10A6"/>
    <w:rsid w:val="001A10DC"/>
    <w:rsid w:val="001A148D"/>
    <w:rsid w:val="001A16BD"/>
    <w:rsid w:val="001A172F"/>
    <w:rsid w:val="001A1F61"/>
    <w:rsid w:val="001A204A"/>
    <w:rsid w:val="001A20B6"/>
    <w:rsid w:val="001A20FA"/>
    <w:rsid w:val="001A23BB"/>
    <w:rsid w:val="001A2432"/>
    <w:rsid w:val="001A27AF"/>
    <w:rsid w:val="001A2AE1"/>
    <w:rsid w:val="001A3469"/>
    <w:rsid w:val="001A349B"/>
    <w:rsid w:val="001A35CC"/>
    <w:rsid w:val="001A3616"/>
    <w:rsid w:val="001A3832"/>
    <w:rsid w:val="001A39E2"/>
    <w:rsid w:val="001A3ACE"/>
    <w:rsid w:val="001A3CF2"/>
    <w:rsid w:val="001A4084"/>
    <w:rsid w:val="001A476B"/>
    <w:rsid w:val="001A484B"/>
    <w:rsid w:val="001A4981"/>
    <w:rsid w:val="001A504B"/>
    <w:rsid w:val="001A506A"/>
    <w:rsid w:val="001A5231"/>
    <w:rsid w:val="001A5518"/>
    <w:rsid w:val="001A592A"/>
    <w:rsid w:val="001A5DE9"/>
    <w:rsid w:val="001A5F3D"/>
    <w:rsid w:val="001A5F49"/>
    <w:rsid w:val="001A6777"/>
    <w:rsid w:val="001A6CF6"/>
    <w:rsid w:val="001A6F88"/>
    <w:rsid w:val="001A7904"/>
    <w:rsid w:val="001A7B35"/>
    <w:rsid w:val="001A7B8D"/>
    <w:rsid w:val="001A7BCF"/>
    <w:rsid w:val="001A7BEB"/>
    <w:rsid w:val="001A7C5D"/>
    <w:rsid w:val="001A7C6B"/>
    <w:rsid w:val="001B0398"/>
    <w:rsid w:val="001B0E5A"/>
    <w:rsid w:val="001B15EF"/>
    <w:rsid w:val="001B16E7"/>
    <w:rsid w:val="001B1A40"/>
    <w:rsid w:val="001B1E95"/>
    <w:rsid w:val="001B2723"/>
    <w:rsid w:val="001B27F5"/>
    <w:rsid w:val="001B2D3B"/>
    <w:rsid w:val="001B33E2"/>
    <w:rsid w:val="001B3D37"/>
    <w:rsid w:val="001B41D0"/>
    <w:rsid w:val="001B4261"/>
    <w:rsid w:val="001B4615"/>
    <w:rsid w:val="001B4706"/>
    <w:rsid w:val="001B504C"/>
    <w:rsid w:val="001B528A"/>
    <w:rsid w:val="001B5565"/>
    <w:rsid w:val="001B586D"/>
    <w:rsid w:val="001B5A3E"/>
    <w:rsid w:val="001B5B34"/>
    <w:rsid w:val="001B5DA0"/>
    <w:rsid w:val="001B5F3A"/>
    <w:rsid w:val="001B6554"/>
    <w:rsid w:val="001B68D5"/>
    <w:rsid w:val="001B6A47"/>
    <w:rsid w:val="001B6FD9"/>
    <w:rsid w:val="001B72FC"/>
    <w:rsid w:val="001B785D"/>
    <w:rsid w:val="001B7879"/>
    <w:rsid w:val="001B7D46"/>
    <w:rsid w:val="001C0003"/>
    <w:rsid w:val="001C0084"/>
    <w:rsid w:val="001C02FA"/>
    <w:rsid w:val="001C0417"/>
    <w:rsid w:val="001C11C2"/>
    <w:rsid w:val="001C171A"/>
    <w:rsid w:val="001C1A04"/>
    <w:rsid w:val="001C1C12"/>
    <w:rsid w:val="001C2387"/>
    <w:rsid w:val="001C28A7"/>
    <w:rsid w:val="001C2C31"/>
    <w:rsid w:val="001C2FA1"/>
    <w:rsid w:val="001C35B7"/>
    <w:rsid w:val="001C3846"/>
    <w:rsid w:val="001C3B16"/>
    <w:rsid w:val="001C3C82"/>
    <w:rsid w:val="001C3C8C"/>
    <w:rsid w:val="001C3C9B"/>
    <w:rsid w:val="001C49D2"/>
    <w:rsid w:val="001C4CAB"/>
    <w:rsid w:val="001C50C0"/>
    <w:rsid w:val="001C5404"/>
    <w:rsid w:val="001C5421"/>
    <w:rsid w:val="001C54FC"/>
    <w:rsid w:val="001C5C3B"/>
    <w:rsid w:val="001C6098"/>
    <w:rsid w:val="001C6124"/>
    <w:rsid w:val="001C61F9"/>
    <w:rsid w:val="001C65C7"/>
    <w:rsid w:val="001C66E2"/>
    <w:rsid w:val="001C6DCC"/>
    <w:rsid w:val="001C70A0"/>
    <w:rsid w:val="001C7402"/>
    <w:rsid w:val="001C76E4"/>
    <w:rsid w:val="001C7870"/>
    <w:rsid w:val="001C7BDC"/>
    <w:rsid w:val="001C7EC9"/>
    <w:rsid w:val="001D01A5"/>
    <w:rsid w:val="001D04DF"/>
    <w:rsid w:val="001D0541"/>
    <w:rsid w:val="001D0F0B"/>
    <w:rsid w:val="001D14A8"/>
    <w:rsid w:val="001D161D"/>
    <w:rsid w:val="001D1CE3"/>
    <w:rsid w:val="001D1DF0"/>
    <w:rsid w:val="001D226E"/>
    <w:rsid w:val="001D2751"/>
    <w:rsid w:val="001D2AE6"/>
    <w:rsid w:val="001D2BE8"/>
    <w:rsid w:val="001D2C0E"/>
    <w:rsid w:val="001D3130"/>
    <w:rsid w:val="001D34C6"/>
    <w:rsid w:val="001D38D9"/>
    <w:rsid w:val="001D395F"/>
    <w:rsid w:val="001D3AAA"/>
    <w:rsid w:val="001D3AEE"/>
    <w:rsid w:val="001D3BE6"/>
    <w:rsid w:val="001D3C36"/>
    <w:rsid w:val="001D3E38"/>
    <w:rsid w:val="001D3F39"/>
    <w:rsid w:val="001D4543"/>
    <w:rsid w:val="001D45DC"/>
    <w:rsid w:val="001D46A0"/>
    <w:rsid w:val="001D4BAD"/>
    <w:rsid w:val="001D4E2D"/>
    <w:rsid w:val="001D5238"/>
    <w:rsid w:val="001D52E4"/>
    <w:rsid w:val="001D57B2"/>
    <w:rsid w:val="001D57D0"/>
    <w:rsid w:val="001D5BDB"/>
    <w:rsid w:val="001D5FD9"/>
    <w:rsid w:val="001D67E7"/>
    <w:rsid w:val="001D6F65"/>
    <w:rsid w:val="001D70FB"/>
    <w:rsid w:val="001D74D5"/>
    <w:rsid w:val="001D77CA"/>
    <w:rsid w:val="001D7926"/>
    <w:rsid w:val="001D7A15"/>
    <w:rsid w:val="001D7CBB"/>
    <w:rsid w:val="001D7D40"/>
    <w:rsid w:val="001D7D77"/>
    <w:rsid w:val="001D7DD7"/>
    <w:rsid w:val="001D7EA5"/>
    <w:rsid w:val="001D7EA6"/>
    <w:rsid w:val="001D7EDE"/>
    <w:rsid w:val="001E0040"/>
    <w:rsid w:val="001E00D4"/>
    <w:rsid w:val="001E0387"/>
    <w:rsid w:val="001E0691"/>
    <w:rsid w:val="001E0D4C"/>
    <w:rsid w:val="001E1211"/>
    <w:rsid w:val="001E1311"/>
    <w:rsid w:val="001E1413"/>
    <w:rsid w:val="001E157D"/>
    <w:rsid w:val="001E15AD"/>
    <w:rsid w:val="001E171A"/>
    <w:rsid w:val="001E1DA3"/>
    <w:rsid w:val="001E1E45"/>
    <w:rsid w:val="001E1FA6"/>
    <w:rsid w:val="001E20A5"/>
    <w:rsid w:val="001E20AA"/>
    <w:rsid w:val="001E28C0"/>
    <w:rsid w:val="001E28D8"/>
    <w:rsid w:val="001E2D13"/>
    <w:rsid w:val="001E301C"/>
    <w:rsid w:val="001E309A"/>
    <w:rsid w:val="001E31BA"/>
    <w:rsid w:val="001E337E"/>
    <w:rsid w:val="001E3463"/>
    <w:rsid w:val="001E3669"/>
    <w:rsid w:val="001E3B82"/>
    <w:rsid w:val="001E3FDB"/>
    <w:rsid w:val="001E44FB"/>
    <w:rsid w:val="001E4ABA"/>
    <w:rsid w:val="001E4BC8"/>
    <w:rsid w:val="001E5090"/>
    <w:rsid w:val="001E55C3"/>
    <w:rsid w:val="001E5DDD"/>
    <w:rsid w:val="001E614D"/>
    <w:rsid w:val="001E6583"/>
    <w:rsid w:val="001E6CB4"/>
    <w:rsid w:val="001E6CE0"/>
    <w:rsid w:val="001E6FB6"/>
    <w:rsid w:val="001E7067"/>
    <w:rsid w:val="001E707D"/>
    <w:rsid w:val="001E71C9"/>
    <w:rsid w:val="001E722A"/>
    <w:rsid w:val="001E72B5"/>
    <w:rsid w:val="001E748F"/>
    <w:rsid w:val="001E7669"/>
    <w:rsid w:val="001E7C91"/>
    <w:rsid w:val="001E7D90"/>
    <w:rsid w:val="001E7D91"/>
    <w:rsid w:val="001F01B8"/>
    <w:rsid w:val="001F01D1"/>
    <w:rsid w:val="001F030A"/>
    <w:rsid w:val="001F08D2"/>
    <w:rsid w:val="001F08DE"/>
    <w:rsid w:val="001F0E64"/>
    <w:rsid w:val="001F1379"/>
    <w:rsid w:val="001F15B8"/>
    <w:rsid w:val="001F18CB"/>
    <w:rsid w:val="001F1A24"/>
    <w:rsid w:val="001F26D0"/>
    <w:rsid w:val="001F2790"/>
    <w:rsid w:val="001F279D"/>
    <w:rsid w:val="001F2F1E"/>
    <w:rsid w:val="001F3218"/>
    <w:rsid w:val="001F332F"/>
    <w:rsid w:val="001F358C"/>
    <w:rsid w:val="001F3763"/>
    <w:rsid w:val="001F3A36"/>
    <w:rsid w:val="001F3ADC"/>
    <w:rsid w:val="001F3C54"/>
    <w:rsid w:val="001F3DCE"/>
    <w:rsid w:val="001F43BC"/>
    <w:rsid w:val="001F445A"/>
    <w:rsid w:val="001F45FE"/>
    <w:rsid w:val="001F48E6"/>
    <w:rsid w:val="001F4900"/>
    <w:rsid w:val="001F498C"/>
    <w:rsid w:val="001F530C"/>
    <w:rsid w:val="001F5368"/>
    <w:rsid w:val="001F5904"/>
    <w:rsid w:val="001F5D04"/>
    <w:rsid w:val="001F610B"/>
    <w:rsid w:val="001F6F99"/>
    <w:rsid w:val="001F6FEC"/>
    <w:rsid w:val="001F78B5"/>
    <w:rsid w:val="001F7D68"/>
    <w:rsid w:val="001F7D77"/>
    <w:rsid w:val="001F7F88"/>
    <w:rsid w:val="00200319"/>
    <w:rsid w:val="00200444"/>
    <w:rsid w:val="00200B0E"/>
    <w:rsid w:val="00200B81"/>
    <w:rsid w:val="00200E3C"/>
    <w:rsid w:val="0020108C"/>
    <w:rsid w:val="00201239"/>
    <w:rsid w:val="00201385"/>
    <w:rsid w:val="002013A1"/>
    <w:rsid w:val="002014E6"/>
    <w:rsid w:val="0020150E"/>
    <w:rsid w:val="002016D8"/>
    <w:rsid w:val="002019BC"/>
    <w:rsid w:val="00201B36"/>
    <w:rsid w:val="00201CAE"/>
    <w:rsid w:val="00201EDC"/>
    <w:rsid w:val="00202012"/>
    <w:rsid w:val="00202366"/>
    <w:rsid w:val="002025DD"/>
    <w:rsid w:val="00202722"/>
    <w:rsid w:val="00202AC1"/>
    <w:rsid w:val="00202D1F"/>
    <w:rsid w:val="00202D83"/>
    <w:rsid w:val="00202DE7"/>
    <w:rsid w:val="00203355"/>
    <w:rsid w:val="00203766"/>
    <w:rsid w:val="00203809"/>
    <w:rsid w:val="00203A47"/>
    <w:rsid w:val="00203B32"/>
    <w:rsid w:val="002041E4"/>
    <w:rsid w:val="00204695"/>
    <w:rsid w:val="002050DB"/>
    <w:rsid w:val="00205198"/>
    <w:rsid w:val="002058FD"/>
    <w:rsid w:val="002059F4"/>
    <w:rsid w:val="002064C6"/>
    <w:rsid w:val="00206906"/>
    <w:rsid w:val="00206EB1"/>
    <w:rsid w:val="00207044"/>
    <w:rsid w:val="00207212"/>
    <w:rsid w:val="002072C9"/>
    <w:rsid w:val="002072CF"/>
    <w:rsid w:val="00207834"/>
    <w:rsid w:val="002079A6"/>
    <w:rsid w:val="00207F4F"/>
    <w:rsid w:val="00207FB0"/>
    <w:rsid w:val="002100F3"/>
    <w:rsid w:val="002104A2"/>
    <w:rsid w:val="0021061D"/>
    <w:rsid w:val="00210C26"/>
    <w:rsid w:val="00210D31"/>
    <w:rsid w:val="00210D7B"/>
    <w:rsid w:val="00210E9A"/>
    <w:rsid w:val="00210FF7"/>
    <w:rsid w:val="00211014"/>
    <w:rsid w:val="002114B4"/>
    <w:rsid w:val="00211557"/>
    <w:rsid w:val="00211A82"/>
    <w:rsid w:val="00211B64"/>
    <w:rsid w:val="00211CA5"/>
    <w:rsid w:val="00211FD8"/>
    <w:rsid w:val="002123C9"/>
    <w:rsid w:val="002123E6"/>
    <w:rsid w:val="002124CA"/>
    <w:rsid w:val="00212580"/>
    <w:rsid w:val="00212A5C"/>
    <w:rsid w:val="00212F5F"/>
    <w:rsid w:val="002130D5"/>
    <w:rsid w:val="0021327F"/>
    <w:rsid w:val="002132EA"/>
    <w:rsid w:val="002132ED"/>
    <w:rsid w:val="0021344E"/>
    <w:rsid w:val="002136F0"/>
    <w:rsid w:val="002137DB"/>
    <w:rsid w:val="00213997"/>
    <w:rsid w:val="00213A36"/>
    <w:rsid w:val="00214320"/>
    <w:rsid w:val="0021441D"/>
    <w:rsid w:val="0021470F"/>
    <w:rsid w:val="0021478D"/>
    <w:rsid w:val="00214AAD"/>
    <w:rsid w:val="00214AFA"/>
    <w:rsid w:val="00214C6A"/>
    <w:rsid w:val="00214EFF"/>
    <w:rsid w:val="00215069"/>
    <w:rsid w:val="00215145"/>
    <w:rsid w:val="0021517E"/>
    <w:rsid w:val="00215314"/>
    <w:rsid w:val="00215946"/>
    <w:rsid w:val="00215999"/>
    <w:rsid w:val="00216279"/>
    <w:rsid w:val="00216559"/>
    <w:rsid w:val="00216A94"/>
    <w:rsid w:val="00216C23"/>
    <w:rsid w:val="00217134"/>
    <w:rsid w:val="002171D0"/>
    <w:rsid w:val="002173F4"/>
    <w:rsid w:val="002178B9"/>
    <w:rsid w:val="00217EB8"/>
    <w:rsid w:val="00217F1A"/>
    <w:rsid w:val="00217FEB"/>
    <w:rsid w:val="00220194"/>
    <w:rsid w:val="002202DB"/>
    <w:rsid w:val="002205E8"/>
    <w:rsid w:val="002207BC"/>
    <w:rsid w:val="002208FE"/>
    <w:rsid w:val="002211AD"/>
    <w:rsid w:val="0022121C"/>
    <w:rsid w:val="002212AF"/>
    <w:rsid w:val="002212EE"/>
    <w:rsid w:val="002213A8"/>
    <w:rsid w:val="00221586"/>
    <w:rsid w:val="002217D9"/>
    <w:rsid w:val="0022196D"/>
    <w:rsid w:val="002219A1"/>
    <w:rsid w:val="00221D1E"/>
    <w:rsid w:val="002220AC"/>
    <w:rsid w:val="0022219C"/>
    <w:rsid w:val="00222712"/>
    <w:rsid w:val="00222946"/>
    <w:rsid w:val="00222A06"/>
    <w:rsid w:val="00222B92"/>
    <w:rsid w:val="00222E62"/>
    <w:rsid w:val="00222F31"/>
    <w:rsid w:val="002230E4"/>
    <w:rsid w:val="0022346C"/>
    <w:rsid w:val="002234BC"/>
    <w:rsid w:val="002237F5"/>
    <w:rsid w:val="00223B38"/>
    <w:rsid w:val="00223FE1"/>
    <w:rsid w:val="002240BF"/>
    <w:rsid w:val="00224600"/>
    <w:rsid w:val="0022472C"/>
    <w:rsid w:val="002248F1"/>
    <w:rsid w:val="00224951"/>
    <w:rsid w:val="00225284"/>
    <w:rsid w:val="002258E7"/>
    <w:rsid w:val="0022596E"/>
    <w:rsid w:val="00225D20"/>
    <w:rsid w:val="00225DBB"/>
    <w:rsid w:val="00226110"/>
    <w:rsid w:val="00226B20"/>
    <w:rsid w:val="00226B2D"/>
    <w:rsid w:val="00226C93"/>
    <w:rsid w:val="002271B2"/>
    <w:rsid w:val="00227590"/>
    <w:rsid w:val="00227786"/>
    <w:rsid w:val="00227A0A"/>
    <w:rsid w:val="00227C0D"/>
    <w:rsid w:val="002302B1"/>
    <w:rsid w:val="00230459"/>
    <w:rsid w:val="002306C4"/>
    <w:rsid w:val="00230877"/>
    <w:rsid w:val="00230AA0"/>
    <w:rsid w:val="002316D5"/>
    <w:rsid w:val="00231823"/>
    <w:rsid w:val="0023193E"/>
    <w:rsid w:val="00231BFC"/>
    <w:rsid w:val="00231C73"/>
    <w:rsid w:val="00231CBB"/>
    <w:rsid w:val="00231DC0"/>
    <w:rsid w:val="002326DF"/>
    <w:rsid w:val="00232716"/>
    <w:rsid w:val="002327D2"/>
    <w:rsid w:val="00233B11"/>
    <w:rsid w:val="00234087"/>
    <w:rsid w:val="00234490"/>
    <w:rsid w:val="0023477B"/>
    <w:rsid w:val="00234811"/>
    <w:rsid w:val="002348A7"/>
    <w:rsid w:val="00234986"/>
    <w:rsid w:val="00234BD2"/>
    <w:rsid w:val="00234CDC"/>
    <w:rsid w:val="00234CF9"/>
    <w:rsid w:val="00234F27"/>
    <w:rsid w:val="00235393"/>
    <w:rsid w:val="002358CC"/>
    <w:rsid w:val="00235A65"/>
    <w:rsid w:val="00235A99"/>
    <w:rsid w:val="00235BB6"/>
    <w:rsid w:val="00236538"/>
    <w:rsid w:val="002366F2"/>
    <w:rsid w:val="00236711"/>
    <w:rsid w:val="00236778"/>
    <w:rsid w:val="00236D69"/>
    <w:rsid w:val="00237088"/>
    <w:rsid w:val="00237241"/>
    <w:rsid w:val="00237288"/>
    <w:rsid w:val="002372B8"/>
    <w:rsid w:val="0023754C"/>
    <w:rsid w:val="002378A1"/>
    <w:rsid w:val="00237A78"/>
    <w:rsid w:val="00237B21"/>
    <w:rsid w:val="00237BE2"/>
    <w:rsid w:val="00240536"/>
    <w:rsid w:val="00240700"/>
    <w:rsid w:val="00240990"/>
    <w:rsid w:val="00240CCD"/>
    <w:rsid w:val="00240CD5"/>
    <w:rsid w:val="002411D3"/>
    <w:rsid w:val="00241DAF"/>
    <w:rsid w:val="00242289"/>
    <w:rsid w:val="0024266F"/>
    <w:rsid w:val="002426F9"/>
    <w:rsid w:val="002427A7"/>
    <w:rsid w:val="0024283B"/>
    <w:rsid w:val="00242A70"/>
    <w:rsid w:val="00242BA7"/>
    <w:rsid w:val="00242CC6"/>
    <w:rsid w:val="00242F9F"/>
    <w:rsid w:val="002437DC"/>
    <w:rsid w:val="00243D32"/>
    <w:rsid w:val="00243F31"/>
    <w:rsid w:val="00244421"/>
    <w:rsid w:val="00244456"/>
    <w:rsid w:val="00244864"/>
    <w:rsid w:val="00244A52"/>
    <w:rsid w:val="00244C67"/>
    <w:rsid w:val="00244CA6"/>
    <w:rsid w:val="00245043"/>
    <w:rsid w:val="002452C5"/>
    <w:rsid w:val="00245488"/>
    <w:rsid w:val="002456F7"/>
    <w:rsid w:val="00245716"/>
    <w:rsid w:val="0024584E"/>
    <w:rsid w:val="00245A16"/>
    <w:rsid w:val="00245D42"/>
    <w:rsid w:val="00245EB5"/>
    <w:rsid w:val="0024622B"/>
    <w:rsid w:val="002465B0"/>
    <w:rsid w:val="00246847"/>
    <w:rsid w:val="002469CE"/>
    <w:rsid w:val="00246C74"/>
    <w:rsid w:val="00246DD5"/>
    <w:rsid w:val="00247347"/>
    <w:rsid w:val="00247666"/>
    <w:rsid w:val="00247816"/>
    <w:rsid w:val="00247FEF"/>
    <w:rsid w:val="00250930"/>
    <w:rsid w:val="00250A90"/>
    <w:rsid w:val="00250B94"/>
    <w:rsid w:val="00250D47"/>
    <w:rsid w:val="00250EF4"/>
    <w:rsid w:val="00250F15"/>
    <w:rsid w:val="00251329"/>
    <w:rsid w:val="00251339"/>
    <w:rsid w:val="00251784"/>
    <w:rsid w:val="00251D99"/>
    <w:rsid w:val="00251EBF"/>
    <w:rsid w:val="00252154"/>
    <w:rsid w:val="002524E3"/>
    <w:rsid w:val="002525AF"/>
    <w:rsid w:val="002525BA"/>
    <w:rsid w:val="00252817"/>
    <w:rsid w:val="00252E17"/>
    <w:rsid w:val="0025316A"/>
    <w:rsid w:val="002531BD"/>
    <w:rsid w:val="0025356B"/>
    <w:rsid w:val="00253704"/>
    <w:rsid w:val="002539B5"/>
    <w:rsid w:val="00253E43"/>
    <w:rsid w:val="00253F2D"/>
    <w:rsid w:val="00254519"/>
    <w:rsid w:val="00254657"/>
    <w:rsid w:val="002546DC"/>
    <w:rsid w:val="0025470A"/>
    <w:rsid w:val="00254786"/>
    <w:rsid w:val="002547C8"/>
    <w:rsid w:val="002549FA"/>
    <w:rsid w:val="00254AFA"/>
    <w:rsid w:val="00254B1F"/>
    <w:rsid w:val="002554EE"/>
    <w:rsid w:val="00255573"/>
    <w:rsid w:val="0025561E"/>
    <w:rsid w:val="0025562F"/>
    <w:rsid w:val="00255679"/>
    <w:rsid w:val="00255A8A"/>
    <w:rsid w:val="00255B53"/>
    <w:rsid w:val="00256090"/>
    <w:rsid w:val="0025633A"/>
    <w:rsid w:val="00256587"/>
    <w:rsid w:val="00256947"/>
    <w:rsid w:val="002572F3"/>
    <w:rsid w:val="00257568"/>
    <w:rsid w:val="002576D6"/>
    <w:rsid w:val="0025781E"/>
    <w:rsid w:val="00257DCA"/>
    <w:rsid w:val="00257DD3"/>
    <w:rsid w:val="002604E3"/>
    <w:rsid w:val="00260705"/>
    <w:rsid w:val="00260834"/>
    <w:rsid w:val="00260851"/>
    <w:rsid w:val="00260A6D"/>
    <w:rsid w:val="00260A9E"/>
    <w:rsid w:val="00260CB5"/>
    <w:rsid w:val="0026111D"/>
    <w:rsid w:val="00261224"/>
    <w:rsid w:val="00261257"/>
    <w:rsid w:val="0026136C"/>
    <w:rsid w:val="00261470"/>
    <w:rsid w:val="0026186C"/>
    <w:rsid w:val="00261876"/>
    <w:rsid w:val="00261D22"/>
    <w:rsid w:val="00261D60"/>
    <w:rsid w:val="00261D69"/>
    <w:rsid w:val="00261D83"/>
    <w:rsid w:val="002624F8"/>
    <w:rsid w:val="002625CD"/>
    <w:rsid w:val="00262730"/>
    <w:rsid w:val="002627AC"/>
    <w:rsid w:val="0026288B"/>
    <w:rsid w:val="002628AD"/>
    <w:rsid w:val="00262BC9"/>
    <w:rsid w:val="00262DC0"/>
    <w:rsid w:val="00262E3C"/>
    <w:rsid w:val="00263065"/>
    <w:rsid w:val="002630DD"/>
    <w:rsid w:val="0026325B"/>
    <w:rsid w:val="00263315"/>
    <w:rsid w:val="002637F5"/>
    <w:rsid w:val="0026385F"/>
    <w:rsid w:val="00263912"/>
    <w:rsid w:val="002639B0"/>
    <w:rsid w:val="002639EF"/>
    <w:rsid w:val="00263DF9"/>
    <w:rsid w:val="00264175"/>
    <w:rsid w:val="00264910"/>
    <w:rsid w:val="00264E3D"/>
    <w:rsid w:val="00264F72"/>
    <w:rsid w:val="002651F7"/>
    <w:rsid w:val="00265A49"/>
    <w:rsid w:val="00265DA4"/>
    <w:rsid w:val="0026649A"/>
    <w:rsid w:val="00266938"/>
    <w:rsid w:val="00266D29"/>
    <w:rsid w:val="00266D97"/>
    <w:rsid w:val="0026747A"/>
    <w:rsid w:val="00267E32"/>
    <w:rsid w:val="00270094"/>
    <w:rsid w:val="0027015D"/>
    <w:rsid w:val="002706A2"/>
    <w:rsid w:val="002706C2"/>
    <w:rsid w:val="00270743"/>
    <w:rsid w:val="002708C7"/>
    <w:rsid w:val="002709FE"/>
    <w:rsid w:val="00270B8A"/>
    <w:rsid w:val="00270C99"/>
    <w:rsid w:val="00270FB9"/>
    <w:rsid w:val="002710F0"/>
    <w:rsid w:val="0027112B"/>
    <w:rsid w:val="002718FC"/>
    <w:rsid w:val="00271FA4"/>
    <w:rsid w:val="00272AD3"/>
    <w:rsid w:val="00272B95"/>
    <w:rsid w:val="00273A77"/>
    <w:rsid w:val="00273BE2"/>
    <w:rsid w:val="0027404C"/>
    <w:rsid w:val="002740A0"/>
    <w:rsid w:val="00274134"/>
    <w:rsid w:val="002745AF"/>
    <w:rsid w:val="002746AB"/>
    <w:rsid w:val="002746E5"/>
    <w:rsid w:val="0027479F"/>
    <w:rsid w:val="0027481B"/>
    <w:rsid w:val="00274C8F"/>
    <w:rsid w:val="002757B9"/>
    <w:rsid w:val="00275AC0"/>
    <w:rsid w:val="00275BFB"/>
    <w:rsid w:val="0027608B"/>
    <w:rsid w:val="0027613B"/>
    <w:rsid w:val="00276480"/>
    <w:rsid w:val="00276B37"/>
    <w:rsid w:val="00276C41"/>
    <w:rsid w:val="00276C7A"/>
    <w:rsid w:val="00276DBF"/>
    <w:rsid w:val="00276DF8"/>
    <w:rsid w:val="00276EBD"/>
    <w:rsid w:val="00280428"/>
    <w:rsid w:val="0028053B"/>
    <w:rsid w:val="002805AB"/>
    <w:rsid w:val="002807A3"/>
    <w:rsid w:val="00280CA2"/>
    <w:rsid w:val="00281287"/>
    <w:rsid w:val="002812A7"/>
    <w:rsid w:val="002815CA"/>
    <w:rsid w:val="0028198C"/>
    <w:rsid w:val="00281B76"/>
    <w:rsid w:val="00281B8E"/>
    <w:rsid w:val="00281C25"/>
    <w:rsid w:val="0028226C"/>
    <w:rsid w:val="0028246D"/>
    <w:rsid w:val="002828A6"/>
    <w:rsid w:val="00282ACE"/>
    <w:rsid w:val="00282AEE"/>
    <w:rsid w:val="00282EB8"/>
    <w:rsid w:val="002830AE"/>
    <w:rsid w:val="00283117"/>
    <w:rsid w:val="00283174"/>
    <w:rsid w:val="0028322E"/>
    <w:rsid w:val="00283567"/>
    <w:rsid w:val="0028356D"/>
    <w:rsid w:val="0028384D"/>
    <w:rsid w:val="00283DE2"/>
    <w:rsid w:val="00283EFD"/>
    <w:rsid w:val="002840CA"/>
    <w:rsid w:val="00284729"/>
    <w:rsid w:val="00284E57"/>
    <w:rsid w:val="00285168"/>
    <w:rsid w:val="00285971"/>
    <w:rsid w:val="00285AA7"/>
    <w:rsid w:val="00285BE8"/>
    <w:rsid w:val="00285C00"/>
    <w:rsid w:val="00286162"/>
    <w:rsid w:val="00286C69"/>
    <w:rsid w:val="00286FCD"/>
    <w:rsid w:val="0028715F"/>
    <w:rsid w:val="0028744B"/>
    <w:rsid w:val="00287497"/>
    <w:rsid w:val="0028754E"/>
    <w:rsid w:val="00287698"/>
    <w:rsid w:val="00287BE1"/>
    <w:rsid w:val="00287D39"/>
    <w:rsid w:val="0029004E"/>
    <w:rsid w:val="0029006A"/>
    <w:rsid w:val="0029007A"/>
    <w:rsid w:val="002904DB"/>
    <w:rsid w:val="002909B5"/>
    <w:rsid w:val="00290DFF"/>
    <w:rsid w:val="00291003"/>
    <w:rsid w:val="002915D0"/>
    <w:rsid w:val="002918A5"/>
    <w:rsid w:val="002919BC"/>
    <w:rsid w:val="00292050"/>
    <w:rsid w:val="0029216A"/>
    <w:rsid w:val="00292302"/>
    <w:rsid w:val="0029239C"/>
    <w:rsid w:val="002927C2"/>
    <w:rsid w:val="00292977"/>
    <w:rsid w:val="00292A21"/>
    <w:rsid w:val="00292B8D"/>
    <w:rsid w:val="00292FD5"/>
    <w:rsid w:val="0029318C"/>
    <w:rsid w:val="00293510"/>
    <w:rsid w:val="002937FD"/>
    <w:rsid w:val="00293832"/>
    <w:rsid w:val="002938E9"/>
    <w:rsid w:val="002939FA"/>
    <w:rsid w:val="00293A39"/>
    <w:rsid w:val="00293CDE"/>
    <w:rsid w:val="00293DDF"/>
    <w:rsid w:val="00293E53"/>
    <w:rsid w:val="00294054"/>
    <w:rsid w:val="00294067"/>
    <w:rsid w:val="0029482B"/>
    <w:rsid w:val="00294A08"/>
    <w:rsid w:val="00294A27"/>
    <w:rsid w:val="00294B95"/>
    <w:rsid w:val="00296218"/>
    <w:rsid w:val="00296C9A"/>
    <w:rsid w:val="00296ECF"/>
    <w:rsid w:val="0029732C"/>
    <w:rsid w:val="00297650"/>
    <w:rsid w:val="002978BC"/>
    <w:rsid w:val="00297FED"/>
    <w:rsid w:val="002A0447"/>
    <w:rsid w:val="002A04E4"/>
    <w:rsid w:val="002A066A"/>
    <w:rsid w:val="002A06DC"/>
    <w:rsid w:val="002A08D5"/>
    <w:rsid w:val="002A0AE4"/>
    <w:rsid w:val="002A1621"/>
    <w:rsid w:val="002A17AC"/>
    <w:rsid w:val="002A1D7D"/>
    <w:rsid w:val="002A1FE4"/>
    <w:rsid w:val="002A2A24"/>
    <w:rsid w:val="002A33F7"/>
    <w:rsid w:val="002A34F0"/>
    <w:rsid w:val="002A3685"/>
    <w:rsid w:val="002A36B6"/>
    <w:rsid w:val="002A39AD"/>
    <w:rsid w:val="002A3A01"/>
    <w:rsid w:val="002A3A15"/>
    <w:rsid w:val="002A3BAC"/>
    <w:rsid w:val="002A4097"/>
    <w:rsid w:val="002A451E"/>
    <w:rsid w:val="002A492A"/>
    <w:rsid w:val="002A4D48"/>
    <w:rsid w:val="002A55CC"/>
    <w:rsid w:val="002A5776"/>
    <w:rsid w:val="002A5C0C"/>
    <w:rsid w:val="002A5CA3"/>
    <w:rsid w:val="002A5E8A"/>
    <w:rsid w:val="002A5FA0"/>
    <w:rsid w:val="002A609B"/>
    <w:rsid w:val="002A6566"/>
    <w:rsid w:val="002A67F3"/>
    <w:rsid w:val="002A6D94"/>
    <w:rsid w:val="002A70BA"/>
    <w:rsid w:val="002A70C8"/>
    <w:rsid w:val="002A72F5"/>
    <w:rsid w:val="002A74F2"/>
    <w:rsid w:val="002A7807"/>
    <w:rsid w:val="002A7DD3"/>
    <w:rsid w:val="002A7F20"/>
    <w:rsid w:val="002B00CC"/>
    <w:rsid w:val="002B033C"/>
    <w:rsid w:val="002B03B9"/>
    <w:rsid w:val="002B0581"/>
    <w:rsid w:val="002B05EA"/>
    <w:rsid w:val="002B0BA4"/>
    <w:rsid w:val="002B0D26"/>
    <w:rsid w:val="002B0EA1"/>
    <w:rsid w:val="002B1468"/>
    <w:rsid w:val="002B17E7"/>
    <w:rsid w:val="002B1A13"/>
    <w:rsid w:val="002B1A31"/>
    <w:rsid w:val="002B1BB1"/>
    <w:rsid w:val="002B1F25"/>
    <w:rsid w:val="002B25AF"/>
    <w:rsid w:val="002B2801"/>
    <w:rsid w:val="002B2A4D"/>
    <w:rsid w:val="002B331F"/>
    <w:rsid w:val="002B38B7"/>
    <w:rsid w:val="002B39F2"/>
    <w:rsid w:val="002B3ADC"/>
    <w:rsid w:val="002B3C92"/>
    <w:rsid w:val="002B4839"/>
    <w:rsid w:val="002B4A2E"/>
    <w:rsid w:val="002B4B19"/>
    <w:rsid w:val="002B5214"/>
    <w:rsid w:val="002B531E"/>
    <w:rsid w:val="002B5A02"/>
    <w:rsid w:val="002B5ADD"/>
    <w:rsid w:val="002B5C94"/>
    <w:rsid w:val="002B61DC"/>
    <w:rsid w:val="002B6AEC"/>
    <w:rsid w:val="002B6D04"/>
    <w:rsid w:val="002B6D37"/>
    <w:rsid w:val="002B6FBD"/>
    <w:rsid w:val="002B6FE6"/>
    <w:rsid w:val="002B72F2"/>
    <w:rsid w:val="002B7746"/>
    <w:rsid w:val="002B7757"/>
    <w:rsid w:val="002B77AD"/>
    <w:rsid w:val="002B7D21"/>
    <w:rsid w:val="002C03F1"/>
    <w:rsid w:val="002C060D"/>
    <w:rsid w:val="002C0C49"/>
    <w:rsid w:val="002C0CAC"/>
    <w:rsid w:val="002C0EBB"/>
    <w:rsid w:val="002C1194"/>
    <w:rsid w:val="002C121D"/>
    <w:rsid w:val="002C13BB"/>
    <w:rsid w:val="002C1444"/>
    <w:rsid w:val="002C1449"/>
    <w:rsid w:val="002C15AE"/>
    <w:rsid w:val="002C16DB"/>
    <w:rsid w:val="002C2834"/>
    <w:rsid w:val="002C2F06"/>
    <w:rsid w:val="002C2FEE"/>
    <w:rsid w:val="002C3176"/>
    <w:rsid w:val="002C31A5"/>
    <w:rsid w:val="002C3D0A"/>
    <w:rsid w:val="002C3D2C"/>
    <w:rsid w:val="002C4210"/>
    <w:rsid w:val="002C428E"/>
    <w:rsid w:val="002C4433"/>
    <w:rsid w:val="002C4BCA"/>
    <w:rsid w:val="002C4F5D"/>
    <w:rsid w:val="002C6301"/>
    <w:rsid w:val="002C6742"/>
    <w:rsid w:val="002C67CC"/>
    <w:rsid w:val="002C68A5"/>
    <w:rsid w:val="002C6989"/>
    <w:rsid w:val="002C6B19"/>
    <w:rsid w:val="002C6ECD"/>
    <w:rsid w:val="002C71CB"/>
    <w:rsid w:val="002C7925"/>
    <w:rsid w:val="002C7B15"/>
    <w:rsid w:val="002C7BA0"/>
    <w:rsid w:val="002C7CE0"/>
    <w:rsid w:val="002C7DAF"/>
    <w:rsid w:val="002D036B"/>
    <w:rsid w:val="002D0CB7"/>
    <w:rsid w:val="002D14DA"/>
    <w:rsid w:val="002D1952"/>
    <w:rsid w:val="002D1B2C"/>
    <w:rsid w:val="002D2259"/>
    <w:rsid w:val="002D22A0"/>
    <w:rsid w:val="002D24D6"/>
    <w:rsid w:val="002D295C"/>
    <w:rsid w:val="002D2BB6"/>
    <w:rsid w:val="002D2CA7"/>
    <w:rsid w:val="002D2D97"/>
    <w:rsid w:val="002D321A"/>
    <w:rsid w:val="002D35EB"/>
    <w:rsid w:val="002D3FC4"/>
    <w:rsid w:val="002D463A"/>
    <w:rsid w:val="002D46DF"/>
    <w:rsid w:val="002D4809"/>
    <w:rsid w:val="002D4AD6"/>
    <w:rsid w:val="002D4F75"/>
    <w:rsid w:val="002D5325"/>
    <w:rsid w:val="002D53F4"/>
    <w:rsid w:val="002D540C"/>
    <w:rsid w:val="002D552A"/>
    <w:rsid w:val="002D56F5"/>
    <w:rsid w:val="002D5737"/>
    <w:rsid w:val="002D5817"/>
    <w:rsid w:val="002D585D"/>
    <w:rsid w:val="002D5C95"/>
    <w:rsid w:val="002D6398"/>
    <w:rsid w:val="002D66AF"/>
    <w:rsid w:val="002D6959"/>
    <w:rsid w:val="002D6A6C"/>
    <w:rsid w:val="002D7291"/>
    <w:rsid w:val="002D7773"/>
    <w:rsid w:val="002D7CC4"/>
    <w:rsid w:val="002D7DA8"/>
    <w:rsid w:val="002E0128"/>
    <w:rsid w:val="002E0308"/>
    <w:rsid w:val="002E03B4"/>
    <w:rsid w:val="002E067B"/>
    <w:rsid w:val="002E08EA"/>
    <w:rsid w:val="002E095E"/>
    <w:rsid w:val="002E0A86"/>
    <w:rsid w:val="002E0C27"/>
    <w:rsid w:val="002E0FAA"/>
    <w:rsid w:val="002E1558"/>
    <w:rsid w:val="002E1748"/>
    <w:rsid w:val="002E1764"/>
    <w:rsid w:val="002E1818"/>
    <w:rsid w:val="002E22B4"/>
    <w:rsid w:val="002E2842"/>
    <w:rsid w:val="002E2B3C"/>
    <w:rsid w:val="002E2F66"/>
    <w:rsid w:val="002E30E9"/>
    <w:rsid w:val="002E31A9"/>
    <w:rsid w:val="002E3205"/>
    <w:rsid w:val="002E329C"/>
    <w:rsid w:val="002E35E5"/>
    <w:rsid w:val="002E3796"/>
    <w:rsid w:val="002E3E39"/>
    <w:rsid w:val="002E3F3A"/>
    <w:rsid w:val="002E4185"/>
    <w:rsid w:val="002E4450"/>
    <w:rsid w:val="002E4660"/>
    <w:rsid w:val="002E4E00"/>
    <w:rsid w:val="002E4EDA"/>
    <w:rsid w:val="002E4FFA"/>
    <w:rsid w:val="002E521C"/>
    <w:rsid w:val="002E5607"/>
    <w:rsid w:val="002E5C6B"/>
    <w:rsid w:val="002E60E5"/>
    <w:rsid w:val="002E60EB"/>
    <w:rsid w:val="002E6505"/>
    <w:rsid w:val="002E6A96"/>
    <w:rsid w:val="002E75CC"/>
    <w:rsid w:val="002E7C40"/>
    <w:rsid w:val="002F0176"/>
    <w:rsid w:val="002F01E7"/>
    <w:rsid w:val="002F01F2"/>
    <w:rsid w:val="002F07DD"/>
    <w:rsid w:val="002F099C"/>
    <w:rsid w:val="002F0ACD"/>
    <w:rsid w:val="002F0CDE"/>
    <w:rsid w:val="002F0D3F"/>
    <w:rsid w:val="002F0EDF"/>
    <w:rsid w:val="002F0FE7"/>
    <w:rsid w:val="002F10E4"/>
    <w:rsid w:val="002F1285"/>
    <w:rsid w:val="002F1B8B"/>
    <w:rsid w:val="002F1E61"/>
    <w:rsid w:val="002F1FCE"/>
    <w:rsid w:val="002F2D20"/>
    <w:rsid w:val="002F2D4A"/>
    <w:rsid w:val="002F2E19"/>
    <w:rsid w:val="002F327B"/>
    <w:rsid w:val="002F340A"/>
    <w:rsid w:val="002F37EA"/>
    <w:rsid w:val="002F3B25"/>
    <w:rsid w:val="002F3DC4"/>
    <w:rsid w:val="002F3DFF"/>
    <w:rsid w:val="002F424E"/>
    <w:rsid w:val="002F4270"/>
    <w:rsid w:val="002F4414"/>
    <w:rsid w:val="002F444A"/>
    <w:rsid w:val="002F44E3"/>
    <w:rsid w:val="002F46E0"/>
    <w:rsid w:val="002F478C"/>
    <w:rsid w:val="002F4DF3"/>
    <w:rsid w:val="002F545E"/>
    <w:rsid w:val="002F5466"/>
    <w:rsid w:val="002F558F"/>
    <w:rsid w:val="002F55AE"/>
    <w:rsid w:val="002F576F"/>
    <w:rsid w:val="002F59C8"/>
    <w:rsid w:val="002F5FBC"/>
    <w:rsid w:val="002F6152"/>
    <w:rsid w:val="002F61CF"/>
    <w:rsid w:val="002F639A"/>
    <w:rsid w:val="002F6720"/>
    <w:rsid w:val="002F67FB"/>
    <w:rsid w:val="002F6B05"/>
    <w:rsid w:val="002F6BDA"/>
    <w:rsid w:val="002F6E23"/>
    <w:rsid w:val="002F6EF0"/>
    <w:rsid w:val="002F6FA9"/>
    <w:rsid w:val="002F715F"/>
    <w:rsid w:val="002F755C"/>
    <w:rsid w:val="002F7714"/>
    <w:rsid w:val="002F7D56"/>
    <w:rsid w:val="002F7EB2"/>
    <w:rsid w:val="002F7EBD"/>
    <w:rsid w:val="0030045F"/>
    <w:rsid w:val="0030069F"/>
    <w:rsid w:val="003007A7"/>
    <w:rsid w:val="00300957"/>
    <w:rsid w:val="00300D1E"/>
    <w:rsid w:val="003015E3"/>
    <w:rsid w:val="00301742"/>
    <w:rsid w:val="00301B10"/>
    <w:rsid w:val="00301FAC"/>
    <w:rsid w:val="00301FC8"/>
    <w:rsid w:val="00301FEE"/>
    <w:rsid w:val="0030290D"/>
    <w:rsid w:val="00302A50"/>
    <w:rsid w:val="00303147"/>
    <w:rsid w:val="00303315"/>
    <w:rsid w:val="00303375"/>
    <w:rsid w:val="003036A4"/>
    <w:rsid w:val="003039E7"/>
    <w:rsid w:val="00303EAB"/>
    <w:rsid w:val="00303FCB"/>
    <w:rsid w:val="003046F7"/>
    <w:rsid w:val="00304BC9"/>
    <w:rsid w:val="00304DBD"/>
    <w:rsid w:val="00304E7D"/>
    <w:rsid w:val="003050B3"/>
    <w:rsid w:val="003054DC"/>
    <w:rsid w:val="003055E7"/>
    <w:rsid w:val="00305735"/>
    <w:rsid w:val="003058F7"/>
    <w:rsid w:val="00305978"/>
    <w:rsid w:val="00305B1A"/>
    <w:rsid w:val="00305BC2"/>
    <w:rsid w:val="00305F9E"/>
    <w:rsid w:val="003061A4"/>
    <w:rsid w:val="003062E5"/>
    <w:rsid w:val="00306356"/>
    <w:rsid w:val="00306A4D"/>
    <w:rsid w:val="00307048"/>
    <w:rsid w:val="003070C6"/>
    <w:rsid w:val="003073BB"/>
    <w:rsid w:val="003074B0"/>
    <w:rsid w:val="003076E4"/>
    <w:rsid w:val="00307B69"/>
    <w:rsid w:val="00307E7E"/>
    <w:rsid w:val="00310063"/>
    <w:rsid w:val="0031052F"/>
    <w:rsid w:val="003108DC"/>
    <w:rsid w:val="003109F0"/>
    <w:rsid w:val="00310CC9"/>
    <w:rsid w:val="00310F26"/>
    <w:rsid w:val="0031112B"/>
    <w:rsid w:val="003113E6"/>
    <w:rsid w:val="0031185F"/>
    <w:rsid w:val="00311B29"/>
    <w:rsid w:val="00311B91"/>
    <w:rsid w:val="00311C1D"/>
    <w:rsid w:val="003124FE"/>
    <w:rsid w:val="00312633"/>
    <w:rsid w:val="00312A85"/>
    <w:rsid w:val="00312F66"/>
    <w:rsid w:val="0031303C"/>
    <w:rsid w:val="00313414"/>
    <w:rsid w:val="003134CD"/>
    <w:rsid w:val="00313636"/>
    <w:rsid w:val="00313834"/>
    <w:rsid w:val="00313951"/>
    <w:rsid w:val="00313AB6"/>
    <w:rsid w:val="00313C16"/>
    <w:rsid w:val="00313F34"/>
    <w:rsid w:val="00314247"/>
    <w:rsid w:val="0031424F"/>
    <w:rsid w:val="0031487A"/>
    <w:rsid w:val="00314C06"/>
    <w:rsid w:val="00314CFC"/>
    <w:rsid w:val="00314D02"/>
    <w:rsid w:val="00314EEC"/>
    <w:rsid w:val="00315616"/>
    <w:rsid w:val="00315C9D"/>
    <w:rsid w:val="00315D3C"/>
    <w:rsid w:val="00315D64"/>
    <w:rsid w:val="00315DAD"/>
    <w:rsid w:val="0031639B"/>
    <w:rsid w:val="0031644C"/>
    <w:rsid w:val="0031651B"/>
    <w:rsid w:val="003166ED"/>
    <w:rsid w:val="00316767"/>
    <w:rsid w:val="003167AB"/>
    <w:rsid w:val="00316A4E"/>
    <w:rsid w:val="0031704D"/>
    <w:rsid w:val="00317180"/>
    <w:rsid w:val="0031753D"/>
    <w:rsid w:val="003177FC"/>
    <w:rsid w:val="00317993"/>
    <w:rsid w:val="0032001F"/>
    <w:rsid w:val="00320297"/>
    <w:rsid w:val="00320776"/>
    <w:rsid w:val="0032079F"/>
    <w:rsid w:val="00320AE9"/>
    <w:rsid w:val="00320B66"/>
    <w:rsid w:val="00320FA1"/>
    <w:rsid w:val="0032103A"/>
    <w:rsid w:val="00321139"/>
    <w:rsid w:val="003215D9"/>
    <w:rsid w:val="003217CB"/>
    <w:rsid w:val="0032180F"/>
    <w:rsid w:val="00321965"/>
    <w:rsid w:val="00321D89"/>
    <w:rsid w:val="0032297F"/>
    <w:rsid w:val="00322A12"/>
    <w:rsid w:val="00322B33"/>
    <w:rsid w:val="00322E08"/>
    <w:rsid w:val="00322F20"/>
    <w:rsid w:val="00323065"/>
    <w:rsid w:val="00323AA4"/>
    <w:rsid w:val="00323C10"/>
    <w:rsid w:val="00323DDF"/>
    <w:rsid w:val="00323F4A"/>
    <w:rsid w:val="00324400"/>
    <w:rsid w:val="00324687"/>
    <w:rsid w:val="003248BA"/>
    <w:rsid w:val="00324B3A"/>
    <w:rsid w:val="00325324"/>
    <w:rsid w:val="0032570F"/>
    <w:rsid w:val="00325B34"/>
    <w:rsid w:val="00326089"/>
    <w:rsid w:val="00326907"/>
    <w:rsid w:val="00326B7C"/>
    <w:rsid w:val="00326BD8"/>
    <w:rsid w:val="00326C96"/>
    <w:rsid w:val="00326E9B"/>
    <w:rsid w:val="003272F4"/>
    <w:rsid w:val="00327757"/>
    <w:rsid w:val="003278BC"/>
    <w:rsid w:val="00327938"/>
    <w:rsid w:val="003279F9"/>
    <w:rsid w:val="00327B72"/>
    <w:rsid w:val="00327E83"/>
    <w:rsid w:val="00330029"/>
    <w:rsid w:val="00330295"/>
    <w:rsid w:val="00330433"/>
    <w:rsid w:val="0033050A"/>
    <w:rsid w:val="00330511"/>
    <w:rsid w:val="0033078B"/>
    <w:rsid w:val="00330A34"/>
    <w:rsid w:val="00330D40"/>
    <w:rsid w:val="00331096"/>
    <w:rsid w:val="00331467"/>
    <w:rsid w:val="0033172E"/>
    <w:rsid w:val="00331836"/>
    <w:rsid w:val="00331AF8"/>
    <w:rsid w:val="00331C8C"/>
    <w:rsid w:val="0033232A"/>
    <w:rsid w:val="00332345"/>
    <w:rsid w:val="00332862"/>
    <w:rsid w:val="00332957"/>
    <w:rsid w:val="003329D4"/>
    <w:rsid w:val="003329F3"/>
    <w:rsid w:val="00332C4B"/>
    <w:rsid w:val="00332CE1"/>
    <w:rsid w:val="00332F17"/>
    <w:rsid w:val="003330C5"/>
    <w:rsid w:val="003330FB"/>
    <w:rsid w:val="003332A0"/>
    <w:rsid w:val="003333B4"/>
    <w:rsid w:val="00333495"/>
    <w:rsid w:val="0033411A"/>
    <w:rsid w:val="003341A8"/>
    <w:rsid w:val="0033429B"/>
    <w:rsid w:val="00334340"/>
    <w:rsid w:val="0033434C"/>
    <w:rsid w:val="003343BD"/>
    <w:rsid w:val="003344A1"/>
    <w:rsid w:val="003344B4"/>
    <w:rsid w:val="00334693"/>
    <w:rsid w:val="003347D5"/>
    <w:rsid w:val="003349F9"/>
    <w:rsid w:val="00334AA2"/>
    <w:rsid w:val="00334D62"/>
    <w:rsid w:val="00334FCE"/>
    <w:rsid w:val="0033512D"/>
    <w:rsid w:val="00335162"/>
    <w:rsid w:val="00335640"/>
    <w:rsid w:val="00335A07"/>
    <w:rsid w:val="00335A2D"/>
    <w:rsid w:val="00335EA4"/>
    <w:rsid w:val="00335ECF"/>
    <w:rsid w:val="00335F67"/>
    <w:rsid w:val="00335F97"/>
    <w:rsid w:val="003361C1"/>
    <w:rsid w:val="0033649C"/>
    <w:rsid w:val="0033683D"/>
    <w:rsid w:val="00336B4D"/>
    <w:rsid w:val="00336CD2"/>
    <w:rsid w:val="003374B8"/>
    <w:rsid w:val="00337B37"/>
    <w:rsid w:val="00337B8A"/>
    <w:rsid w:val="00337C92"/>
    <w:rsid w:val="00337CEB"/>
    <w:rsid w:val="00337F2D"/>
    <w:rsid w:val="003400EA"/>
    <w:rsid w:val="0034014C"/>
    <w:rsid w:val="0034034C"/>
    <w:rsid w:val="0034042F"/>
    <w:rsid w:val="0034074C"/>
    <w:rsid w:val="00340AB6"/>
    <w:rsid w:val="00340B02"/>
    <w:rsid w:val="00340EC3"/>
    <w:rsid w:val="003410A4"/>
    <w:rsid w:val="0034140A"/>
    <w:rsid w:val="0034149B"/>
    <w:rsid w:val="00341AB2"/>
    <w:rsid w:val="00342534"/>
    <w:rsid w:val="00342898"/>
    <w:rsid w:val="003428CB"/>
    <w:rsid w:val="00342BB9"/>
    <w:rsid w:val="00342F7A"/>
    <w:rsid w:val="003431D3"/>
    <w:rsid w:val="0034371D"/>
    <w:rsid w:val="003445CD"/>
    <w:rsid w:val="00344EC2"/>
    <w:rsid w:val="00345377"/>
    <w:rsid w:val="00345470"/>
    <w:rsid w:val="00345558"/>
    <w:rsid w:val="00345843"/>
    <w:rsid w:val="0034666F"/>
    <w:rsid w:val="0034669D"/>
    <w:rsid w:val="00346ECA"/>
    <w:rsid w:val="00347027"/>
    <w:rsid w:val="003470CA"/>
    <w:rsid w:val="003471A3"/>
    <w:rsid w:val="0034733B"/>
    <w:rsid w:val="0034744A"/>
    <w:rsid w:val="0034776F"/>
    <w:rsid w:val="00347CE5"/>
    <w:rsid w:val="00347F38"/>
    <w:rsid w:val="0035048D"/>
    <w:rsid w:val="003504EC"/>
    <w:rsid w:val="00350772"/>
    <w:rsid w:val="00350A21"/>
    <w:rsid w:val="00350AB7"/>
    <w:rsid w:val="00350AE3"/>
    <w:rsid w:val="0035113B"/>
    <w:rsid w:val="003516CB"/>
    <w:rsid w:val="003517F1"/>
    <w:rsid w:val="00351937"/>
    <w:rsid w:val="0035199E"/>
    <w:rsid w:val="00351A4E"/>
    <w:rsid w:val="00351A90"/>
    <w:rsid w:val="00351CE0"/>
    <w:rsid w:val="00351D5E"/>
    <w:rsid w:val="00351F7A"/>
    <w:rsid w:val="003523E0"/>
    <w:rsid w:val="00352481"/>
    <w:rsid w:val="00352486"/>
    <w:rsid w:val="0035270F"/>
    <w:rsid w:val="003529DC"/>
    <w:rsid w:val="00352AAA"/>
    <w:rsid w:val="00352DEC"/>
    <w:rsid w:val="00352E7C"/>
    <w:rsid w:val="00354348"/>
    <w:rsid w:val="00354601"/>
    <w:rsid w:val="00354B7C"/>
    <w:rsid w:val="003554BA"/>
    <w:rsid w:val="0035559D"/>
    <w:rsid w:val="0035594B"/>
    <w:rsid w:val="00355AAC"/>
    <w:rsid w:val="00355BF1"/>
    <w:rsid w:val="00356066"/>
    <w:rsid w:val="0035612B"/>
    <w:rsid w:val="00356191"/>
    <w:rsid w:val="0035624A"/>
    <w:rsid w:val="003565CB"/>
    <w:rsid w:val="00356737"/>
    <w:rsid w:val="0035699D"/>
    <w:rsid w:val="00356A30"/>
    <w:rsid w:val="00356A77"/>
    <w:rsid w:val="00356AF6"/>
    <w:rsid w:val="00356BCA"/>
    <w:rsid w:val="003577D7"/>
    <w:rsid w:val="00357E09"/>
    <w:rsid w:val="00357E8D"/>
    <w:rsid w:val="00357FBF"/>
    <w:rsid w:val="0036031D"/>
    <w:rsid w:val="0036032E"/>
    <w:rsid w:val="003609C5"/>
    <w:rsid w:val="00360E4E"/>
    <w:rsid w:val="00360FC3"/>
    <w:rsid w:val="003615CB"/>
    <w:rsid w:val="003615F1"/>
    <w:rsid w:val="003618FC"/>
    <w:rsid w:val="0036196E"/>
    <w:rsid w:val="00361CD0"/>
    <w:rsid w:val="00361DCB"/>
    <w:rsid w:val="00361E3C"/>
    <w:rsid w:val="0036230E"/>
    <w:rsid w:val="0036241C"/>
    <w:rsid w:val="003625C5"/>
    <w:rsid w:val="00362836"/>
    <w:rsid w:val="00362B7B"/>
    <w:rsid w:val="00362BBF"/>
    <w:rsid w:val="00362DAC"/>
    <w:rsid w:val="00363029"/>
    <w:rsid w:val="00363203"/>
    <w:rsid w:val="0036335B"/>
    <w:rsid w:val="0036352A"/>
    <w:rsid w:val="003638ED"/>
    <w:rsid w:val="003639CE"/>
    <w:rsid w:val="00363AE1"/>
    <w:rsid w:val="003648A7"/>
    <w:rsid w:val="00364962"/>
    <w:rsid w:val="00364DD9"/>
    <w:rsid w:val="00365084"/>
    <w:rsid w:val="003650D7"/>
    <w:rsid w:val="00365224"/>
    <w:rsid w:val="003652EA"/>
    <w:rsid w:val="00365484"/>
    <w:rsid w:val="00365829"/>
    <w:rsid w:val="00365A76"/>
    <w:rsid w:val="00365ADC"/>
    <w:rsid w:val="00365F83"/>
    <w:rsid w:val="00366045"/>
    <w:rsid w:val="003661DC"/>
    <w:rsid w:val="00366C49"/>
    <w:rsid w:val="00366F88"/>
    <w:rsid w:val="003670D0"/>
    <w:rsid w:val="003671F3"/>
    <w:rsid w:val="003678C5"/>
    <w:rsid w:val="00367A91"/>
    <w:rsid w:val="00367F0F"/>
    <w:rsid w:val="0037057E"/>
    <w:rsid w:val="00370599"/>
    <w:rsid w:val="00370814"/>
    <w:rsid w:val="00370C88"/>
    <w:rsid w:val="00370D6B"/>
    <w:rsid w:val="003712CC"/>
    <w:rsid w:val="003713CD"/>
    <w:rsid w:val="0037146D"/>
    <w:rsid w:val="003720B6"/>
    <w:rsid w:val="00372492"/>
    <w:rsid w:val="0037262E"/>
    <w:rsid w:val="003729B6"/>
    <w:rsid w:val="00372B50"/>
    <w:rsid w:val="00372F08"/>
    <w:rsid w:val="00372FC3"/>
    <w:rsid w:val="0037307F"/>
    <w:rsid w:val="003730BD"/>
    <w:rsid w:val="00373446"/>
    <w:rsid w:val="0037348F"/>
    <w:rsid w:val="00373650"/>
    <w:rsid w:val="00373D0E"/>
    <w:rsid w:val="00374113"/>
    <w:rsid w:val="00374388"/>
    <w:rsid w:val="003743B9"/>
    <w:rsid w:val="003746B1"/>
    <w:rsid w:val="0037472C"/>
    <w:rsid w:val="00374A0C"/>
    <w:rsid w:val="00374CF1"/>
    <w:rsid w:val="00374E51"/>
    <w:rsid w:val="00374F2A"/>
    <w:rsid w:val="00375754"/>
    <w:rsid w:val="003758BD"/>
    <w:rsid w:val="00375DFB"/>
    <w:rsid w:val="003761F4"/>
    <w:rsid w:val="0037624B"/>
    <w:rsid w:val="00376268"/>
    <w:rsid w:val="00376316"/>
    <w:rsid w:val="003764AB"/>
    <w:rsid w:val="003764BA"/>
    <w:rsid w:val="003765C1"/>
    <w:rsid w:val="0037674F"/>
    <w:rsid w:val="003769EC"/>
    <w:rsid w:val="00376A2C"/>
    <w:rsid w:val="00376B32"/>
    <w:rsid w:val="00376BBE"/>
    <w:rsid w:val="00376CF4"/>
    <w:rsid w:val="003770F6"/>
    <w:rsid w:val="00377264"/>
    <w:rsid w:val="003773C1"/>
    <w:rsid w:val="0037756B"/>
    <w:rsid w:val="003800FE"/>
    <w:rsid w:val="00380123"/>
    <w:rsid w:val="003804B3"/>
    <w:rsid w:val="003806E6"/>
    <w:rsid w:val="00380886"/>
    <w:rsid w:val="00380BF6"/>
    <w:rsid w:val="00380CB4"/>
    <w:rsid w:val="00380DDC"/>
    <w:rsid w:val="00381345"/>
    <w:rsid w:val="00381414"/>
    <w:rsid w:val="0038179E"/>
    <w:rsid w:val="00382216"/>
    <w:rsid w:val="0038226B"/>
    <w:rsid w:val="00382278"/>
    <w:rsid w:val="0038234A"/>
    <w:rsid w:val="0038298E"/>
    <w:rsid w:val="00382D5A"/>
    <w:rsid w:val="00383376"/>
    <w:rsid w:val="00383800"/>
    <w:rsid w:val="00383864"/>
    <w:rsid w:val="00384039"/>
    <w:rsid w:val="0038431C"/>
    <w:rsid w:val="00384413"/>
    <w:rsid w:val="003844A4"/>
    <w:rsid w:val="003847A4"/>
    <w:rsid w:val="00384AE8"/>
    <w:rsid w:val="00384B5A"/>
    <w:rsid w:val="00385012"/>
    <w:rsid w:val="00385187"/>
    <w:rsid w:val="00385671"/>
    <w:rsid w:val="003856F9"/>
    <w:rsid w:val="003858FC"/>
    <w:rsid w:val="003859E9"/>
    <w:rsid w:val="00385E25"/>
    <w:rsid w:val="00385E67"/>
    <w:rsid w:val="0038601F"/>
    <w:rsid w:val="00386BAE"/>
    <w:rsid w:val="00386BB0"/>
    <w:rsid w:val="00386F55"/>
    <w:rsid w:val="00387026"/>
    <w:rsid w:val="003876C5"/>
    <w:rsid w:val="003879D8"/>
    <w:rsid w:val="00387CD2"/>
    <w:rsid w:val="00387D59"/>
    <w:rsid w:val="00387F74"/>
    <w:rsid w:val="00390097"/>
    <w:rsid w:val="003904A5"/>
    <w:rsid w:val="00390764"/>
    <w:rsid w:val="00390BC7"/>
    <w:rsid w:val="00390C56"/>
    <w:rsid w:val="00390CB8"/>
    <w:rsid w:val="00390E70"/>
    <w:rsid w:val="00390E91"/>
    <w:rsid w:val="00390F32"/>
    <w:rsid w:val="003911F7"/>
    <w:rsid w:val="00391B1C"/>
    <w:rsid w:val="00392B65"/>
    <w:rsid w:val="00392C80"/>
    <w:rsid w:val="00393178"/>
    <w:rsid w:val="003931AF"/>
    <w:rsid w:val="0039332F"/>
    <w:rsid w:val="003933D3"/>
    <w:rsid w:val="00393458"/>
    <w:rsid w:val="0039397F"/>
    <w:rsid w:val="00393BA2"/>
    <w:rsid w:val="00393F42"/>
    <w:rsid w:val="00394130"/>
    <w:rsid w:val="0039457C"/>
    <w:rsid w:val="00394629"/>
    <w:rsid w:val="00394890"/>
    <w:rsid w:val="00394C0D"/>
    <w:rsid w:val="00395087"/>
    <w:rsid w:val="003952C8"/>
    <w:rsid w:val="00395358"/>
    <w:rsid w:val="003956E6"/>
    <w:rsid w:val="0039577C"/>
    <w:rsid w:val="003959AE"/>
    <w:rsid w:val="00395B2F"/>
    <w:rsid w:val="00395DA0"/>
    <w:rsid w:val="00395F94"/>
    <w:rsid w:val="00396038"/>
    <w:rsid w:val="003962E5"/>
    <w:rsid w:val="003969F8"/>
    <w:rsid w:val="00396C07"/>
    <w:rsid w:val="00396CF6"/>
    <w:rsid w:val="00396D33"/>
    <w:rsid w:val="00396FA0"/>
    <w:rsid w:val="0039718E"/>
    <w:rsid w:val="00397556"/>
    <w:rsid w:val="003977FA"/>
    <w:rsid w:val="00397871"/>
    <w:rsid w:val="003979F4"/>
    <w:rsid w:val="003A09D2"/>
    <w:rsid w:val="003A0B43"/>
    <w:rsid w:val="003A0EEF"/>
    <w:rsid w:val="003A112E"/>
    <w:rsid w:val="003A136A"/>
    <w:rsid w:val="003A16C8"/>
    <w:rsid w:val="003A1BF5"/>
    <w:rsid w:val="003A2202"/>
    <w:rsid w:val="003A2230"/>
    <w:rsid w:val="003A22A1"/>
    <w:rsid w:val="003A2326"/>
    <w:rsid w:val="003A2568"/>
    <w:rsid w:val="003A2C60"/>
    <w:rsid w:val="003A2D5C"/>
    <w:rsid w:val="003A2FD0"/>
    <w:rsid w:val="003A3357"/>
    <w:rsid w:val="003A345E"/>
    <w:rsid w:val="003A3684"/>
    <w:rsid w:val="003A3A29"/>
    <w:rsid w:val="003A3CC0"/>
    <w:rsid w:val="003A3E5B"/>
    <w:rsid w:val="003A3F19"/>
    <w:rsid w:val="003A4026"/>
    <w:rsid w:val="003A437A"/>
    <w:rsid w:val="003A462A"/>
    <w:rsid w:val="003A4D35"/>
    <w:rsid w:val="003A5AD2"/>
    <w:rsid w:val="003A5F63"/>
    <w:rsid w:val="003A662F"/>
    <w:rsid w:val="003A685D"/>
    <w:rsid w:val="003A6D41"/>
    <w:rsid w:val="003A6F8D"/>
    <w:rsid w:val="003A7137"/>
    <w:rsid w:val="003A734A"/>
    <w:rsid w:val="003A73ED"/>
    <w:rsid w:val="003A74A7"/>
    <w:rsid w:val="003A76BA"/>
    <w:rsid w:val="003A77B4"/>
    <w:rsid w:val="003A7971"/>
    <w:rsid w:val="003A7F82"/>
    <w:rsid w:val="003B1087"/>
    <w:rsid w:val="003B1312"/>
    <w:rsid w:val="003B1711"/>
    <w:rsid w:val="003B1DD7"/>
    <w:rsid w:val="003B2313"/>
    <w:rsid w:val="003B26D1"/>
    <w:rsid w:val="003B2EE9"/>
    <w:rsid w:val="003B332A"/>
    <w:rsid w:val="003B3429"/>
    <w:rsid w:val="003B3605"/>
    <w:rsid w:val="003B3672"/>
    <w:rsid w:val="003B3B86"/>
    <w:rsid w:val="003B3DBC"/>
    <w:rsid w:val="003B3E22"/>
    <w:rsid w:val="003B4210"/>
    <w:rsid w:val="003B4422"/>
    <w:rsid w:val="003B4469"/>
    <w:rsid w:val="003B45B2"/>
    <w:rsid w:val="003B4603"/>
    <w:rsid w:val="003B48F3"/>
    <w:rsid w:val="003B49EC"/>
    <w:rsid w:val="003B4C04"/>
    <w:rsid w:val="003B5699"/>
    <w:rsid w:val="003B573D"/>
    <w:rsid w:val="003B57CA"/>
    <w:rsid w:val="003B5C4C"/>
    <w:rsid w:val="003B5E5E"/>
    <w:rsid w:val="003B65AC"/>
    <w:rsid w:val="003B66EB"/>
    <w:rsid w:val="003B6AB0"/>
    <w:rsid w:val="003B6D36"/>
    <w:rsid w:val="003B6E79"/>
    <w:rsid w:val="003B7038"/>
    <w:rsid w:val="003B707F"/>
    <w:rsid w:val="003B73A1"/>
    <w:rsid w:val="003B7459"/>
    <w:rsid w:val="003B779F"/>
    <w:rsid w:val="003B79B3"/>
    <w:rsid w:val="003B79EB"/>
    <w:rsid w:val="003B7A09"/>
    <w:rsid w:val="003B7D80"/>
    <w:rsid w:val="003B7E11"/>
    <w:rsid w:val="003B7E86"/>
    <w:rsid w:val="003C024D"/>
    <w:rsid w:val="003C05DD"/>
    <w:rsid w:val="003C09E8"/>
    <w:rsid w:val="003C0BE5"/>
    <w:rsid w:val="003C0FF3"/>
    <w:rsid w:val="003C126B"/>
    <w:rsid w:val="003C12E6"/>
    <w:rsid w:val="003C1400"/>
    <w:rsid w:val="003C14C3"/>
    <w:rsid w:val="003C1A60"/>
    <w:rsid w:val="003C1B1E"/>
    <w:rsid w:val="003C1DD1"/>
    <w:rsid w:val="003C1EE8"/>
    <w:rsid w:val="003C2175"/>
    <w:rsid w:val="003C236A"/>
    <w:rsid w:val="003C24A6"/>
    <w:rsid w:val="003C27EE"/>
    <w:rsid w:val="003C2839"/>
    <w:rsid w:val="003C2999"/>
    <w:rsid w:val="003C2E7B"/>
    <w:rsid w:val="003C306F"/>
    <w:rsid w:val="003C315B"/>
    <w:rsid w:val="003C396D"/>
    <w:rsid w:val="003C405C"/>
    <w:rsid w:val="003C44D6"/>
    <w:rsid w:val="003C4636"/>
    <w:rsid w:val="003C4707"/>
    <w:rsid w:val="003C4F07"/>
    <w:rsid w:val="003C5027"/>
    <w:rsid w:val="003C529A"/>
    <w:rsid w:val="003C54B3"/>
    <w:rsid w:val="003C54EF"/>
    <w:rsid w:val="003C5772"/>
    <w:rsid w:val="003C5B6A"/>
    <w:rsid w:val="003C5C03"/>
    <w:rsid w:val="003C5D49"/>
    <w:rsid w:val="003C5E73"/>
    <w:rsid w:val="003C6350"/>
    <w:rsid w:val="003C6891"/>
    <w:rsid w:val="003C68BC"/>
    <w:rsid w:val="003C6BDA"/>
    <w:rsid w:val="003C7047"/>
    <w:rsid w:val="003C7C7E"/>
    <w:rsid w:val="003D0506"/>
    <w:rsid w:val="003D0A4B"/>
    <w:rsid w:val="003D0B9C"/>
    <w:rsid w:val="003D0C12"/>
    <w:rsid w:val="003D123D"/>
    <w:rsid w:val="003D178A"/>
    <w:rsid w:val="003D1878"/>
    <w:rsid w:val="003D18FE"/>
    <w:rsid w:val="003D1C2D"/>
    <w:rsid w:val="003D1C58"/>
    <w:rsid w:val="003D1CB6"/>
    <w:rsid w:val="003D1DD5"/>
    <w:rsid w:val="003D20A6"/>
    <w:rsid w:val="003D2375"/>
    <w:rsid w:val="003D2C72"/>
    <w:rsid w:val="003D32D1"/>
    <w:rsid w:val="003D33E6"/>
    <w:rsid w:val="003D3580"/>
    <w:rsid w:val="003D35DA"/>
    <w:rsid w:val="003D363C"/>
    <w:rsid w:val="003D3DD7"/>
    <w:rsid w:val="003D479D"/>
    <w:rsid w:val="003D4840"/>
    <w:rsid w:val="003D4A3A"/>
    <w:rsid w:val="003D4C25"/>
    <w:rsid w:val="003D4CE1"/>
    <w:rsid w:val="003D4F27"/>
    <w:rsid w:val="003D50EE"/>
    <w:rsid w:val="003D587B"/>
    <w:rsid w:val="003D622A"/>
    <w:rsid w:val="003D63A7"/>
    <w:rsid w:val="003D671B"/>
    <w:rsid w:val="003D6906"/>
    <w:rsid w:val="003D6CE1"/>
    <w:rsid w:val="003D6E7B"/>
    <w:rsid w:val="003D73DC"/>
    <w:rsid w:val="003D777B"/>
    <w:rsid w:val="003D7E5D"/>
    <w:rsid w:val="003E0451"/>
    <w:rsid w:val="003E0850"/>
    <w:rsid w:val="003E0BD4"/>
    <w:rsid w:val="003E0BDF"/>
    <w:rsid w:val="003E158D"/>
    <w:rsid w:val="003E15EC"/>
    <w:rsid w:val="003E1618"/>
    <w:rsid w:val="003E1726"/>
    <w:rsid w:val="003E1ACA"/>
    <w:rsid w:val="003E1B03"/>
    <w:rsid w:val="003E1C7E"/>
    <w:rsid w:val="003E28F8"/>
    <w:rsid w:val="003E2EB7"/>
    <w:rsid w:val="003E30B5"/>
    <w:rsid w:val="003E30B8"/>
    <w:rsid w:val="003E345D"/>
    <w:rsid w:val="003E351A"/>
    <w:rsid w:val="003E37A4"/>
    <w:rsid w:val="003E37F0"/>
    <w:rsid w:val="003E3946"/>
    <w:rsid w:val="003E3D80"/>
    <w:rsid w:val="003E3E05"/>
    <w:rsid w:val="003E3F7A"/>
    <w:rsid w:val="003E42D2"/>
    <w:rsid w:val="003E4889"/>
    <w:rsid w:val="003E49A9"/>
    <w:rsid w:val="003E4A4E"/>
    <w:rsid w:val="003E4BD7"/>
    <w:rsid w:val="003E4CA4"/>
    <w:rsid w:val="003E4EB1"/>
    <w:rsid w:val="003E56FD"/>
    <w:rsid w:val="003E5933"/>
    <w:rsid w:val="003E5C3F"/>
    <w:rsid w:val="003E5EDD"/>
    <w:rsid w:val="003E6235"/>
    <w:rsid w:val="003E6973"/>
    <w:rsid w:val="003E6ADF"/>
    <w:rsid w:val="003E6BAD"/>
    <w:rsid w:val="003E6EF1"/>
    <w:rsid w:val="003E6F2C"/>
    <w:rsid w:val="003E7230"/>
    <w:rsid w:val="003E73A9"/>
    <w:rsid w:val="003E7437"/>
    <w:rsid w:val="003E7474"/>
    <w:rsid w:val="003E7648"/>
    <w:rsid w:val="003E798E"/>
    <w:rsid w:val="003E7AF7"/>
    <w:rsid w:val="003E7C96"/>
    <w:rsid w:val="003E7EF1"/>
    <w:rsid w:val="003F01D0"/>
    <w:rsid w:val="003F02FD"/>
    <w:rsid w:val="003F0651"/>
    <w:rsid w:val="003F07BB"/>
    <w:rsid w:val="003F099E"/>
    <w:rsid w:val="003F0B77"/>
    <w:rsid w:val="003F0CC0"/>
    <w:rsid w:val="003F0E96"/>
    <w:rsid w:val="003F0F08"/>
    <w:rsid w:val="003F1005"/>
    <w:rsid w:val="003F150D"/>
    <w:rsid w:val="003F18DB"/>
    <w:rsid w:val="003F1D84"/>
    <w:rsid w:val="003F27C9"/>
    <w:rsid w:val="003F2D14"/>
    <w:rsid w:val="003F3268"/>
    <w:rsid w:val="003F3333"/>
    <w:rsid w:val="003F397A"/>
    <w:rsid w:val="003F3B2E"/>
    <w:rsid w:val="003F431E"/>
    <w:rsid w:val="003F43F9"/>
    <w:rsid w:val="003F4FEE"/>
    <w:rsid w:val="003F50F7"/>
    <w:rsid w:val="003F51C7"/>
    <w:rsid w:val="003F535B"/>
    <w:rsid w:val="003F558E"/>
    <w:rsid w:val="003F5896"/>
    <w:rsid w:val="003F5920"/>
    <w:rsid w:val="003F5937"/>
    <w:rsid w:val="003F593C"/>
    <w:rsid w:val="003F65C9"/>
    <w:rsid w:val="003F68E7"/>
    <w:rsid w:val="003F6B2B"/>
    <w:rsid w:val="003F6B95"/>
    <w:rsid w:val="003F6EA7"/>
    <w:rsid w:val="003F7161"/>
    <w:rsid w:val="003F748A"/>
    <w:rsid w:val="003F7EF4"/>
    <w:rsid w:val="003F7F19"/>
    <w:rsid w:val="0040016E"/>
    <w:rsid w:val="004002E4"/>
    <w:rsid w:val="004005EC"/>
    <w:rsid w:val="0040072B"/>
    <w:rsid w:val="00400B4A"/>
    <w:rsid w:val="00400C4C"/>
    <w:rsid w:val="00400F52"/>
    <w:rsid w:val="00401105"/>
    <w:rsid w:val="00401222"/>
    <w:rsid w:val="004013D2"/>
    <w:rsid w:val="00401B9D"/>
    <w:rsid w:val="00402A92"/>
    <w:rsid w:val="00402EE2"/>
    <w:rsid w:val="00403AD5"/>
    <w:rsid w:val="00403ED8"/>
    <w:rsid w:val="0040402C"/>
    <w:rsid w:val="004044D2"/>
    <w:rsid w:val="0040467E"/>
    <w:rsid w:val="00404B16"/>
    <w:rsid w:val="00404E37"/>
    <w:rsid w:val="0040595F"/>
    <w:rsid w:val="0040604F"/>
    <w:rsid w:val="0040664E"/>
    <w:rsid w:val="004066B1"/>
    <w:rsid w:val="004066F5"/>
    <w:rsid w:val="00406D9D"/>
    <w:rsid w:val="00407189"/>
    <w:rsid w:val="004071E4"/>
    <w:rsid w:val="00407756"/>
    <w:rsid w:val="00407829"/>
    <w:rsid w:val="004078A3"/>
    <w:rsid w:val="004079A9"/>
    <w:rsid w:val="00407A5B"/>
    <w:rsid w:val="00407B4E"/>
    <w:rsid w:val="00407C77"/>
    <w:rsid w:val="00410595"/>
    <w:rsid w:val="004106C4"/>
    <w:rsid w:val="0041082E"/>
    <w:rsid w:val="00410972"/>
    <w:rsid w:val="00410A9D"/>
    <w:rsid w:val="00410F8A"/>
    <w:rsid w:val="004115C8"/>
    <w:rsid w:val="004115E3"/>
    <w:rsid w:val="0041194F"/>
    <w:rsid w:val="00411C8C"/>
    <w:rsid w:val="0041210F"/>
    <w:rsid w:val="00412935"/>
    <w:rsid w:val="00412AE5"/>
    <w:rsid w:val="00412E2A"/>
    <w:rsid w:val="00412E4D"/>
    <w:rsid w:val="004133A6"/>
    <w:rsid w:val="004136A9"/>
    <w:rsid w:val="00413A4C"/>
    <w:rsid w:val="00413AA2"/>
    <w:rsid w:val="00413AF6"/>
    <w:rsid w:val="00413B67"/>
    <w:rsid w:val="00413CAC"/>
    <w:rsid w:val="00413E05"/>
    <w:rsid w:val="00414270"/>
    <w:rsid w:val="004143E9"/>
    <w:rsid w:val="004147A3"/>
    <w:rsid w:val="00414C54"/>
    <w:rsid w:val="00414E24"/>
    <w:rsid w:val="00415019"/>
    <w:rsid w:val="004151CE"/>
    <w:rsid w:val="00415349"/>
    <w:rsid w:val="0041537F"/>
    <w:rsid w:val="004153D4"/>
    <w:rsid w:val="00415D0C"/>
    <w:rsid w:val="00415D8F"/>
    <w:rsid w:val="00415D92"/>
    <w:rsid w:val="00415E4E"/>
    <w:rsid w:val="00415E62"/>
    <w:rsid w:val="004161C6"/>
    <w:rsid w:val="0041627C"/>
    <w:rsid w:val="00416378"/>
    <w:rsid w:val="0041647F"/>
    <w:rsid w:val="00416718"/>
    <w:rsid w:val="00416A33"/>
    <w:rsid w:val="00416E52"/>
    <w:rsid w:val="004172A8"/>
    <w:rsid w:val="00417546"/>
    <w:rsid w:val="0041757D"/>
    <w:rsid w:val="00417A78"/>
    <w:rsid w:val="00417C1A"/>
    <w:rsid w:val="0042002F"/>
    <w:rsid w:val="004201B0"/>
    <w:rsid w:val="004203D5"/>
    <w:rsid w:val="00420C19"/>
    <w:rsid w:val="00420E5E"/>
    <w:rsid w:val="00420F1A"/>
    <w:rsid w:val="00421773"/>
    <w:rsid w:val="004217F3"/>
    <w:rsid w:val="00421AE3"/>
    <w:rsid w:val="00421E27"/>
    <w:rsid w:val="00422165"/>
    <w:rsid w:val="00422AC0"/>
    <w:rsid w:val="004238ED"/>
    <w:rsid w:val="00423BCC"/>
    <w:rsid w:val="00423C50"/>
    <w:rsid w:val="00423D1A"/>
    <w:rsid w:val="00423EEE"/>
    <w:rsid w:val="004240A5"/>
    <w:rsid w:val="004243AE"/>
    <w:rsid w:val="00424401"/>
    <w:rsid w:val="0042448E"/>
    <w:rsid w:val="004246AA"/>
    <w:rsid w:val="00424C39"/>
    <w:rsid w:val="00424E51"/>
    <w:rsid w:val="00424F04"/>
    <w:rsid w:val="0042502A"/>
    <w:rsid w:val="004251EA"/>
    <w:rsid w:val="00425666"/>
    <w:rsid w:val="00425AE4"/>
    <w:rsid w:val="00425B09"/>
    <w:rsid w:val="00425B32"/>
    <w:rsid w:val="00425E03"/>
    <w:rsid w:val="00426066"/>
    <w:rsid w:val="00426694"/>
    <w:rsid w:val="00426776"/>
    <w:rsid w:val="00426A51"/>
    <w:rsid w:val="00426FB8"/>
    <w:rsid w:val="0042725E"/>
    <w:rsid w:val="0042727B"/>
    <w:rsid w:val="004274FE"/>
    <w:rsid w:val="004275CD"/>
    <w:rsid w:val="00427634"/>
    <w:rsid w:val="0042793F"/>
    <w:rsid w:val="00427DDA"/>
    <w:rsid w:val="00430441"/>
    <w:rsid w:val="004305A2"/>
    <w:rsid w:val="0043069D"/>
    <w:rsid w:val="004306BE"/>
    <w:rsid w:val="004307F9"/>
    <w:rsid w:val="00430A85"/>
    <w:rsid w:val="00430B58"/>
    <w:rsid w:val="00430DD9"/>
    <w:rsid w:val="004310B2"/>
    <w:rsid w:val="00431315"/>
    <w:rsid w:val="00431679"/>
    <w:rsid w:val="00431F94"/>
    <w:rsid w:val="004321C0"/>
    <w:rsid w:val="0043224E"/>
    <w:rsid w:val="00432D40"/>
    <w:rsid w:val="00433409"/>
    <w:rsid w:val="00433CFD"/>
    <w:rsid w:val="00433DA9"/>
    <w:rsid w:val="00433E8C"/>
    <w:rsid w:val="00434482"/>
    <w:rsid w:val="00434499"/>
    <w:rsid w:val="004344D1"/>
    <w:rsid w:val="00434543"/>
    <w:rsid w:val="0043463C"/>
    <w:rsid w:val="004347B4"/>
    <w:rsid w:val="00434B70"/>
    <w:rsid w:val="00434C4B"/>
    <w:rsid w:val="00434E6E"/>
    <w:rsid w:val="0043518B"/>
    <w:rsid w:val="00435328"/>
    <w:rsid w:val="00435718"/>
    <w:rsid w:val="00435ADF"/>
    <w:rsid w:val="00435B31"/>
    <w:rsid w:val="00435E33"/>
    <w:rsid w:val="00435F6E"/>
    <w:rsid w:val="00436207"/>
    <w:rsid w:val="00436619"/>
    <w:rsid w:val="004371FB"/>
    <w:rsid w:val="00437CCA"/>
    <w:rsid w:val="00437E73"/>
    <w:rsid w:val="004405BB"/>
    <w:rsid w:val="004405D7"/>
    <w:rsid w:val="00440672"/>
    <w:rsid w:val="0044096D"/>
    <w:rsid w:val="00440A10"/>
    <w:rsid w:val="00440DD2"/>
    <w:rsid w:val="00440F48"/>
    <w:rsid w:val="00441513"/>
    <w:rsid w:val="0044176A"/>
    <w:rsid w:val="0044195D"/>
    <w:rsid w:val="004419BD"/>
    <w:rsid w:val="00441B74"/>
    <w:rsid w:val="00441C8C"/>
    <w:rsid w:val="0044214E"/>
    <w:rsid w:val="004421F8"/>
    <w:rsid w:val="00442A75"/>
    <w:rsid w:val="00443143"/>
    <w:rsid w:val="0044339C"/>
    <w:rsid w:val="00443810"/>
    <w:rsid w:val="00443BAC"/>
    <w:rsid w:val="00443D78"/>
    <w:rsid w:val="00443DB1"/>
    <w:rsid w:val="00443EE9"/>
    <w:rsid w:val="00444750"/>
    <w:rsid w:val="00444809"/>
    <w:rsid w:val="004449C3"/>
    <w:rsid w:val="00444D7D"/>
    <w:rsid w:val="004452E6"/>
    <w:rsid w:val="00445914"/>
    <w:rsid w:val="00445A81"/>
    <w:rsid w:val="00445BBD"/>
    <w:rsid w:val="00445F4F"/>
    <w:rsid w:val="004461AA"/>
    <w:rsid w:val="004461FB"/>
    <w:rsid w:val="00446237"/>
    <w:rsid w:val="004467AD"/>
    <w:rsid w:val="004467CB"/>
    <w:rsid w:val="004468AB"/>
    <w:rsid w:val="00446A96"/>
    <w:rsid w:val="00446E7B"/>
    <w:rsid w:val="00447036"/>
    <w:rsid w:val="00447094"/>
    <w:rsid w:val="0044713E"/>
    <w:rsid w:val="00447156"/>
    <w:rsid w:val="004475E6"/>
    <w:rsid w:val="00447CB8"/>
    <w:rsid w:val="00447F68"/>
    <w:rsid w:val="00450531"/>
    <w:rsid w:val="0045066F"/>
    <w:rsid w:val="0045083A"/>
    <w:rsid w:val="00450909"/>
    <w:rsid w:val="00450E03"/>
    <w:rsid w:val="00450E22"/>
    <w:rsid w:val="004516CC"/>
    <w:rsid w:val="00451826"/>
    <w:rsid w:val="00451867"/>
    <w:rsid w:val="00451955"/>
    <w:rsid w:val="0045201D"/>
    <w:rsid w:val="004522F8"/>
    <w:rsid w:val="00452CE4"/>
    <w:rsid w:val="00452DE1"/>
    <w:rsid w:val="00452F8F"/>
    <w:rsid w:val="00453179"/>
    <w:rsid w:val="0045339D"/>
    <w:rsid w:val="00453D61"/>
    <w:rsid w:val="00453DDD"/>
    <w:rsid w:val="00453F2D"/>
    <w:rsid w:val="00454191"/>
    <w:rsid w:val="00454677"/>
    <w:rsid w:val="004546FE"/>
    <w:rsid w:val="004548DE"/>
    <w:rsid w:val="00454940"/>
    <w:rsid w:val="004549EB"/>
    <w:rsid w:val="00454C75"/>
    <w:rsid w:val="00455D9C"/>
    <w:rsid w:val="004563CB"/>
    <w:rsid w:val="00456419"/>
    <w:rsid w:val="004564AF"/>
    <w:rsid w:val="0045654E"/>
    <w:rsid w:val="004566E7"/>
    <w:rsid w:val="00456D0B"/>
    <w:rsid w:val="00456E33"/>
    <w:rsid w:val="00456F1C"/>
    <w:rsid w:val="00457914"/>
    <w:rsid w:val="00457BA4"/>
    <w:rsid w:val="00457D80"/>
    <w:rsid w:val="00460134"/>
    <w:rsid w:val="00460771"/>
    <w:rsid w:val="00460965"/>
    <w:rsid w:val="00460B8A"/>
    <w:rsid w:val="00460F1A"/>
    <w:rsid w:val="00461704"/>
    <w:rsid w:val="0046173F"/>
    <w:rsid w:val="00462126"/>
    <w:rsid w:val="004623F3"/>
    <w:rsid w:val="00462A3E"/>
    <w:rsid w:val="00462AF2"/>
    <w:rsid w:val="00462C06"/>
    <w:rsid w:val="00463188"/>
    <w:rsid w:val="00463218"/>
    <w:rsid w:val="004633B2"/>
    <w:rsid w:val="00463456"/>
    <w:rsid w:val="0046357C"/>
    <w:rsid w:val="00463628"/>
    <w:rsid w:val="004639A7"/>
    <w:rsid w:val="00463A1A"/>
    <w:rsid w:val="00463B9F"/>
    <w:rsid w:val="00463BB7"/>
    <w:rsid w:val="004640E8"/>
    <w:rsid w:val="004641C6"/>
    <w:rsid w:val="0046427C"/>
    <w:rsid w:val="004642CD"/>
    <w:rsid w:val="00464727"/>
    <w:rsid w:val="0046481E"/>
    <w:rsid w:val="00464FE8"/>
    <w:rsid w:val="004658B9"/>
    <w:rsid w:val="004659F9"/>
    <w:rsid w:val="00465D32"/>
    <w:rsid w:val="00466336"/>
    <w:rsid w:val="0046678A"/>
    <w:rsid w:val="004667E2"/>
    <w:rsid w:val="00466E6A"/>
    <w:rsid w:val="00466EAE"/>
    <w:rsid w:val="00466F00"/>
    <w:rsid w:val="00467423"/>
    <w:rsid w:val="004675A0"/>
    <w:rsid w:val="00467947"/>
    <w:rsid w:val="004700C4"/>
    <w:rsid w:val="00470164"/>
    <w:rsid w:val="00470360"/>
    <w:rsid w:val="00470532"/>
    <w:rsid w:val="0047071F"/>
    <w:rsid w:val="0047094E"/>
    <w:rsid w:val="00470A78"/>
    <w:rsid w:val="00470D63"/>
    <w:rsid w:val="00470DA4"/>
    <w:rsid w:val="00470DDA"/>
    <w:rsid w:val="004713A0"/>
    <w:rsid w:val="00471900"/>
    <w:rsid w:val="00471BB5"/>
    <w:rsid w:val="00472055"/>
    <w:rsid w:val="004720BA"/>
    <w:rsid w:val="00472202"/>
    <w:rsid w:val="0047277E"/>
    <w:rsid w:val="004727B1"/>
    <w:rsid w:val="004728B8"/>
    <w:rsid w:val="004728D3"/>
    <w:rsid w:val="00472908"/>
    <w:rsid w:val="00473122"/>
    <w:rsid w:val="00473B21"/>
    <w:rsid w:val="00473F8F"/>
    <w:rsid w:val="004748D4"/>
    <w:rsid w:val="00474A47"/>
    <w:rsid w:val="00474CDD"/>
    <w:rsid w:val="00474F72"/>
    <w:rsid w:val="00475041"/>
    <w:rsid w:val="0047515E"/>
    <w:rsid w:val="004751F9"/>
    <w:rsid w:val="00475220"/>
    <w:rsid w:val="004758B3"/>
    <w:rsid w:val="0047598A"/>
    <w:rsid w:val="00475D9B"/>
    <w:rsid w:val="00475DF8"/>
    <w:rsid w:val="00475F2D"/>
    <w:rsid w:val="0047622E"/>
    <w:rsid w:val="00476BF5"/>
    <w:rsid w:val="00476C51"/>
    <w:rsid w:val="00476DC4"/>
    <w:rsid w:val="00476E7A"/>
    <w:rsid w:val="004770D4"/>
    <w:rsid w:val="0047751A"/>
    <w:rsid w:val="00477C20"/>
    <w:rsid w:val="00477C45"/>
    <w:rsid w:val="00477DD6"/>
    <w:rsid w:val="00477E41"/>
    <w:rsid w:val="00480C9D"/>
    <w:rsid w:val="00480E10"/>
    <w:rsid w:val="00480F1D"/>
    <w:rsid w:val="004810C8"/>
    <w:rsid w:val="00481259"/>
    <w:rsid w:val="004814B6"/>
    <w:rsid w:val="004819E5"/>
    <w:rsid w:val="00482A18"/>
    <w:rsid w:val="00482B86"/>
    <w:rsid w:val="00482DD3"/>
    <w:rsid w:val="00482EAC"/>
    <w:rsid w:val="00482FE8"/>
    <w:rsid w:val="00483C5E"/>
    <w:rsid w:val="00484004"/>
    <w:rsid w:val="004844A1"/>
    <w:rsid w:val="0048451B"/>
    <w:rsid w:val="00484899"/>
    <w:rsid w:val="00484906"/>
    <w:rsid w:val="00484D07"/>
    <w:rsid w:val="0048503A"/>
    <w:rsid w:val="00485386"/>
    <w:rsid w:val="00485788"/>
    <w:rsid w:val="0048582F"/>
    <w:rsid w:val="00485EF1"/>
    <w:rsid w:val="00485F88"/>
    <w:rsid w:val="0048608C"/>
    <w:rsid w:val="00486108"/>
    <w:rsid w:val="00486740"/>
    <w:rsid w:val="0048690F"/>
    <w:rsid w:val="004869CD"/>
    <w:rsid w:val="00486A24"/>
    <w:rsid w:val="00486BBA"/>
    <w:rsid w:val="00486D39"/>
    <w:rsid w:val="00486E17"/>
    <w:rsid w:val="0048742B"/>
    <w:rsid w:val="00487509"/>
    <w:rsid w:val="00487705"/>
    <w:rsid w:val="00487938"/>
    <w:rsid w:val="00487A6A"/>
    <w:rsid w:val="00487BDE"/>
    <w:rsid w:val="00487CB4"/>
    <w:rsid w:val="00487FAD"/>
    <w:rsid w:val="00490257"/>
    <w:rsid w:val="00490BFB"/>
    <w:rsid w:val="00490CEF"/>
    <w:rsid w:val="00490ED2"/>
    <w:rsid w:val="00490EE0"/>
    <w:rsid w:val="00491660"/>
    <w:rsid w:val="00491FA5"/>
    <w:rsid w:val="004927B2"/>
    <w:rsid w:val="0049313B"/>
    <w:rsid w:val="004931CF"/>
    <w:rsid w:val="004932B5"/>
    <w:rsid w:val="0049343F"/>
    <w:rsid w:val="00493517"/>
    <w:rsid w:val="00493538"/>
    <w:rsid w:val="0049389F"/>
    <w:rsid w:val="00493991"/>
    <w:rsid w:val="00493EF1"/>
    <w:rsid w:val="00493F6F"/>
    <w:rsid w:val="00494BA8"/>
    <w:rsid w:val="00494D9E"/>
    <w:rsid w:val="004958C6"/>
    <w:rsid w:val="00495D99"/>
    <w:rsid w:val="0049610D"/>
    <w:rsid w:val="0049684F"/>
    <w:rsid w:val="0049690D"/>
    <w:rsid w:val="00496FED"/>
    <w:rsid w:val="004972DF"/>
    <w:rsid w:val="004973ED"/>
    <w:rsid w:val="00497C49"/>
    <w:rsid w:val="00497E3B"/>
    <w:rsid w:val="004A0701"/>
    <w:rsid w:val="004A089A"/>
    <w:rsid w:val="004A0CD9"/>
    <w:rsid w:val="004A13C7"/>
    <w:rsid w:val="004A1603"/>
    <w:rsid w:val="004A196F"/>
    <w:rsid w:val="004A1ABE"/>
    <w:rsid w:val="004A1EA9"/>
    <w:rsid w:val="004A228E"/>
    <w:rsid w:val="004A2594"/>
    <w:rsid w:val="004A2EA4"/>
    <w:rsid w:val="004A37BC"/>
    <w:rsid w:val="004A3B3F"/>
    <w:rsid w:val="004A3B50"/>
    <w:rsid w:val="004A3D44"/>
    <w:rsid w:val="004A3D7B"/>
    <w:rsid w:val="004A3DAC"/>
    <w:rsid w:val="004A412A"/>
    <w:rsid w:val="004A62D5"/>
    <w:rsid w:val="004A66C9"/>
    <w:rsid w:val="004A6933"/>
    <w:rsid w:val="004A6B45"/>
    <w:rsid w:val="004A6E90"/>
    <w:rsid w:val="004A7256"/>
    <w:rsid w:val="004A7330"/>
    <w:rsid w:val="004A7630"/>
    <w:rsid w:val="004A7950"/>
    <w:rsid w:val="004A7C22"/>
    <w:rsid w:val="004B014E"/>
    <w:rsid w:val="004B0EE6"/>
    <w:rsid w:val="004B1260"/>
    <w:rsid w:val="004B14AF"/>
    <w:rsid w:val="004B16E6"/>
    <w:rsid w:val="004B186E"/>
    <w:rsid w:val="004B1B2C"/>
    <w:rsid w:val="004B1B54"/>
    <w:rsid w:val="004B21DF"/>
    <w:rsid w:val="004B2293"/>
    <w:rsid w:val="004B25DB"/>
    <w:rsid w:val="004B27F8"/>
    <w:rsid w:val="004B2DE5"/>
    <w:rsid w:val="004B3126"/>
    <w:rsid w:val="004B3469"/>
    <w:rsid w:val="004B375C"/>
    <w:rsid w:val="004B3862"/>
    <w:rsid w:val="004B3C2C"/>
    <w:rsid w:val="004B3CC0"/>
    <w:rsid w:val="004B3E6F"/>
    <w:rsid w:val="004B4EA2"/>
    <w:rsid w:val="004B56A7"/>
    <w:rsid w:val="004B5A8E"/>
    <w:rsid w:val="004B5B4B"/>
    <w:rsid w:val="004B5E79"/>
    <w:rsid w:val="004B6628"/>
    <w:rsid w:val="004B671C"/>
    <w:rsid w:val="004B6DE6"/>
    <w:rsid w:val="004B6F72"/>
    <w:rsid w:val="004B6FAC"/>
    <w:rsid w:val="004B7039"/>
    <w:rsid w:val="004B71D0"/>
    <w:rsid w:val="004B73F0"/>
    <w:rsid w:val="004B7B1D"/>
    <w:rsid w:val="004B7BC0"/>
    <w:rsid w:val="004C03D1"/>
    <w:rsid w:val="004C04BF"/>
    <w:rsid w:val="004C07B6"/>
    <w:rsid w:val="004C0A57"/>
    <w:rsid w:val="004C0FF8"/>
    <w:rsid w:val="004C1399"/>
    <w:rsid w:val="004C1429"/>
    <w:rsid w:val="004C1549"/>
    <w:rsid w:val="004C1C84"/>
    <w:rsid w:val="004C2073"/>
    <w:rsid w:val="004C2345"/>
    <w:rsid w:val="004C2705"/>
    <w:rsid w:val="004C28B4"/>
    <w:rsid w:val="004C29CF"/>
    <w:rsid w:val="004C2C52"/>
    <w:rsid w:val="004C2C65"/>
    <w:rsid w:val="004C3160"/>
    <w:rsid w:val="004C32B3"/>
    <w:rsid w:val="004C34B6"/>
    <w:rsid w:val="004C3551"/>
    <w:rsid w:val="004C35B6"/>
    <w:rsid w:val="004C3DD3"/>
    <w:rsid w:val="004C3F7B"/>
    <w:rsid w:val="004C46EF"/>
    <w:rsid w:val="004C470C"/>
    <w:rsid w:val="004C4BA4"/>
    <w:rsid w:val="004C4D27"/>
    <w:rsid w:val="004C4F6F"/>
    <w:rsid w:val="004C556E"/>
    <w:rsid w:val="004C5CD6"/>
    <w:rsid w:val="004C5D4A"/>
    <w:rsid w:val="004C5E75"/>
    <w:rsid w:val="004C61A6"/>
    <w:rsid w:val="004C654C"/>
    <w:rsid w:val="004C663C"/>
    <w:rsid w:val="004C6A35"/>
    <w:rsid w:val="004C6B21"/>
    <w:rsid w:val="004C6D69"/>
    <w:rsid w:val="004C6F0E"/>
    <w:rsid w:val="004C70A1"/>
    <w:rsid w:val="004C7B0E"/>
    <w:rsid w:val="004C7DE4"/>
    <w:rsid w:val="004C7EBF"/>
    <w:rsid w:val="004D01DD"/>
    <w:rsid w:val="004D033D"/>
    <w:rsid w:val="004D0497"/>
    <w:rsid w:val="004D05A5"/>
    <w:rsid w:val="004D0652"/>
    <w:rsid w:val="004D0BD4"/>
    <w:rsid w:val="004D0CF4"/>
    <w:rsid w:val="004D0CF9"/>
    <w:rsid w:val="004D0F4C"/>
    <w:rsid w:val="004D1051"/>
    <w:rsid w:val="004D13BA"/>
    <w:rsid w:val="004D1DE8"/>
    <w:rsid w:val="004D1FD9"/>
    <w:rsid w:val="004D20F4"/>
    <w:rsid w:val="004D30D9"/>
    <w:rsid w:val="004D3700"/>
    <w:rsid w:val="004D3792"/>
    <w:rsid w:val="004D3858"/>
    <w:rsid w:val="004D3B81"/>
    <w:rsid w:val="004D3D01"/>
    <w:rsid w:val="004D40CD"/>
    <w:rsid w:val="004D4655"/>
    <w:rsid w:val="004D46BF"/>
    <w:rsid w:val="004D49B9"/>
    <w:rsid w:val="004D4D08"/>
    <w:rsid w:val="004D508F"/>
    <w:rsid w:val="004D51AC"/>
    <w:rsid w:val="004D55EB"/>
    <w:rsid w:val="004D598D"/>
    <w:rsid w:val="004D59A5"/>
    <w:rsid w:val="004D5B52"/>
    <w:rsid w:val="004D5E1F"/>
    <w:rsid w:val="004D6098"/>
    <w:rsid w:val="004D62E3"/>
    <w:rsid w:val="004D640A"/>
    <w:rsid w:val="004D6CFA"/>
    <w:rsid w:val="004D702B"/>
    <w:rsid w:val="004D7CCE"/>
    <w:rsid w:val="004D7F6F"/>
    <w:rsid w:val="004D7F9D"/>
    <w:rsid w:val="004E041A"/>
    <w:rsid w:val="004E07D1"/>
    <w:rsid w:val="004E081A"/>
    <w:rsid w:val="004E0ADC"/>
    <w:rsid w:val="004E0BDF"/>
    <w:rsid w:val="004E0E2C"/>
    <w:rsid w:val="004E11EA"/>
    <w:rsid w:val="004E183D"/>
    <w:rsid w:val="004E18F7"/>
    <w:rsid w:val="004E1E11"/>
    <w:rsid w:val="004E205F"/>
    <w:rsid w:val="004E21A0"/>
    <w:rsid w:val="004E2258"/>
    <w:rsid w:val="004E26AE"/>
    <w:rsid w:val="004E26D4"/>
    <w:rsid w:val="004E293B"/>
    <w:rsid w:val="004E2985"/>
    <w:rsid w:val="004E2F4C"/>
    <w:rsid w:val="004E302D"/>
    <w:rsid w:val="004E33BB"/>
    <w:rsid w:val="004E3555"/>
    <w:rsid w:val="004E36E7"/>
    <w:rsid w:val="004E39CF"/>
    <w:rsid w:val="004E41BA"/>
    <w:rsid w:val="004E4383"/>
    <w:rsid w:val="004E4473"/>
    <w:rsid w:val="004E4A0A"/>
    <w:rsid w:val="004E4FDC"/>
    <w:rsid w:val="004E518F"/>
    <w:rsid w:val="004E552F"/>
    <w:rsid w:val="004E588E"/>
    <w:rsid w:val="004E58F2"/>
    <w:rsid w:val="004E5A19"/>
    <w:rsid w:val="004E5A8D"/>
    <w:rsid w:val="004E5AC0"/>
    <w:rsid w:val="004E61E8"/>
    <w:rsid w:val="004E68C2"/>
    <w:rsid w:val="004E692E"/>
    <w:rsid w:val="004E6BE3"/>
    <w:rsid w:val="004E6F00"/>
    <w:rsid w:val="004E6FA7"/>
    <w:rsid w:val="004E7088"/>
    <w:rsid w:val="004E7428"/>
    <w:rsid w:val="004E7797"/>
    <w:rsid w:val="004E78F0"/>
    <w:rsid w:val="004E7AEC"/>
    <w:rsid w:val="004E7B89"/>
    <w:rsid w:val="004E7D9A"/>
    <w:rsid w:val="004E7F6D"/>
    <w:rsid w:val="004F00FF"/>
    <w:rsid w:val="004F0DC9"/>
    <w:rsid w:val="004F0EDC"/>
    <w:rsid w:val="004F0F28"/>
    <w:rsid w:val="004F1364"/>
    <w:rsid w:val="004F1899"/>
    <w:rsid w:val="004F18A8"/>
    <w:rsid w:val="004F198C"/>
    <w:rsid w:val="004F19E7"/>
    <w:rsid w:val="004F19E8"/>
    <w:rsid w:val="004F1A7F"/>
    <w:rsid w:val="004F271D"/>
    <w:rsid w:val="004F2A7C"/>
    <w:rsid w:val="004F32DD"/>
    <w:rsid w:val="004F352E"/>
    <w:rsid w:val="004F384A"/>
    <w:rsid w:val="004F3DF9"/>
    <w:rsid w:val="004F3EFE"/>
    <w:rsid w:val="004F3FD1"/>
    <w:rsid w:val="004F46B2"/>
    <w:rsid w:val="004F478D"/>
    <w:rsid w:val="004F488E"/>
    <w:rsid w:val="004F4895"/>
    <w:rsid w:val="004F4C0A"/>
    <w:rsid w:val="004F4CC2"/>
    <w:rsid w:val="004F53F3"/>
    <w:rsid w:val="004F5759"/>
    <w:rsid w:val="004F584E"/>
    <w:rsid w:val="004F5ED8"/>
    <w:rsid w:val="004F5EF1"/>
    <w:rsid w:val="004F633C"/>
    <w:rsid w:val="004F64B0"/>
    <w:rsid w:val="004F6980"/>
    <w:rsid w:val="004F6EEA"/>
    <w:rsid w:val="004F741C"/>
    <w:rsid w:val="004F7452"/>
    <w:rsid w:val="004F77D8"/>
    <w:rsid w:val="004F79BA"/>
    <w:rsid w:val="004F7FC2"/>
    <w:rsid w:val="005003FF"/>
    <w:rsid w:val="00500470"/>
    <w:rsid w:val="00500775"/>
    <w:rsid w:val="005007A4"/>
    <w:rsid w:val="0050082D"/>
    <w:rsid w:val="00500B08"/>
    <w:rsid w:val="00500D90"/>
    <w:rsid w:val="00500DBF"/>
    <w:rsid w:val="00501170"/>
    <w:rsid w:val="00501204"/>
    <w:rsid w:val="00501881"/>
    <w:rsid w:val="00501B0A"/>
    <w:rsid w:val="00501C65"/>
    <w:rsid w:val="00502521"/>
    <w:rsid w:val="00502631"/>
    <w:rsid w:val="005029F0"/>
    <w:rsid w:val="00502B90"/>
    <w:rsid w:val="00502F66"/>
    <w:rsid w:val="00503777"/>
    <w:rsid w:val="005037A9"/>
    <w:rsid w:val="00503A24"/>
    <w:rsid w:val="00503CB5"/>
    <w:rsid w:val="00503DE2"/>
    <w:rsid w:val="00504334"/>
    <w:rsid w:val="0050445B"/>
    <w:rsid w:val="00504D55"/>
    <w:rsid w:val="005051AE"/>
    <w:rsid w:val="0050523A"/>
    <w:rsid w:val="00505776"/>
    <w:rsid w:val="005057A9"/>
    <w:rsid w:val="005058A1"/>
    <w:rsid w:val="00505C53"/>
    <w:rsid w:val="00506037"/>
    <w:rsid w:val="005061D9"/>
    <w:rsid w:val="005063CD"/>
    <w:rsid w:val="00506BA6"/>
    <w:rsid w:val="00506D1F"/>
    <w:rsid w:val="00506E52"/>
    <w:rsid w:val="00507205"/>
    <w:rsid w:val="0050725E"/>
    <w:rsid w:val="00507390"/>
    <w:rsid w:val="00507898"/>
    <w:rsid w:val="005078F2"/>
    <w:rsid w:val="00507905"/>
    <w:rsid w:val="00507A1E"/>
    <w:rsid w:val="00507A3F"/>
    <w:rsid w:val="00510368"/>
    <w:rsid w:val="00510A2D"/>
    <w:rsid w:val="00510A32"/>
    <w:rsid w:val="00510CD7"/>
    <w:rsid w:val="00511163"/>
    <w:rsid w:val="00511293"/>
    <w:rsid w:val="0051190E"/>
    <w:rsid w:val="00511E5D"/>
    <w:rsid w:val="00511E66"/>
    <w:rsid w:val="00511F71"/>
    <w:rsid w:val="005121BC"/>
    <w:rsid w:val="0051232D"/>
    <w:rsid w:val="005124A6"/>
    <w:rsid w:val="005127E0"/>
    <w:rsid w:val="00512AF0"/>
    <w:rsid w:val="00512F12"/>
    <w:rsid w:val="0051341A"/>
    <w:rsid w:val="00513482"/>
    <w:rsid w:val="00513D95"/>
    <w:rsid w:val="005141A1"/>
    <w:rsid w:val="0051421E"/>
    <w:rsid w:val="005143A5"/>
    <w:rsid w:val="00514441"/>
    <w:rsid w:val="00514799"/>
    <w:rsid w:val="005149F2"/>
    <w:rsid w:val="00514D3C"/>
    <w:rsid w:val="00515379"/>
    <w:rsid w:val="0051553F"/>
    <w:rsid w:val="00515550"/>
    <w:rsid w:val="00515555"/>
    <w:rsid w:val="00515B7B"/>
    <w:rsid w:val="00515C53"/>
    <w:rsid w:val="00515F6B"/>
    <w:rsid w:val="0051600C"/>
    <w:rsid w:val="00516174"/>
    <w:rsid w:val="005168D7"/>
    <w:rsid w:val="00516A29"/>
    <w:rsid w:val="00516C3B"/>
    <w:rsid w:val="00516FB3"/>
    <w:rsid w:val="00517522"/>
    <w:rsid w:val="0051759C"/>
    <w:rsid w:val="005177E2"/>
    <w:rsid w:val="005178EF"/>
    <w:rsid w:val="00517D93"/>
    <w:rsid w:val="00520320"/>
    <w:rsid w:val="00520423"/>
    <w:rsid w:val="0052062B"/>
    <w:rsid w:val="005206CC"/>
    <w:rsid w:val="0052070B"/>
    <w:rsid w:val="0052081E"/>
    <w:rsid w:val="00520A2E"/>
    <w:rsid w:val="00520C71"/>
    <w:rsid w:val="00520D4E"/>
    <w:rsid w:val="00521632"/>
    <w:rsid w:val="005217BC"/>
    <w:rsid w:val="005219CE"/>
    <w:rsid w:val="00521C8D"/>
    <w:rsid w:val="0052213F"/>
    <w:rsid w:val="0052262D"/>
    <w:rsid w:val="00522984"/>
    <w:rsid w:val="005229E1"/>
    <w:rsid w:val="00522AA6"/>
    <w:rsid w:val="005230D8"/>
    <w:rsid w:val="00523175"/>
    <w:rsid w:val="005231BE"/>
    <w:rsid w:val="005232BA"/>
    <w:rsid w:val="0052331B"/>
    <w:rsid w:val="00523BA5"/>
    <w:rsid w:val="00523C48"/>
    <w:rsid w:val="00524562"/>
    <w:rsid w:val="005246C3"/>
    <w:rsid w:val="00525055"/>
    <w:rsid w:val="005253B1"/>
    <w:rsid w:val="00525595"/>
    <w:rsid w:val="005255FC"/>
    <w:rsid w:val="00525769"/>
    <w:rsid w:val="00525920"/>
    <w:rsid w:val="00525CE7"/>
    <w:rsid w:val="00525E9F"/>
    <w:rsid w:val="00526250"/>
    <w:rsid w:val="005264EA"/>
    <w:rsid w:val="00526BBB"/>
    <w:rsid w:val="00527475"/>
    <w:rsid w:val="005276D8"/>
    <w:rsid w:val="00527A72"/>
    <w:rsid w:val="00527CAF"/>
    <w:rsid w:val="00530227"/>
    <w:rsid w:val="00530293"/>
    <w:rsid w:val="005302D4"/>
    <w:rsid w:val="005305F5"/>
    <w:rsid w:val="005307FF"/>
    <w:rsid w:val="005311E6"/>
    <w:rsid w:val="00531431"/>
    <w:rsid w:val="00531467"/>
    <w:rsid w:val="005315EA"/>
    <w:rsid w:val="005316CA"/>
    <w:rsid w:val="00531821"/>
    <w:rsid w:val="00531959"/>
    <w:rsid w:val="00531A3E"/>
    <w:rsid w:val="00531B02"/>
    <w:rsid w:val="00531D6C"/>
    <w:rsid w:val="00531F84"/>
    <w:rsid w:val="00531FB7"/>
    <w:rsid w:val="00532084"/>
    <w:rsid w:val="005321A5"/>
    <w:rsid w:val="0053249B"/>
    <w:rsid w:val="005328A1"/>
    <w:rsid w:val="005328C0"/>
    <w:rsid w:val="005330D4"/>
    <w:rsid w:val="005332A2"/>
    <w:rsid w:val="005332A4"/>
    <w:rsid w:val="005333BD"/>
    <w:rsid w:val="00533727"/>
    <w:rsid w:val="0053408D"/>
    <w:rsid w:val="005342C4"/>
    <w:rsid w:val="005343CE"/>
    <w:rsid w:val="00534618"/>
    <w:rsid w:val="005346A2"/>
    <w:rsid w:val="005349C4"/>
    <w:rsid w:val="00534F7E"/>
    <w:rsid w:val="00535332"/>
    <w:rsid w:val="00535567"/>
    <w:rsid w:val="005356C4"/>
    <w:rsid w:val="00535828"/>
    <w:rsid w:val="00535838"/>
    <w:rsid w:val="00535888"/>
    <w:rsid w:val="005359B2"/>
    <w:rsid w:val="00535C47"/>
    <w:rsid w:val="005361CB"/>
    <w:rsid w:val="00536335"/>
    <w:rsid w:val="005363A0"/>
    <w:rsid w:val="00536575"/>
    <w:rsid w:val="00536580"/>
    <w:rsid w:val="00536650"/>
    <w:rsid w:val="00536914"/>
    <w:rsid w:val="00536951"/>
    <w:rsid w:val="00536992"/>
    <w:rsid w:val="00536AE2"/>
    <w:rsid w:val="00536EB7"/>
    <w:rsid w:val="00536FD4"/>
    <w:rsid w:val="0053729C"/>
    <w:rsid w:val="00537382"/>
    <w:rsid w:val="00537E2A"/>
    <w:rsid w:val="00537E36"/>
    <w:rsid w:val="00537F70"/>
    <w:rsid w:val="005404EF"/>
    <w:rsid w:val="0054059C"/>
    <w:rsid w:val="00540767"/>
    <w:rsid w:val="005408F1"/>
    <w:rsid w:val="00540B90"/>
    <w:rsid w:val="00540D2F"/>
    <w:rsid w:val="0054136B"/>
    <w:rsid w:val="005413E0"/>
    <w:rsid w:val="00541546"/>
    <w:rsid w:val="00541AA3"/>
    <w:rsid w:val="00541BF2"/>
    <w:rsid w:val="00541EAF"/>
    <w:rsid w:val="00542064"/>
    <w:rsid w:val="00542EE0"/>
    <w:rsid w:val="00543028"/>
    <w:rsid w:val="005430FF"/>
    <w:rsid w:val="00543343"/>
    <w:rsid w:val="00543436"/>
    <w:rsid w:val="00543542"/>
    <w:rsid w:val="0054354A"/>
    <w:rsid w:val="0054392A"/>
    <w:rsid w:val="0054392F"/>
    <w:rsid w:val="00543BE7"/>
    <w:rsid w:val="00544156"/>
    <w:rsid w:val="005441C6"/>
    <w:rsid w:val="00544CCE"/>
    <w:rsid w:val="00544E45"/>
    <w:rsid w:val="00545244"/>
    <w:rsid w:val="005454FE"/>
    <w:rsid w:val="005456AE"/>
    <w:rsid w:val="005458F3"/>
    <w:rsid w:val="00545996"/>
    <w:rsid w:val="00545BE3"/>
    <w:rsid w:val="00545C16"/>
    <w:rsid w:val="00545D4B"/>
    <w:rsid w:val="005461C9"/>
    <w:rsid w:val="005462ED"/>
    <w:rsid w:val="005464AA"/>
    <w:rsid w:val="0054664C"/>
    <w:rsid w:val="00546832"/>
    <w:rsid w:val="005468FF"/>
    <w:rsid w:val="00546B08"/>
    <w:rsid w:val="00546EFD"/>
    <w:rsid w:val="005473EA"/>
    <w:rsid w:val="0054772C"/>
    <w:rsid w:val="005479F7"/>
    <w:rsid w:val="00547ADC"/>
    <w:rsid w:val="00547B3E"/>
    <w:rsid w:val="00547FE6"/>
    <w:rsid w:val="005500C9"/>
    <w:rsid w:val="005504B5"/>
    <w:rsid w:val="0055059C"/>
    <w:rsid w:val="0055080D"/>
    <w:rsid w:val="00550C0E"/>
    <w:rsid w:val="00551847"/>
    <w:rsid w:val="00551C87"/>
    <w:rsid w:val="00551DF4"/>
    <w:rsid w:val="005521C6"/>
    <w:rsid w:val="005521D6"/>
    <w:rsid w:val="00552530"/>
    <w:rsid w:val="005526B9"/>
    <w:rsid w:val="00552960"/>
    <w:rsid w:val="00552B87"/>
    <w:rsid w:val="005532A9"/>
    <w:rsid w:val="005532C7"/>
    <w:rsid w:val="005533F7"/>
    <w:rsid w:val="00553B7D"/>
    <w:rsid w:val="0055409C"/>
    <w:rsid w:val="00554144"/>
    <w:rsid w:val="00554329"/>
    <w:rsid w:val="00554381"/>
    <w:rsid w:val="0055486C"/>
    <w:rsid w:val="00555009"/>
    <w:rsid w:val="0055515A"/>
    <w:rsid w:val="005557F2"/>
    <w:rsid w:val="00555823"/>
    <w:rsid w:val="00555969"/>
    <w:rsid w:val="00555A71"/>
    <w:rsid w:val="00555C92"/>
    <w:rsid w:val="0055623F"/>
    <w:rsid w:val="005566F5"/>
    <w:rsid w:val="00557089"/>
    <w:rsid w:val="005571D2"/>
    <w:rsid w:val="00557275"/>
    <w:rsid w:val="00557789"/>
    <w:rsid w:val="00557F2B"/>
    <w:rsid w:val="00560135"/>
    <w:rsid w:val="00560A7E"/>
    <w:rsid w:val="005614F6"/>
    <w:rsid w:val="00561B7B"/>
    <w:rsid w:val="005628F7"/>
    <w:rsid w:val="00562976"/>
    <w:rsid w:val="00562E7C"/>
    <w:rsid w:val="005630D3"/>
    <w:rsid w:val="005632B3"/>
    <w:rsid w:val="005636D1"/>
    <w:rsid w:val="005637BD"/>
    <w:rsid w:val="005639DF"/>
    <w:rsid w:val="00563BD9"/>
    <w:rsid w:val="00563E47"/>
    <w:rsid w:val="005649DD"/>
    <w:rsid w:val="00564A67"/>
    <w:rsid w:val="00564D15"/>
    <w:rsid w:val="00564F59"/>
    <w:rsid w:val="005655D2"/>
    <w:rsid w:val="005659EA"/>
    <w:rsid w:val="00565C22"/>
    <w:rsid w:val="00565DAE"/>
    <w:rsid w:val="00566605"/>
    <w:rsid w:val="005668D2"/>
    <w:rsid w:val="00566A74"/>
    <w:rsid w:val="00566E9F"/>
    <w:rsid w:val="00567766"/>
    <w:rsid w:val="00567847"/>
    <w:rsid w:val="005679B2"/>
    <w:rsid w:val="00567D4D"/>
    <w:rsid w:val="00567F09"/>
    <w:rsid w:val="00570C9B"/>
    <w:rsid w:val="00571502"/>
    <w:rsid w:val="005717E9"/>
    <w:rsid w:val="00571A80"/>
    <w:rsid w:val="00571AFF"/>
    <w:rsid w:val="00571BD1"/>
    <w:rsid w:val="00572384"/>
    <w:rsid w:val="00572757"/>
    <w:rsid w:val="00573654"/>
    <w:rsid w:val="00573D89"/>
    <w:rsid w:val="00573DCF"/>
    <w:rsid w:val="00573E94"/>
    <w:rsid w:val="00574150"/>
    <w:rsid w:val="005745F3"/>
    <w:rsid w:val="00574BE6"/>
    <w:rsid w:val="00574C63"/>
    <w:rsid w:val="00574C84"/>
    <w:rsid w:val="005751CA"/>
    <w:rsid w:val="005751E9"/>
    <w:rsid w:val="005759AC"/>
    <w:rsid w:val="00575BB6"/>
    <w:rsid w:val="00575CB4"/>
    <w:rsid w:val="00575E84"/>
    <w:rsid w:val="00576189"/>
    <w:rsid w:val="0057620D"/>
    <w:rsid w:val="00576212"/>
    <w:rsid w:val="0057649B"/>
    <w:rsid w:val="00576670"/>
    <w:rsid w:val="00576891"/>
    <w:rsid w:val="00576895"/>
    <w:rsid w:val="0057691C"/>
    <w:rsid w:val="00576D3D"/>
    <w:rsid w:val="00576E7E"/>
    <w:rsid w:val="005770B3"/>
    <w:rsid w:val="005771C0"/>
    <w:rsid w:val="00580323"/>
    <w:rsid w:val="0058048E"/>
    <w:rsid w:val="005806FB"/>
    <w:rsid w:val="00580817"/>
    <w:rsid w:val="0058096D"/>
    <w:rsid w:val="00580AA5"/>
    <w:rsid w:val="00581051"/>
    <w:rsid w:val="005815E1"/>
    <w:rsid w:val="005818ED"/>
    <w:rsid w:val="00581A94"/>
    <w:rsid w:val="00581B66"/>
    <w:rsid w:val="00581FD1"/>
    <w:rsid w:val="00582235"/>
    <w:rsid w:val="005824ED"/>
    <w:rsid w:val="00582563"/>
    <w:rsid w:val="00582863"/>
    <w:rsid w:val="00582BA3"/>
    <w:rsid w:val="00582DA8"/>
    <w:rsid w:val="00582F93"/>
    <w:rsid w:val="00583232"/>
    <w:rsid w:val="0058360F"/>
    <w:rsid w:val="00583866"/>
    <w:rsid w:val="00583886"/>
    <w:rsid w:val="00583A11"/>
    <w:rsid w:val="005841A0"/>
    <w:rsid w:val="00584722"/>
    <w:rsid w:val="00585285"/>
    <w:rsid w:val="00585304"/>
    <w:rsid w:val="00585B1F"/>
    <w:rsid w:val="00585D56"/>
    <w:rsid w:val="00585D57"/>
    <w:rsid w:val="00585E6C"/>
    <w:rsid w:val="00585FB7"/>
    <w:rsid w:val="00586062"/>
    <w:rsid w:val="005861F1"/>
    <w:rsid w:val="005862FC"/>
    <w:rsid w:val="00586653"/>
    <w:rsid w:val="00586FA3"/>
    <w:rsid w:val="005875AD"/>
    <w:rsid w:val="00587767"/>
    <w:rsid w:val="005879A4"/>
    <w:rsid w:val="00587A97"/>
    <w:rsid w:val="00587CA5"/>
    <w:rsid w:val="00587CCC"/>
    <w:rsid w:val="00587E41"/>
    <w:rsid w:val="00587F54"/>
    <w:rsid w:val="0059021A"/>
    <w:rsid w:val="00590652"/>
    <w:rsid w:val="00591439"/>
    <w:rsid w:val="005915CA"/>
    <w:rsid w:val="00591650"/>
    <w:rsid w:val="0059175B"/>
    <w:rsid w:val="00591CDF"/>
    <w:rsid w:val="00591D6B"/>
    <w:rsid w:val="005921AE"/>
    <w:rsid w:val="00592929"/>
    <w:rsid w:val="0059297A"/>
    <w:rsid w:val="0059298F"/>
    <w:rsid w:val="00592B16"/>
    <w:rsid w:val="00592C13"/>
    <w:rsid w:val="005930F8"/>
    <w:rsid w:val="005932BF"/>
    <w:rsid w:val="00593635"/>
    <w:rsid w:val="00593724"/>
    <w:rsid w:val="0059388B"/>
    <w:rsid w:val="00593914"/>
    <w:rsid w:val="00593A92"/>
    <w:rsid w:val="00593EA2"/>
    <w:rsid w:val="00594605"/>
    <w:rsid w:val="005949E8"/>
    <w:rsid w:val="00594FF5"/>
    <w:rsid w:val="00595025"/>
    <w:rsid w:val="005953F2"/>
    <w:rsid w:val="005957D7"/>
    <w:rsid w:val="00595852"/>
    <w:rsid w:val="00595B76"/>
    <w:rsid w:val="00595D0C"/>
    <w:rsid w:val="005960D8"/>
    <w:rsid w:val="0059656F"/>
    <w:rsid w:val="00596C4B"/>
    <w:rsid w:val="00596E1E"/>
    <w:rsid w:val="00596EE4"/>
    <w:rsid w:val="00597B40"/>
    <w:rsid w:val="00597C62"/>
    <w:rsid w:val="00597DAF"/>
    <w:rsid w:val="00597F0B"/>
    <w:rsid w:val="005A0220"/>
    <w:rsid w:val="005A03E4"/>
    <w:rsid w:val="005A04E9"/>
    <w:rsid w:val="005A07C9"/>
    <w:rsid w:val="005A0CEE"/>
    <w:rsid w:val="005A1472"/>
    <w:rsid w:val="005A18CF"/>
    <w:rsid w:val="005A1923"/>
    <w:rsid w:val="005A1DF7"/>
    <w:rsid w:val="005A1FAF"/>
    <w:rsid w:val="005A2213"/>
    <w:rsid w:val="005A2E30"/>
    <w:rsid w:val="005A300B"/>
    <w:rsid w:val="005A328E"/>
    <w:rsid w:val="005A359B"/>
    <w:rsid w:val="005A3BB1"/>
    <w:rsid w:val="005A4528"/>
    <w:rsid w:val="005A4858"/>
    <w:rsid w:val="005A4B3C"/>
    <w:rsid w:val="005A4C5C"/>
    <w:rsid w:val="005A4DC0"/>
    <w:rsid w:val="005A4F7C"/>
    <w:rsid w:val="005A55CD"/>
    <w:rsid w:val="005A5642"/>
    <w:rsid w:val="005A59F6"/>
    <w:rsid w:val="005A5B66"/>
    <w:rsid w:val="005A5D4C"/>
    <w:rsid w:val="005A5DEE"/>
    <w:rsid w:val="005A5F78"/>
    <w:rsid w:val="005A61BA"/>
    <w:rsid w:val="005A6A14"/>
    <w:rsid w:val="005A6B5C"/>
    <w:rsid w:val="005A6F51"/>
    <w:rsid w:val="005A7371"/>
    <w:rsid w:val="005A76A9"/>
    <w:rsid w:val="005A7BC9"/>
    <w:rsid w:val="005A7F7E"/>
    <w:rsid w:val="005B077D"/>
    <w:rsid w:val="005B07B1"/>
    <w:rsid w:val="005B0B87"/>
    <w:rsid w:val="005B1925"/>
    <w:rsid w:val="005B1B19"/>
    <w:rsid w:val="005B1B4D"/>
    <w:rsid w:val="005B1BE0"/>
    <w:rsid w:val="005B2015"/>
    <w:rsid w:val="005B246C"/>
    <w:rsid w:val="005B2522"/>
    <w:rsid w:val="005B2912"/>
    <w:rsid w:val="005B2F46"/>
    <w:rsid w:val="005B3165"/>
    <w:rsid w:val="005B33F1"/>
    <w:rsid w:val="005B36B5"/>
    <w:rsid w:val="005B36D8"/>
    <w:rsid w:val="005B3E01"/>
    <w:rsid w:val="005B4077"/>
    <w:rsid w:val="005B41C9"/>
    <w:rsid w:val="005B47C5"/>
    <w:rsid w:val="005B4A9D"/>
    <w:rsid w:val="005B4DA5"/>
    <w:rsid w:val="005B501B"/>
    <w:rsid w:val="005B533F"/>
    <w:rsid w:val="005B5AF1"/>
    <w:rsid w:val="005B5BD8"/>
    <w:rsid w:val="005B5C97"/>
    <w:rsid w:val="005B669B"/>
    <w:rsid w:val="005B6D32"/>
    <w:rsid w:val="005B6DCC"/>
    <w:rsid w:val="005B6E3A"/>
    <w:rsid w:val="005B6ED0"/>
    <w:rsid w:val="005B6F23"/>
    <w:rsid w:val="005B6F8B"/>
    <w:rsid w:val="005B73FD"/>
    <w:rsid w:val="005B75C2"/>
    <w:rsid w:val="005B779D"/>
    <w:rsid w:val="005B794A"/>
    <w:rsid w:val="005B7B05"/>
    <w:rsid w:val="005B7E29"/>
    <w:rsid w:val="005C0082"/>
    <w:rsid w:val="005C022C"/>
    <w:rsid w:val="005C03DD"/>
    <w:rsid w:val="005C0789"/>
    <w:rsid w:val="005C099B"/>
    <w:rsid w:val="005C0E5D"/>
    <w:rsid w:val="005C0F9A"/>
    <w:rsid w:val="005C10EF"/>
    <w:rsid w:val="005C17E3"/>
    <w:rsid w:val="005C1A78"/>
    <w:rsid w:val="005C1C7E"/>
    <w:rsid w:val="005C1FCD"/>
    <w:rsid w:val="005C1FD3"/>
    <w:rsid w:val="005C1FDE"/>
    <w:rsid w:val="005C215A"/>
    <w:rsid w:val="005C24B5"/>
    <w:rsid w:val="005C256B"/>
    <w:rsid w:val="005C2673"/>
    <w:rsid w:val="005C2D35"/>
    <w:rsid w:val="005C2FB5"/>
    <w:rsid w:val="005C3274"/>
    <w:rsid w:val="005C3477"/>
    <w:rsid w:val="005C37E6"/>
    <w:rsid w:val="005C3820"/>
    <w:rsid w:val="005C3936"/>
    <w:rsid w:val="005C3AC7"/>
    <w:rsid w:val="005C3D15"/>
    <w:rsid w:val="005C40C9"/>
    <w:rsid w:val="005C41FC"/>
    <w:rsid w:val="005C439B"/>
    <w:rsid w:val="005C4437"/>
    <w:rsid w:val="005C448D"/>
    <w:rsid w:val="005C4812"/>
    <w:rsid w:val="005C4EC8"/>
    <w:rsid w:val="005C521B"/>
    <w:rsid w:val="005C52C5"/>
    <w:rsid w:val="005C5333"/>
    <w:rsid w:val="005C5759"/>
    <w:rsid w:val="005C5A90"/>
    <w:rsid w:val="005C5D9A"/>
    <w:rsid w:val="005C6595"/>
    <w:rsid w:val="005C69C9"/>
    <w:rsid w:val="005C6BF2"/>
    <w:rsid w:val="005C6DCD"/>
    <w:rsid w:val="005C6EB9"/>
    <w:rsid w:val="005C7082"/>
    <w:rsid w:val="005C70C4"/>
    <w:rsid w:val="005C716F"/>
    <w:rsid w:val="005C7245"/>
    <w:rsid w:val="005C7388"/>
    <w:rsid w:val="005C74EB"/>
    <w:rsid w:val="005C76C5"/>
    <w:rsid w:val="005C7CED"/>
    <w:rsid w:val="005D00BA"/>
    <w:rsid w:val="005D0391"/>
    <w:rsid w:val="005D0691"/>
    <w:rsid w:val="005D07EA"/>
    <w:rsid w:val="005D0CED"/>
    <w:rsid w:val="005D0D7B"/>
    <w:rsid w:val="005D116B"/>
    <w:rsid w:val="005D1292"/>
    <w:rsid w:val="005D12C6"/>
    <w:rsid w:val="005D1654"/>
    <w:rsid w:val="005D182D"/>
    <w:rsid w:val="005D19EA"/>
    <w:rsid w:val="005D2876"/>
    <w:rsid w:val="005D2CE2"/>
    <w:rsid w:val="005D311D"/>
    <w:rsid w:val="005D32AD"/>
    <w:rsid w:val="005D33FE"/>
    <w:rsid w:val="005D3BC1"/>
    <w:rsid w:val="005D3EFD"/>
    <w:rsid w:val="005D497B"/>
    <w:rsid w:val="005D4D0A"/>
    <w:rsid w:val="005D4FD4"/>
    <w:rsid w:val="005D553F"/>
    <w:rsid w:val="005D5CF1"/>
    <w:rsid w:val="005D5D02"/>
    <w:rsid w:val="005D5DF2"/>
    <w:rsid w:val="005D5F37"/>
    <w:rsid w:val="005D639B"/>
    <w:rsid w:val="005D6E78"/>
    <w:rsid w:val="005D6F09"/>
    <w:rsid w:val="005D7018"/>
    <w:rsid w:val="005D70D7"/>
    <w:rsid w:val="005D7160"/>
    <w:rsid w:val="005D7221"/>
    <w:rsid w:val="005D734B"/>
    <w:rsid w:val="005D7488"/>
    <w:rsid w:val="005D755B"/>
    <w:rsid w:val="005D7786"/>
    <w:rsid w:val="005D7D1A"/>
    <w:rsid w:val="005D7E52"/>
    <w:rsid w:val="005E008E"/>
    <w:rsid w:val="005E00E9"/>
    <w:rsid w:val="005E012B"/>
    <w:rsid w:val="005E0262"/>
    <w:rsid w:val="005E0610"/>
    <w:rsid w:val="005E08F9"/>
    <w:rsid w:val="005E0BA1"/>
    <w:rsid w:val="005E0C9B"/>
    <w:rsid w:val="005E0D71"/>
    <w:rsid w:val="005E0F93"/>
    <w:rsid w:val="005E1396"/>
    <w:rsid w:val="005E1400"/>
    <w:rsid w:val="005E1D32"/>
    <w:rsid w:val="005E214D"/>
    <w:rsid w:val="005E2315"/>
    <w:rsid w:val="005E23CA"/>
    <w:rsid w:val="005E23E4"/>
    <w:rsid w:val="005E28BB"/>
    <w:rsid w:val="005E29EF"/>
    <w:rsid w:val="005E2ABF"/>
    <w:rsid w:val="005E2C4B"/>
    <w:rsid w:val="005E32CD"/>
    <w:rsid w:val="005E35DD"/>
    <w:rsid w:val="005E3732"/>
    <w:rsid w:val="005E3B5D"/>
    <w:rsid w:val="005E3D35"/>
    <w:rsid w:val="005E3EC6"/>
    <w:rsid w:val="005E3FFB"/>
    <w:rsid w:val="005E41E2"/>
    <w:rsid w:val="005E420F"/>
    <w:rsid w:val="005E4399"/>
    <w:rsid w:val="005E4677"/>
    <w:rsid w:val="005E4B5F"/>
    <w:rsid w:val="005E4BB3"/>
    <w:rsid w:val="005E4FF1"/>
    <w:rsid w:val="005E5129"/>
    <w:rsid w:val="005E5165"/>
    <w:rsid w:val="005E53D3"/>
    <w:rsid w:val="005E5669"/>
    <w:rsid w:val="005E573C"/>
    <w:rsid w:val="005E5A70"/>
    <w:rsid w:val="005E5B0A"/>
    <w:rsid w:val="005E5CCF"/>
    <w:rsid w:val="005E5CD5"/>
    <w:rsid w:val="005E5D5E"/>
    <w:rsid w:val="005E5E00"/>
    <w:rsid w:val="005E66F0"/>
    <w:rsid w:val="005E69BC"/>
    <w:rsid w:val="005E6AEF"/>
    <w:rsid w:val="005E6B68"/>
    <w:rsid w:val="005F0124"/>
    <w:rsid w:val="005F024E"/>
    <w:rsid w:val="005F063E"/>
    <w:rsid w:val="005F0B01"/>
    <w:rsid w:val="005F0C95"/>
    <w:rsid w:val="005F1265"/>
    <w:rsid w:val="005F16A5"/>
    <w:rsid w:val="005F16E2"/>
    <w:rsid w:val="005F17C6"/>
    <w:rsid w:val="005F1A1A"/>
    <w:rsid w:val="005F1C91"/>
    <w:rsid w:val="005F20F0"/>
    <w:rsid w:val="005F2330"/>
    <w:rsid w:val="005F243F"/>
    <w:rsid w:val="005F2E0B"/>
    <w:rsid w:val="005F2E3C"/>
    <w:rsid w:val="005F3306"/>
    <w:rsid w:val="005F36C8"/>
    <w:rsid w:val="005F3924"/>
    <w:rsid w:val="005F39CC"/>
    <w:rsid w:val="005F3A87"/>
    <w:rsid w:val="005F3D07"/>
    <w:rsid w:val="005F41A3"/>
    <w:rsid w:val="005F41EA"/>
    <w:rsid w:val="005F4603"/>
    <w:rsid w:val="005F4ADF"/>
    <w:rsid w:val="005F4BDD"/>
    <w:rsid w:val="005F54C7"/>
    <w:rsid w:val="005F618A"/>
    <w:rsid w:val="005F642D"/>
    <w:rsid w:val="005F66C2"/>
    <w:rsid w:val="005F6ED3"/>
    <w:rsid w:val="005F7040"/>
    <w:rsid w:val="005F7145"/>
    <w:rsid w:val="005F7232"/>
    <w:rsid w:val="005F7256"/>
    <w:rsid w:val="005F7578"/>
    <w:rsid w:val="005F7768"/>
    <w:rsid w:val="005F7A11"/>
    <w:rsid w:val="005F7FC0"/>
    <w:rsid w:val="00600589"/>
    <w:rsid w:val="00600E84"/>
    <w:rsid w:val="006010D6"/>
    <w:rsid w:val="0060130C"/>
    <w:rsid w:val="006013FE"/>
    <w:rsid w:val="0060170A"/>
    <w:rsid w:val="0060182B"/>
    <w:rsid w:val="006019C6"/>
    <w:rsid w:val="00601A24"/>
    <w:rsid w:val="00601BE7"/>
    <w:rsid w:val="00601DDA"/>
    <w:rsid w:val="00601F6A"/>
    <w:rsid w:val="00601F9D"/>
    <w:rsid w:val="00602904"/>
    <w:rsid w:val="00602B2B"/>
    <w:rsid w:val="00602DE8"/>
    <w:rsid w:val="006031F2"/>
    <w:rsid w:val="006032E3"/>
    <w:rsid w:val="006035B7"/>
    <w:rsid w:val="006037A6"/>
    <w:rsid w:val="00603B7F"/>
    <w:rsid w:val="00603BDC"/>
    <w:rsid w:val="00603CA3"/>
    <w:rsid w:val="00603F3C"/>
    <w:rsid w:val="006043B6"/>
    <w:rsid w:val="00604BFF"/>
    <w:rsid w:val="00605235"/>
    <w:rsid w:val="00605A8B"/>
    <w:rsid w:val="00605EBB"/>
    <w:rsid w:val="006067C7"/>
    <w:rsid w:val="00606AC3"/>
    <w:rsid w:val="00606B21"/>
    <w:rsid w:val="00606D14"/>
    <w:rsid w:val="006073B9"/>
    <w:rsid w:val="00607AA5"/>
    <w:rsid w:val="0061088B"/>
    <w:rsid w:val="00610A0E"/>
    <w:rsid w:val="0061163C"/>
    <w:rsid w:val="006119B6"/>
    <w:rsid w:val="00611A6C"/>
    <w:rsid w:val="00611C2D"/>
    <w:rsid w:val="00611CD2"/>
    <w:rsid w:val="00611EDA"/>
    <w:rsid w:val="00612248"/>
    <w:rsid w:val="006122D6"/>
    <w:rsid w:val="0061272F"/>
    <w:rsid w:val="00612C22"/>
    <w:rsid w:val="0061331C"/>
    <w:rsid w:val="00613789"/>
    <w:rsid w:val="00613C59"/>
    <w:rsid w:val="00613CEE"/>
    <w:rsid w:val="00613EBC"/>
    <w:rsid w:val="0061400C"/>
    <w:rsid w:val="00614261"/>
    <w:rsid w:val="0061431D"/>
    <w:rsid w:val="00614388"/>
    <w:rsid w:val="006144AC"/>
    <w:rsid w:val="006146FF"/>
    <w:rsid w:val="00614A0C"/>
    <w:rsid w:val="00614AB2"/>
    <w:rsid w:val="00614D8A"/>
    <w:rsid w:val="00614D91"/>
    <w:rsid w:val="00614E1A"/>
    <w:rsid w:val="00614F54"/>
    <w:rsid w:val="006151F4"/>
    <w:rsid w:val="006153CD"/>
    <w:rsid w:val="00615C86"/>
    <w:rsid w:val="00615ECF"/>
    <w:rsid w:val="006165F4"/>
    <w:rsid w:val="0061675C"/>
    <w:rsid w:val="00616A5C"/>
    <w:rsid w:val="00616B40"/>
    <w:rsid w:val="00616FE6"/>
    <w:rsid w:val="00617209"/>
    <w:rsid w:val="00617730"/>
    <w:rsid w:val="00617898"/>
    <w:rsid w:val="006178F0"/>
    <w:rsid w:val="00617C52"/>
    <w:rsid w:val="00617EC2"/>
    <w:rsid w:val="00620241"/>
    <w:rsid w:val="006203DA"/>
    <w:rsid w:val="00620607"/>
    <w:rsid w:val="00620639"/>
    <w:rsid w:val="00620B47"/>
    <w:rsid w:val="006210C2"/>
    <w:rsid w:val="00621168"/>
    <w:rsid w:val="006214B0"/>
    <w:rsid w:val="0062168E"/>
    <w:rsid w:val="00621724"/>
    <w:rsid w:val="006217A0"/>
    <w:rsid w:val="00621E61"/>
    <w:rsid w:val="00622E71"/>
    <w:rsid w:val="00622EAF"/>
    <w:rsid w:val="00622EDB"/>
    <w:rsid w:val="00623011"/>
    <w:rsid w:val="0062366C"/>
    <w:rsid w:val="00623692"/>
    <w:rsid w:val="0062381C"/>
    <w:rsid w:val="00623E09"/>
    <w:rsid w:val="006240DA"/>
    <w:rsid w:val="0062425D"/>
    <w:rsid w:val="00624B24"/>
    <w:rsid w:val="00624F4D"/>
    <w:rsid w:val="006251D1"/>
    <w:rsid w:val="006253B2"/>
    <w:rsid w:val="00625645"/>
    <w:rsid w:val="006256CC"/>
    <w:rsid w:val="00625809"/>
    <w:rsid w:val="006259C9"/>
    <w:rsid w:val="006262A9"/>
    <w:rsid w:val="006264A8"/>
    <w:rsid w:val="0062668A"/>
    <w:rsid w:val="00626E9D"/>
    <w:rsid w:val="0062728D"/>
    <w:rsid w:val="0062756D"/>
    <w:rsid w:val="0062760D"/>
    <w:rsid w:val="0062792E"/>
    <w:rsid w:val="00627EC5"/>
    <w:rsid w:val="00627F8A"/>
    <w:rsid w:val="00630029"/>
    <w:rsid w:val="0063029A"/>
    <w:rsid w:val="006304E5"/>
    <w:rsid w:val="006306E3"/>
    <w:rsid w:val="00630835"/>
    <w:rsid w:val="00630CF8"/>
    <w:rsid w:val="006310B8"/>
    <w:rsid w:val="006311B8"/>
    <w:rsid w:val="0063149B"/>
    <w:rsid w:val="006319B7"/>
    <w:rsid w:val="0063201B"/>
    <w:rsid w:val="00632233"/>
    <w:rsid w:val="00632526"/>
    <w:rsid w:val="00632DBF"/>
    <w:rsid w:val="006338C4"/>
    <w:rsid w:val="006339A7"/>
    <w:rsid w:val="00633A98"/>
    <w:rsid w:val="00633B39"/>
    <w:rsid w:val="00633C01"/>
    <w:rsid w:val="00634686"/>
    <w:rsid w:val="00634975"/>
    <w:rsid w:val="00635064"/>
    <w:rsid w:val="006353C2"/>
    <w:rsid w:val="00635902"/>
    <w:rsid w:val="00635982"/>
    <w:rsid w:val="00635A37"/>
    <w:rsid w:val="00635D61"/>
    <w:rsid w:val="00635F3A"/>
    <w:rsid w:val="00635FC6"/>
    <w:rsid w:val="006360EA"/>
    <w:rsid w:val="00636DAC"/>
    <w:rsid w:val="0063701A"/>
    <w:rsid w:val="00637296"/>
    <w:rsid w:val="006373CE"/>
    <w:rsid w:val="00637439"/>
    <w:rsid w:val="0063765C"/>
    <w:rsid w:val="00637911"/>
    <w:rsid w:val="006379BC"/>
    <w:rsid w:val="00637B8F"/>
    <w:rsid w:val="00637F1A"/>
    <w:rsid w:val="006400BE"/>
    <w:rsid w:val="006401B3"/>
    <w:rsid w:val="0064067E"/>
    <w:rsid w:val="00640CA1"/>
    <w:rsid w:val="00640DEA"/>
    <w:rsid w:val="0064100D"/>
    <w:rsid w:val="006412C8"/>
    <w:rsid w:val="0064134C"/>
    <w:rsid w:val="00641433"/>
    <w:rsid w:val="00641467"/>
    <w:rsid w:val="006414EE"/>
    <w:rsid w:val="00641A1B"/>
    <w:rsid w:val="00641B5D"/>
    <w:rsid w:val="00641D40"/>
    <w:rsid w:val="0064271D"/>
    <w:rsid w:val="00642D14"/>
    <w:rsid w:val="00642D19"/>
    <w:rsid w:val="00643EDF"/>
    <w:rsid w:val="00644105"/>
    <w:rsid w:val="00644800"/>
    <w:rsid w:val="00644C8B"/>
    <w:rsid w:val="00644E9C"/>
    <w:rsid w:val="0064542C"/>
    <w:rsid w:val="00645923"/>
    <w:rsid w:val="00645AE5"/>
    <w:rsid w:val="00645DA2"/>
    <w:rsid w:val="00645E31"/>
    <w:rsid w:val="006464C4"/>
    <w:rsid w:val="006465AE"/>
    <w:rsid w:val="00646675"/>
    <w:rsid w:val="00646D0C"/>
    <w:rsid w:val="00646F97"/>
    <w:rsid w:val="00647637"/>
    <w:rsid w:val="006476D8"/>
    <w:rsid w:val="006478AF"/>
    <w:rsid w:val="00647A4B"/>
    <w:rsid w:val="00647D4A"/>
    <w:rsid w:val="00647FE9"/>
    <w:rsid w:val="00650D5E"/>
    <w:rsid w:val="00650D9A"/>
    <w:rsid w:val="00650E85"/>
    <w:rsid w:val="006516D7"/>
    <w:rsid w:val="00651884"/>
    <w:rsid w:val="0065193A"/>
    <w:rsid w:val="00651E7C"/>
    <w:rsid w:val="006520B9"/>
    <w:rsid w:val="00652324"/>
    <w:rsid w:val="006526C3"/>
    <w:rsid w:val="006527E3"/>
    <w:rsid w:val="00652C6E"/>
    <w:rsid w:val="00653781"/>
    <w:rsid w:val="00653AAB"/>
    <w:rsid w:val="00653D5B"/>
    <w:rsid w:val="00653EA7"/>
    <w:rsid w:val="0065428B"/>
    <w:rsid w:val="00654B1A"/>
    <w:rsid w:val="00655122"/>
    <w:rsid w:val="00655303"/>
    <w:rsid w:val="00655358"/>
    <w:rsid w:val="006554A0"/>
    <w:rsid w:val="006554A1"/>
    <w:rsid w:val="006555EC"/>
    <w:rsid w:val="00655670"/>
    <w:rsid w:val="00655735"/>
    <w:rsid w:val="006557B9"/>
    <w:rsid w:val="00655884"/>
    <w:rsid w:val="00655926"/>
    <w:rsid w:val="0065599D"/>
    <w:rsid w:val="006559EC"/>
    <w:rsid w:val="00655EB6"/>
    <w:rsid w:val="00656331"/>
    <w:rsid w:val="00656A03"/>
    <w:rsid w:val="00656A88"/>
    <w:rsid w:val="00656C37"/>
    <w:rsid w:val="0065705E"/>
    <w:rsid w:val="006571D6"/>
    <w:rsid w:val="00657218"/>
    <w:rsid w:val="0065725C"/>
    <w:rsid w:val="0065787D"/>
    <w:rsid w:val="00657B03"/>
    <w:rsid w:val="00657BA5"/>
    <w:rsid w:val="00657CE9"/>
    <w:rsid w:val="0066003A"/>
    <w:rsid w:val="0066006F"/>
    <w:rsid w:val="006604F8"/>
    <w:rsid w:val="00660859"/>
    <w:rsid w:val="006609F0"/>
    <w:rsid w:val="00660A92"/>
    <w:rsid w:val="00660AF8"/>
    <w:rsid w:val="00660B23"/>
    <w:rsid w:val="00661197"/>
    <w:rsid w:val="00661214"/>
    <w:rsid w:val="00661C4E"/>
    <w:rsid w:val="00661D45"/>
    <w:rsid w:val="006624CA"/>
    <w:rsid w:val="00662B85"/>
    <w:rsid w:val="00662C77"/>
    <w:rsid w:val="00662F67"/>
    <w:rsid w:val="0066330A"/>
    <w:rsid w:val="006634D7"/>
    <w:rsid w:val="00663725"/>
    <w:rsid w:val="0066381A"/>
    <w:rsid w:val="00663AD6"/>
    <w:rsid w:val="00663BB6"/>
    <w:rsid w:val="00663DFF"/>
    <w:rsid w:val="00664CDE"/>
    <w:rsid w:val="006650AC"/>
    <w:rsid w:val="006651A1"/>
    <w:rsid w:val="006653C2"/>
    <w:rsid w:val="0066588F"/>
    <w:rsid w:val="00665C12"/>
    <w:rsid w:val="00665EFF"/>
    <w:rsid w:val="00666009"/>
    <w:rsid w:val="006666DC"/>
    <w:rsid w:val="00666960"/>
    <w:rsid w:val="00666AA5"/>
    <w:rsid w:val="00666B2F"/>
    <w:rsid w:val="00666C69"/>
    <w:rsid w:val="00666F82"/>
    <w:rsid w:val="006671B5"/>
    <w:rsid w:val="006672B4"/>
    <w:rsid w:val="00667B17"/>
    <w:rsid w:val="00667B95"/>
    <w:rsid w:val="00667C32"/>
    <w:rsid w:val="00667DE7"/>
    <w:rsid w:val="00667DF9"/>
    <w:rsid w:val="00667EEF"/>
    <w:rsid w:val="006701DE"/>
    <w:rsid w:val="00670270"/>
    <w:rsid w:val="006707A9"/>
    <w:rsid w:val="00670830"/>
    <w:rsid w:val="00670AE6"/>
    <w:rsid w:val="00670AF7"/>
    <w:rsid w:val="00670D9A"/>
    <w:rsid w:val="00671234"/>
    <w:rsid w:val="006712EB"/>
    <w:rsid w:val="0067154F"/>
    <w:rsid w:val="00671667"/>
    <w:rsid w:val="006716D3"/>
    <w:rsid w:val="00671AD5"/>
    <w:rsid w:val="00672143"/>
    <w:rsid w:val="006722B8"/>
    <w:rsid w:val="0067289A"/>
    <w:rsid w:val="0067293A"/>
    <w:rsid w:val="00672D03"/>
    <w:rsid w:val="00673059"/>
    <w:rsid w:val="00673189"/>
    <w:rsid w:val="00673AAE"/>
    <w:rsid w:val="00673B84"/>
    <w:rsid w:val="00673D42"/>
    <w:rsid w:val="00673E27"/>
    <w:rsid w:val="00673F5A"/>
    <w:rsid w:val="0067407E"/>
    <w:rsid w:val="006740D4"/>
    <w:rsid w:val="00674765"/>
    <w:rsid w:val="006748FA"/>
    <w:rsid w:val="00675356"/>
    <w:rsid w:val="00675C14"/>
    <w:rsid w:val="006764FC"/>
    <w:rsid w:val="006767D9"/>
    <w:rsid w:val="00676904"/>
    <w:rsid w:val="00676DC6"/>
    <w:rsid w:val="00676F65"/>
    <w:rsid w:val="006776C4"/>
    <w:rsid w:val="00677C18"/>
    <w:rsid w:val="00677DE6"/>
    <w:rsid w:val="00677F54"/>
    <w:rsid w:val="00677F94"/>
    <w:rsid w:val="0068005C"/>
    <w:rsid w:val="0068010F"/>
    <w:rsid w:val="0068026E"/>
    <w:rsid w:val="00680571"/>
    <w:rsid w:val="00680CFC"/>
    <w:rsid w:val="00680F61"/>
    <w:rsid w:val="006811AD"/>
    <w:rsid w:val="00681228"/>
    <w:rsid w:val="00681241"/>
    <w:rsid w:val="006813B2"/>
    <w:rsid w:val="0068175F"/>
    <w:rsid w:val="00681902"/>
    <w:rsid w:val="006819CB"/>
    <w:rsid w:val="006819FF"/>
    <w:rsid w:val="00681CF5"/>
    <w:rsid w:val="00681DC1"/>
    <w:rsid w:val="006825EB"/>
    <w:rsid w:val="006825F2"/>
    <w:rsid w:val="0068272C"/>
    <w:rsid w:val="00682B67"/>
    <w:rsid w:val="00682D81"/>
    <w:rsid w:val="00683659"/>
    <w:rsid w:val="00683755"/>
    <w:rsid w:val="006839F4"/>
    <w:rsid w:val="00683BCF"/>
    <w:rsid w:val="006841D0"/>
    <w:rsid w:val="00684576"/>
    <w:rsid w:val="00684BF2"/>
    <w:rsid w:val="00685194"/>
    <w:rsid w:val="006855A4"/>
    <w:rsid w:val="006855FC"/>
    <w:rsid w:val="006856DB"/>
    <w:rsid w:val="006858A4"/>
    <w:rsid w:val="00685D98"/>
    <w:rsid w:val="006860A3"/>
    <w:rsid w:val="006862FB"/>
    <w:rsid w:val="00686506"/>
    <w:rsid w:val="006868DB"/>
    <w:rsid w:val="00686FEF"/>
    <w:rsid w:val="0068710E"/>
    <w:rsid w:val="00687127"/>
    <w:rsid w:val="0068720D"/>
    <w:rsid w:val="006879A3"/>
    <w:rsid w:val="00687E55"/>
    <w:rsid w:val="00690697"/>
    <w:rsid w:val="0069125C"/>
    <w:rsid w:val="006917CF"/>
    <w:rsid w:val="006917D8"/>
    <w:rsid w:val="006919E6"/>
    <w:rsid w:val="00691DBA"/>
    <w:rsid w:val="00692677"/>
    <w:rsid w:val="0069298A"/>
    <w:rsid w:val="006929FB"/>
    <w:rsid w:val="00693737"/>
    <w:rsid w:val="00693AE1"/>
    <w:rsid w:val="00693C76"/>
    <w:rsid w:val="00693CBB"/>
    <w:rsid w:val="00693E88"/>
    <w:rsid w:val="0069427A"/>
    <w:rsid w:val="00694331"/>
    <w:rsid w:val="00694696"/>
    <w:rsid w:val="0069487A"/>
    <w:rsid w:val="0069491A"/>
    <w:rsid w:val="00694C5A"/>
    <w:rsid w:val="00694CC3"/>
    <w:rsid w:val="00695645"/>
    <w:rsid w:val="006958C4"/>
    <w:rsid w:val="00695937"/>
    <w:rsid w:val="00695989"/>
    <w:rsid w:val="00695D30"/>
    <w:rsid w:val="00695D70"/>
    <w:rsid w:val="006961E6"/>
    <w:rsid w:val="00696310"/>
    <w:rsid w:val="0069631D"/>
    <w:rsid w:val="006964AC"/>
    <w:rsid w:val="0069709D"/>
    <w:rsid w:val="006970AD"/>
    <w:rsid w:val="006970C9"/>
    <w:rsid w:val="0069713D"/>
    <w:rsid w:val="006973E2"/>
    <w:rsid w:val="006974F0"/>
    <w:rsid w:val="006975D9"/>
    <w:rsid w:val="0069763B"/>
    <w:rsid w:val="00697B89"/>
    <w:rsid w:val="006A00D1"/>
    <w:rsid w:val="006A00D6"/>
    <w:rsid w:val="006A013A"/>
    <w:rsid w:val="006A0538"/>
    <w:rsid w:val="006A061C"/>
    <w:rsid w:val="006A08FF"/>
    <w:rsid w:val="006A0DCF"/>
    <w:rsid w:val="006A1260"/>
    <w:rsid w:val="006A1627"/>
    <w:rsid w:val="006A1C76"/>
    <w:rsid w:val="006A1C7C"/>
    <w:rsid w:val="006A1C89"/>
    <w:rsid w:val="006A1E52"/>
    <w:rsid w:val="006A1FDE"/>
    <w:rsid w:val="006A259A"/>
    <w:rsid w:val="006A2FC8"/>
    <w:rsid w:val="006A2FEC"/>
    <w:rsid w:val="006A3709"/>
    <w:rsid w:val="006A3776"/>
    <w:rsid w:val="006A3BE5"/>
    <w:rsid w:val="006A432A"/>
    <w:rsid w:val="006A4350"/>
    <w:rsid w:val="006A43B4"/>
    <w:rsid w:val="006A43BD"/>
    <w:rsid w:val="006A516A"/>
    <w:rsid w:val="006A523F"/>
    <w:rsid w:val="006A54E2"/>
    <w:rsid w:val="006A560E"/>
    <w:rsid w:val="006A5C88"/>
    <w:rsid w:val="006A5F61"/>
    <w:rsid w:val="006A602A"/>
    <w:rsid w:val="006A6158"/>
    <w:rsid w:val="006A65EB"/>
    <w:rsid w:val="006A666F"/>
    <w:rsid w:val="006A696E"/>
    <w:rsid w:val="006A697A"/>
    <w:rsid w:val="006A6A5B"/>
    <w:rsid w:val="006A6B1B"/>
    <w:rsid w:val="006A6EA3"/>
    <w:rsid w:val="006A739B"/>
    <w:rsid w:val="006A7506"/>
    <w:rsid w:val="006A7560"/>
    <w:rsid w:val="006A7653"/>
    <w:rsid w:val="006A7AF8"/>
    <w:rsid w:val="006A7B0B"/>
    <w:rsid w:val="006B02CC"/>
    <w:rsid w:val="006B0479"/>
    <w:rsid w:val="006B0A12"/>
    <w:rsid w:val="006B109C"/>
    <w:rsid w:val="006B11AE"/>
    <w:rsid w:val="006B1225"/>
    <w:rsid w:val="006B131F"/>
    <w:rsid w:val="006B1837"/>
    <w:rsid w:val="006B192F"/>
    <w:rsid w:val="006B19A1"/>
    <w:rsid w:val="006B1A6E"/>
    <w:rsid w:val="006B1D31"/>
    <w:rsid w:val="006B27C6"/>
    <w:rsid w:val="006B27F9"/>
    <w:rsid w:val="006B2B74"/>
    <w:rsid w:val="006B3D69"/>
    <w:rsid w:val="006B3FDA"/>
    <w:rsid w:val="006B41B2"/>
    <w:rsid w:val="006B4292"/>
    <w:rsid w:val="006B43D8"/>
    <w:rsid w:val="006B4631"/>
    <w:rsid w:val="006B4AEE"/>
    <w:rsid w:val="006B52DD"/>
    <w:rsid w:val="006B5385"/>
    <w:rsid w:val="006B5B15"/>
    <w:rsid w:val="006B5F8D"/>
    <w:rsid w:val="006B60CD"/>
    <w:rsid w:val="006B69EA"/>
    <w:rsid w:val="006B6EEB"/>
    <w:rsid w:val="006B7015"/>
    <w:rsid w:val="006B755D"/>
    <w:rsid w:val="006B7E9E"/>
    <w:rsid w:val="006C00FC"/>
    <w:rsid w:val="006C0169"/>
    <w:rsid w:val="006C02BD"/>
    <w:rsid w:val="006C0364"/>
    <w:rsid w:val="006C0B58"/>
    <w:rsid w:val="006C1012"/>
    <w:rsid w:val="006C1527"/>
    <w:rsid w:val="006C165D"/>
    <w:rsid w:val="006C173E"/>
    <w:rsid w:val="006C1A40"/>
    <w:rsid w:val="006C1CAE"/>
    <w:rsid w:val="006C21EA"/>
    <w:rsid w:val="006C2261"/>
    <w:rsid w:val="006C27B0"/>
    <w:rsid w:val="006C2AE5"/>
    <w:rsid w:val="006C2DE7"/>
    <w:rsid w:val="006C2F7A"/>
    <w:rsid w:val="006C3032"/>
    <w:rsid w:val="006C3412"/>
    <w:rsid w:val="006C3865"/>
    <w:rsid w:val="006C399D"/>
    <w:rsid w:val="006C3E38"/>
    <w:rsid w:val="006C3FCC"/>
    <w:rsid w:val="006C4217"/>
    <w:rsid w:val="006C422B"/>
    <w:rsid w:val="006C43B9"/>
    <w:rsid w:val="006C4662"/>
    <w:rsid w:val="006C484B"/>
    <w:rsid w:val="006C4B25"/>
    <w:rsid w:val="006C4E87"/>
    <w:rsid w:val="006C4E9B"/>
    <w:rsid w:val="006C54A0"/>
    <w:rsid w:val="006C56AD"/>
    <w:rsid w:val="006C592B"/>
    <w:rsid w:val="006C5A3A"/>
    <w:rsid w:val="006C5CC1"/>
    <w:rsid w:val="006C6170"/>
    <w:rsid w:val="006C6BD1"/>
    <w:rsid w:val="006C70C7"/>
    <w:rsid w:val="006C721E"/>
    <w:rsid w:val="006C73AF"/>
    <w:rsid w:val="006C73B4"/>
    <w:rsid w:val="006C7695"/>
    <w:rsid w:val="006C781B"/>
    <w:rsid w:val="006C7924"/>
    <w:rsid w:val="006C7D22"/>
    <w:rsid w:val="006D041F"/>
    <w:rsid w:val="006D0465"/>
    <w:rsid w:val="006D076B"/>
    <w:rsid w:val="006D15F9"/>
    <w:rsid w:val="006D18CD"/>
    <w:rsid w:val="006D1A43"/>
    <w:rsid w:val="006D1A8B"/>
    <w:rsid w:val="006D1B4B"/>
    <w:rsid w:val="006D1C9C"/>
    <w:rsid w:val="006D1DB9"/>
    <w:rsid w:val="006D1F74"/>
    <w:rsid w:val="006D20B5"/>
    <w:rsid w:val="006D20F6"/>
    <w:rsid w:val="006D21AA"/>
    <w:rsid w:val="006D243E"/>
    <w:rsid w:val="006D2884"/>
    <w:rsid w:val="006D2E2C"/>
    <w:rsid w:val="006D2FAD"/>
    <w:rsid w:val="006D3177"/>
    <w:rsid w:val="006D324F"/>
    <w:rsid w:val="006D3632"/>
    <w:rsid w:val="006D375C"/>
    <w:rsid w:val="006D3B5A"/>
    <w:rsid w:val="006D3BB2"/>
    <w:rsid w:val="006D4047"/>
    <w:rsid w:val="006D4317"/>
    <w:rsid w:val="006D4520"/>
    <w:rsid w:val="006D4878"/>
    <w:rsid w:val="006D5311"/>
    <w:rsid w:val="006D5B36"/>
    <w:rsid w:val="006D5B5B"/>
    <w:rsid w:val="006D604B"/>
    <w:rsid w:val="006D61FF"/>
    <w:rsid w:val="006D662C"/>
    <w:rsid w:val="006D66FB"/>
    <w:rsid w:val="006D6891"/>
    <w:rsid w:val="006D68DD"/>
    <w:rsid w:val="006D7276"/>
    <w:rsid w:val="006D7386"/>
    <w:rsid w:val="006D76A1"/>
    <w:rsid w:val="006D76A3"/>
    <w:rsid w:val="006D7CA5"/>
    <w:rsid w:val="006D7D1A"/>
    <w:rsid w:val="006E00D3"/>
    <w:rsid w:val="006E0245"/>
    <w:rsid w:val="006E0300"/>
    <w:rsid w:val="006E053B"/>
    <w:rsid w:val="006E05F3"/>
    <w:rsid w:val="006E09BB"/>
    <w:rsid w:val="006E10FA"/>
    <w:rsid w:val="006E133E"/>
    <w:rsid w:val="006E14F0"/>
    <w:rsid w:val="006E1819"/>
    <w:rsid w:val="006E1D10"/>
    <w:rsid w:val="006E1D40"/>
    <w:rsid w:val="006E1D5F"/>
    <w:rsid w:val="006E1D6A"/>
    <w:rsid w:val="006E2415"/>
    <w:rsid w:val="006E24D7"/>
    <w:rsid w:val="006E266A"/>
    <w:rsid w:val="006E2F1F"/>
    <w:rsid w:val="006E2FB0"/>
    <w:rsid w:val="006E32BF"/>
    <w:rsid w:val="006E33F4"/>
    <w:rsid w:val="006E3698"/>
    <w:rsid w:val="006E374E"/>
    <w:rsid w:val="006E4468"/>
    <w:rsid w:val="006E4883"/>
    <w:rsid w:val="006E49F5"/>
    <w:rsid w:val="006E518C"/>
    <w:rsid w:val="006E5319"/>
    <w:rsid w:val="006E5715"/>
    <w:rsid w:val="006E5833"/>
    <w:rsid w:val="006E6431"/>
    <w:rsid w:val="006E6EA9"/>
    <w:rsid w:val="006E6F99"/>
    <w:rsid w:val="006E71F8"/>
    <w:rsid w:val="006E7396"/>
    <w:rsid w:val="006E73D7"/>
    <w:rsid w:val="006E7A39"/>
    <w:rsid w:val="006E7BF3"/>
    <w:rsid w:val="006E7DB9"/>
    <w:rsid w:val="006E7F13"/>
    <w:rsid w:val="006E7F3C"/>
    <w:rsid w:val="006F03F9"/>
    <w:rsid w:val="006F05C3"/>
    <w:rsid w:val="006F0C27"/>
    <w:rsid w:val="006F0C83"/>
    <w:rsid w:val="006F0CAD"/>
    <w:rsid w:val="006F11E9"/>
    <w:rsid w:val="006F18F8"/>
    <w:rsid w:val="006F1C91"/>
    <w:rsid w:val="006F220C"/>
    <w:rsid w:val="006F22C4"/>
    <w:rsid w:val="006F2662"/>
    <w:rsid w:val="006F282B"/>
    <w:rsid w:val="006F2A0E"/>
    <w:rsid w:val="006F2FE8"/>
    <w:rsid w:val="006F302E"/>
    <w:rsid w:val="006F3127"/>
    <w:rsid w:val="006F379D"/>
    <w:rsid w:val="006F3C01"/>
    <w:rsid w:val="006F3E7A"/>
    <w:rsid w:val="006F4F0D"/>
    <w:rsid w:val="006F4F53"/>
    <w:rsid w:val="006F5D37"/>
    <w:rsid w:val="006F5E27"/>
    <w:rsid w:val="006F61E0"/>
    <w:rsid w:val="006F64DB"/>
    <w:rsid w:val="006F65A3"/>
    <w:rsid w:val="006F6644"/>
    <w:rsid w:val="006F6AE8"/>
    <w:rsid w:val="006F6D82"/>
    <w:rsid w:val="006F7C7B"/>
    <w:rsid w:val="006F7D2B"/>
    <w:rsid w:val="006F7F85"/>
    <w:rsid w:val="007009BB"/>
    <w:rsid w:val="0070157C"/>
    <w:rsid w:val="00701BF7"/>
    <w:rsid w:val="00701DC3"/>
    <w:rsid w:val="00701F29"/>
    <w:rsid w:val="00702141"/>
    <w:rsid w:val="00702399"/>
    <w:rsid w:val="007026B8"/>
    <w:rsid w:val="00702C09"/>
    <w:rsid w:val="00702DCD"/>
    <w:rsid w:val="007035EC"/>
    <w:rsid w:val="007038B3"/>
    <w:rsid w:val="00703958"/>
    <w:rsid w:val="00703E46"/>
    <w:rsid w:val="00704316"/>
    <w:rsid w:val="007045D4"/>
    <w:rsid w:val="00704911"/>
    <w:rsid w:val="00704DDA"/>
    <w:rsid w:val="007050A2"/>
    <w:rsid w:val="00705137"/>
    <w:rsid w:val="007055B7"/>
    <w:rsid w:val="00705B52"/>
    <w:rsid w:val="00705CCC"/>
    <w:rsid w:val="00705E83"/>
    <w:rsid w:val="007061ED"/>
    <w:rsid w:val="00706225"/>
    <w:rsid w:val="00706548"/>
    <w:rsid w:val="00706A8F"/>
    <w:rsid w:val="00706A91"/>
    <w:rsid w:val="0070714A"/>
    <w:rsid w:val="00707153"/>
    <w:rsid w:val="00707350"/>
    <w:rsid w:val="007075FA"/>
    <w:rsid w:val="00707CA8"/>
    <w:rsid w:val="0071012A"/>
    <w:rsid w:val="007103F4"/>
    <w:rsid w:val="007106D9"/>
    <w:rsid w:val="00710840"/>
    <w:rsid w:val="00710A9E"/>
    <w:rsid w:val="00710BBD"/>
    <w:rsid w:val="00710E8D"/>
    <w:rsid w:val="00710F15"/>
    <w:rsid w:val="00710FE3"/>
    <w:rsid w:val="0071116D"/>
    <w:rsid w:val="00711293"/>
    <w:rsid w:val="007113FC"/>
    <w:rsid w:val="00711E82"/>
    <w:rsid w:val="00712041"/>
    <w:rsid w:val="00712222"/>
    <w:rsid w:val="0071259A"/>
    <w:rsid w:val="007126D6"/>
    <w:rsid w:val="00712C6A"/>
    <w:rsid w:val="00712D20"/>
    <w:rsid w:val="0071304F"/>
    <w:rsid w:val="00713DBA"/>
    <w:rsid w:val="00713DF1"/>
    <w:rsid w:val="00714051"/>
    <w:rsid w:val="007140B7"/>
    <w:rsid w:val="0071413D"/>
    <w:rsid w:val="007147FD"/>
    <w:rsid w:val="0071485B"/>
    <w:rsid w:val="007148E2"/>
    <w:rsid w:val="007149D4"/>
    <w:rsid w:val="00714EBF"/>
    <w:rsid w:val="00714EE2"/>
    <w:rsid w:val="00714FD3"/>
    <w:rsid w:val="0071537A"/>
    <w:rsid w:val="00715B4E"/>
    <w:rsid w:val="00715C1D"/>
    <w:rsid w:val="00715C1E"/>
    <w:rsid w:val="00715D72"/>
    <w:rsid w:val="00715F23"/>
    <w:rsid w:val="007160AF"/>
    <w:rsid w:val="007168D9"/>
    <w:rsid w:val="0071695B"/>
    <w:rsid w:val="007169EA"/>
    <w:rsid w:val="00716A1B"/>
    <w:rsid w:val="007174B9"/>
    <w:rsid w:val="0071750C"/>
    <w:rsid w:val="00717E6A"/>
    <w:rsid w:val="00717E91"/>
    <w:rsid w:val="00717FBC"/>
    <w:rsid w:val="00720261"/>
    <w:rsid w:val="007204D5"/>
    <w:rsid w:val="00720BFC"/>
    <w:rsid w:val="00720DFD"/>
    <w:rsid w:val="00720FF4"/>
    <w:rsid w:val="00721544"/>
    <w:rsid w:val="0072178F"/>
    <w:rsid w:val="0072184D"/>
    <w:rsid w:val="00721F73"/>
    <w:rsid w:val="007220DA"/>
    <w:rsid w:val="00722561"/>
    <w:rsid w:val="00722EAD"/>
    <w:rsid w:val="00723813"/>
    <w:rsid w:val="00723E62"/>
    <w:rsid w:val="00723F6B"/>
    <w:rsid w:val="00724019"/>
    <w:rsid w:val="00724209"/>
    <w:rsid w:val="007242C7"/>
    <w:rsid w:val="00724A4B"/>
    <w:rsid w:val="00724F2E"/>
    <w:rsid w:val="007250A5"/>
    <w:rsid w:val="0072529C"/>
    <w:rsid w:val="007253EA"/>
    <w:rsid w:val="00725683"/>
    <w:rsid w:val="00725BC5"/>
    <w:rsid w:val="00726360"/>
    <w:rsid w:val="007265D7"/>
    <w:rsid w:val="00726A45"/>
    <w:rsid w:val="00726ACA"/>
    <w:rsid w:val="0072713C"/>
    <w:rsid w:val="007274A4"/>
    <w:rsid w:val="00727661"/>
    <w:rsid w:val="00727733"/>
    <w:rsid w:val="00727B76"/>
    <w:rsid w:val="0073044C"/>
    <w:rsid w:val="007304BB"/>
    <w:rsid w:val="0073053A"/>
    <w:rsid w:val="007306BB"/>
    <w:rsid w:val="007306C2"/>
    <w:rsid w:val="0073076B"/>
    <w:rsid w:val="00730974"/>
    <w:rsid w:val="0073134B"/>
    <w:rsid w:val="00731577"/>
    <w:rsid w:val="00731873"/>
    <w:rsid w:val="0073229A"/>
    <w:rsid w:val="0073269D"/>
    <w:rsid w:val="0073306C"/>
    <w:rsid w:val="0073313C"/>
    <w:rsid w:val="007332E9"/>
    <w:rsid w:val="007334DC"/>
    <w:rsid w:val="00733AC7"/>
    <w:rsid w:val="00733B77"/>
    <w:rsid w:val="00733E28"/>
    <w:rsid w:val="00734552"/>
    <w:rsid w:val="00734865"/>
    <w:rsid w:val="00734DBD"/>
    <w:rsid w:val="00734F29"/>
    <w:rsid w:val="0073547E"/>
    <w:rsid w:val="00735632"/>
    <w:rsid w:val="00735769"/>
    <w:rsid w:val="007358A3"/>
    <w:rsid w:val="00735AE2"/>
    <w:rsid w:val="00735FFB"/>
    <w:rsid w:val="007361FA"/>
    <w:rsid w:val="00736439"/>
    <w:rsid w:val="00736513"/>
    <w:rsid w:val="00736810"/>
    <w:rsid w:val="007369F0"/>
    <w:rsid w:val="00736A1D"/>
    <w:rsid w:val="00736B2B"/>
    <w:rsid w:val="00736FC6"/>
    <w:rsid w:val="007370DA"/>
    <w:rsid w:val="00737129"/>
    <w:rsid w:val="00737A22"/>
    <w:rsid w:val="00737A82"/>
    <w:rsid w:val="00737CEB"/>
    <w:rsid w:val="007404C1"/>
    <w:rsid w:val="00740754"/>
    <w:rsid w:val="00740A05"/>
    <w:rsid w:val="00740EA1"/>
    <w:rsid w:val="00741122"/>
    <w:rsid w:val="007411A9"/>
    <w:rsid w:val="0074120B"/>
    <w:rsid w:val="007413F2"/>
    <w:rsid w:val="0074172B"/>
    <w:rsid w:val="00741BF3"/>
    <w:rsid w:val="00741D09"/>
    <w:rsid w:val="00742135"/>
    <w:rsid w:val="007423BE"/>
    <w:rsid w:val="007426BC"/>
    <w:rsid w:val="00742AE5"/>
    <w:rsid w:val="00742D58"/>
    <w:rsid w:val="00742E20"/>
    <w:rsid w:val="00742F6C"/>
    <w:rsid w:val="00743086"/>
    <w:rsid w:val="007431C4"/>
    <w:rsid w:val="00743240"/>
    <w:rsid w:val="00743248"/>
    <w:rsid w:val="00743796"/>
    <w:rsid w:val="00743CFF"/>
    <w:rsid w:val="00743D73"/>
    <w:rsid w:val="00744022"/>
    <w:rsid w:val="00744230"/>
    <w:rsid w:val="00744624"/>
    <w:rsid w:val="007448B7"/>
    <w:rsid w:val="00744B82"/>
    <w:rsid w:val="00745751"/>
    <w:rsid w:val="00745B77"/>
    <w:rsid w:val="00745C04"/>
    <w:rsid w:val="00745EE6"/>
    <w:rsid w:val="00745F3B"/>
    <w:rsid w:val="00746735"/>
    <w:rsid w:val="0074692F"/>
    <w:rsid w:val="00746939"/>
    <w:rsid w:val="00746D2B"/>
    <w:rsid w:val="0074709F"/>
    <w:rsid w:val="007473A8"/>
    <w:rsid w:val="00747894"/>
    <w:rsid w:val="0074789D"/>
    <w:rsid w:val="00747F55"/>
    <w:rsid w:val="0075058E"/>
    <w:rsid w:val="007506A2"/>
    <w:rsid w:val="00750F1B"/>
    <w:rsid w:val="00750F81"/>
    <w:rsid w:val="0075169F"/>
    <w:rsid w:val="00751C9F"/>
    <w:rsid w:val="00751EB7"/>
    <w:rsid w:val="00751FDA"/>
    <w:rsid w:val="007522A7"/>
    <w:rsid w:val="00752597"/>
    <w:rsid w:val="00752B24"/>
    <w:rsid w:val="0075343D"/>
    <w:rsid w:val="0075345F"/>
    <w:rsid w:val="007536F7"/>
    <w:rsid w:val="00753BD5"/>
    <w:rsid w:val="0075419E"/>
    <w:rsid w:val="007542C0"/>
    <w:rsid w:val="00754336"/>
    <w:rsid w:val="0075440D"/>
    <w:rsid w:val="0075458B"/>
    <w:rsid w:val="00754590"/>
    <w:rsid w:val="00754F42"/>
    <w:rsid w:val="00755577"/>
    <w:rsid w:val="007555B3"/>
    <w:rsid w:val="00755653"/>
    <w:rsid w:val="0075577F"/>
    <w:rsid w:val="007557B0"/>
    <w:rsid w:val="00756914"/>
    <w:rsid w:val="00756B42"/>
    <w:rsid w:val="00757221"/>
    <w:rsid w:val="0075738D"/>
    <w:rsid w:val="007579BF"/>
    <w:rsid w:val="007579E8"/>
    <w:rsid w:val="00757AF5"/>
    <w:rsid w:val="00757B76"/>
    <w:rsid w:val="00757D93"/>
    <w:rsid w:val="00757D9D"/>
    <w:rsid w:val="00757E3D"/>
    <w:rsid w:val="0076019C"/>
    <w:rsid w:val="007601C9"/>
    <w:rsid w:val="007609C9"/>
    <w:rsid w:val="00760A4C"/>
    <w:rsid w:val="00760A94"/>
    <w:rsid w:val="00760C34"/>
    <w:rsid w:val="00760FAE"/>
    <w:rsid w:val="007612BC"/>
    <w:rsid w:val="00761527"/>
    <w:rsid w:val="0076185D"/>
    <w:rsid w:val="00761A79"/>
    <w:rsid w:val="00761A8C"/>
    <w:rsid w:val="00761ABF"/>
    <w:rsid w:val="00761CC1"/>
    <w:rsid w:val="00761D76"/>
    <w:rsid w:val="00761D8D"/>
    <w:rsid w:val="00761FD6"/>
    <w:rsid w:val="00762039"/>
    <w:rsid w:val="007620B2"/>
    <w:rsid w:val="007620D6"/>
    <w:rsid w:val="007629E6"/>
    <w:rsid w:val="00762EF2"/>
    <w:rsid w:val="00763620"/>
    <w:rsid w:val="007637A9"/>
    <w:rsid w:val="00763C37"/>
    <w:rsid w:val="007641BD"/>
    <w:rsid w:val="007644C3"/>
    <w:rsid w:val="00764538"/>
    <w:rsid w:val="00764BF2"/>
    <w:rsid w:val="00764BFE"/>
    <w:rsid w:val="00764DCC"/>
    <w:rsid w:val="00764F7A"/>
    <w:rsid w:val="007650CB"/>
    <w:rsid w:val="0076586E"/>
    <w:rsid w:val="007658EC"/>
    <w:rsid w:val="00765A79"/>
    <w:rsid w:val="00765BF4"/>
    <w:rsid w:val="00765F38"/>
    <w:rsid w:val="00765FFB"/>
    <w:rsid w:val="007661A8"/>
    <w:rsid w:val="00766310"/>
    <w:rsid w:val="00766AE4"/>
    <w:rsid w:val="00766C3B"/>
    <w:rsid w:val="00766FF6"/>
    <w:rsid w:val="007676DA"/>
    <w:rsid w:val="007678B1"/>
    <w:rsid w:val="00767CC8"/>
    <w:rsid w:val="00767FF0"/>
    <w:rsid w:val="007700A7"/>
    <w:rsid w:val="007700CD"/>
    <w:rsid w:val="00770276"/>
    <w:rsid w:val="00770847"/>
    <w:rsid w:val="007709F4"/>
    <w:rsid w:val="00770ACC"/>
    <w:rsid w:val="00770B51"/>
    <w:rsid w:val="00770BE6"/>
    <w:rsid w:val="007710A3"/>
    <w:rsid w:val="0077121B"/>
    <w:rsid w:val="00771463"/>
    <w:rsid w:val="00771B58"/>
    <w:rsid w:val="007723C0"/>
    <w:rsid w:val="007723F0"/>
    <w:rsid w:val="00772572"/>
    <w:rsid w:val="007728B0"/>
    <w:rsid w:val="00773085"/>
    <w:rsid w:val="00773678"/>
    <w:rsid w:val="00773889"/>
    <w:rsid w:val="00773C8D"/>
    <w:rsid w:val="00773E22"/>
    <w:rsid w:val="00774AAD"/>
    <w:rsid w:val="00774C24"/>
    <w:rsid w:val="00774C4B"/>
    <w:rsid w:val="00774F2B"/>
    <w:rsid w:val="007752F2"/>
    <w:rsid w:val="00775477"/>
    <w:rsid w:val="00775C1C"/>
    <w:rsid w:val="00775D60"/>
    <w:rsid w:val="00775DEF"/>
    <w:rsid w:val="00776386"/>
    <w:rsid w:val="00776695"/>
    <w:rsid w:val="0077673C"/>
    <w:rsid w:val="007772D0"/>
    <w:rsid w:val="007778FA"/>
    <w:rsid w:val="007779FC"/>
    <w:rsid w:val="00777C98"/>
    <w:rsid w:val="00777CB0"/>
    <w:rsid w:val="00780048"/>
    <w:rsid w:val="007802BE"/>
    <w:rsid w:val="00780349"/>
    <w:rsid w:val="00780570"/>
    <w:rsid w:val="00781A17"/>
    <w:rsid w:val="00781A96"/>
    <w:rsid w:val="00781B85"/>
    <w:rsid w:val="00781F21"/>
    <w:rsid w:val="0078215F"/>
    <w:rsid w:val="0078221A"/>
    <w:rsid w:val="0078283B"/>
    <w:rsid w:val="00782B50"/>
    <w:rsid w:val="00782DBD"/>
    <w:rsid w:val="00782ECC"/>
    <w:rsid w:val="0078332D"/>
    <w:rsid w:val="007837AE"/>
    <w:rsid w:val="007839B7"/>
    <w:rsid w:val="00783B91"/>
    <w:rsid w:val="00783C22"/>
    <w:rsid w:val="0078452A"/>
    <w:rsid w:val="007845B2"/>
    <w:rsid w:val="00784C95"/>
    <w:rsid w:val="00784F49"/>
    <w:rsid w:val="007850B5"/>
    <w:rsid w:val="007852F5"/>
    <w:rsid w:val="00785CA2"/>
    <w:rsid w:val="00785F8D"/>
    <w:rsid w:val="00786312"/>
    <w:rsid w:val="0078681A"/>
    <w:rsid w:val="00786A40"/>
    <w:rsid w:val="00786D56"/>
    <w:rsid w:val="00787002"/>
    <w:rsid w:val="00787678"/>
    <w:rsid w:val="00787708"/>
    <w:rsid w:val="00787B00"/>
    <w:rsid w:val="00787F66"/>
    <w:rsid w:val="00787F6B"/>
    <w:rsid w:val="00787FF7"/>
    <w:rsid w:val="00790197"/>
    <w:rsid w:val="0079051D"/>
    <w:rsid w:val="0079067D"/>
    <w:rsid w:val="00790964"/>
    <w:rsid w:val="00790AC4"/>
    <w:rsid w:val="00790ADE"/>
    <w:rsid w:val="00790C53"/>
    <w:rsid w:val="00790D49"/>
    <w:rsid w:val="00790E7E"/>
    <w:rsid w:val="00790F0A"/>
    <w:rsid w:val="0079149D"/>
    <w:rsid w:val="00791926"/>
    <w:rsid w:val="00791AB7"/>
    <w:rsid w:val="00791E5A"/>
    <w:rsid w:val="007921FB"/>
    <w:rsid w:val="00792304"/>
    <w:rsid w:val="007926DA"/>
    <w:rsid w:val="0079286C"/>
    <w:rsid w:val="00792A44"/>
    <w:rsid w:val="00792F9A"/>
    <w:rsid w:val="00793596"/>
    <w:rsid w:val="00793759"/>
    <w:rsid w:val="007939BF"/>
    <w:rsid w:val="007939D1"/>
    <w:rsid w:val="00793E0A"/>
    <w:rsid w:val="00793EDD"/>
    <w:rsid w:val="007942A4"/>
    <w:rsid w:val="007942B7"/>
    <w:rsid w:val="007947FB"/>
    <w:rsid w:val="007948B9"/>
    <w:rsid w:val="00794CE6"/>
    <w:rsid w:val="00794EA4"/>
    <w:rsid w:val="007951EF"/>
    <w:rsid w:val="007951FE"/>
    <w:rsid w:val="00795479"/>
    <w:rsid w:val="007954AE"/>
    <w:rsid w:val="00795C49"/>
    <w:rsid w:val="0079627E"/>
    <w:rsid w:val="007965BE"/>
    <w:rsid w:val="00796FA1"/>
    <w:rsid w:val="0079761A"/>
    <w:rsid w:val="00797A74"/>
    <w:rsid w:val="00797BC5"/>
    <w:rsid w:val="007A0510"/>
    <w:rsid w:val="007A0BB6"/>
    <w:rsid w:val="007A0EC1"/>
    <w:rsid w:val="007A192C"/>
    <w:rsid w:val="007A1977"/>
    <w:rsid w:val="007A1C24"/>
    <w:rsid w:val="007A1C90"/>
    <w:rsid w:val="007A1D76"/>
    <w:rsid w:val="007A1EBA"/>
    <w:rsid w:val="007A25F4"/>
    <w:rsid w:val="007A26F6"/>
    <w:rsid w:val="007A288A"/>
    <w:rsid w:val="007A28B7"/>
    <w:rsid w:val="007A28E0"/>
    <w:rsid w:val="007A2A77"/>
    <w:rsid w:val="007A301B"/>
    <w:rsid w:val="007A3190"/>
    <w:rsid w:val="007A3378"/>
    <w:rsid w:val="007A3453"/>
    <w:rsid w:val="007A3B0E"/>
    <w:rsid w:val="007A3EE2"/>
    <w:rsid w:val="007A4143"/>
    <w:rsid w:val="007A4531"/>
    <w:rsid w:val="007A45D5"/>
    <w:rsid w:val="007A478B"/>
    <w:rsid w:val="007A4DE6"/>
    <w:rsid w:val="007A535E"/>
    <w:rsid w:val="007A57F4"/>
    <w:rsid w:val="007A5812"/>
    <w:rsid w:val="007A5E85"/>
    <w:rsid w:val="007A6332"/>
    <w:rsid w:val="007A67EE"/>
    <w:rsid w:val="007A687E"/>
    <w:rsid w:val="007A6AD9"/>
    <w:rsid w:val="007A70B3"/>
    <w:rsid w:val="007A7290"/>
    <w:rsid w:val="007A77BA"/>
    <w:rsid w:val="007A7B19"/>
    <w:rsid w:val="007A7C09"/>
    <w:rsid w:val="007A7C6E"/>
    <w:rsid w:val="007A7E30"/>
    <w:rsid w:val="007B007B"/>
    <w:rsid w:val="007B0491"/>
    <w:rsid w:val="007B06C1"/>
    <w:rsid w:val="007B088E"/>
    <w:rsid w:val="007B0985"/>
    <w:rsid w:val="007B0B02"/>
    <w:rsid w:val="007B0BC4"/>
    <w:rsid w:val="007B0E48"/>
    <w:rsid w:val="007B1697"/>
    <w:rsid w:val="007B1A19"/>
    <w:rsid w:val="007B1A51"/>
    <w:rsid w:val="007B1AF4"/>
    <w:rsid w:val="007B1E3B"/>
    <w:rsid w:val="007B1E93"/>
    <w:rsid w:val="007B244C"/>
    <w:rsid w:val="007B2854"/>
    <w:rsid w:val="007B2D6F"/>
    <w:rsid w:val="007B2DD3"/>
    <w:rsid w:val="007B3E42"/>
    <w:rsid w:val="007B3E8E"/>
    <w:rsid w:val="007B55B2"/>
    <w:rsid w:val="007B55BA"/>
    <w:rsid w:val="007B5AF8"/>
    <w:rsid w:val="007B681B"/>
    <w:rsid w:val="007B68D1"/>
    <w:rsid w:val="007B6929"/>
    <w:rsid w:val="007B6C4D"/>
    <w:rsid w:val="007B7086"/>
    <w:rsid w:val="007B74C3"/>
    <w:rsid w:val="007C02E8"/>
    <w:rsid w:val="007C038E"/>
    <w:rsid w:val="007C0448"/>
    <w:rsid w:val="007C0B52"/>
    <w:rsid w:val="007C0C80"/>
    <w:rsid w:val="007C0CB3"/>
    <w:rsid w:val="007C0D44"/>
    <w:rsid w:val="007C13D6"/>
    <w:rsid w:val="007C16A7"/>
    <w:rsid w:val="007C17CA"/>
    <w:rsid w:val="007C1954"/>
    <w:rsid w:val="007C1BC8"/>
    <w:rsid w:val="007C1D66"/>
    <w:rsid w:val="007C1E18"/>
    <w:rsid w:val="007C1E77"/>
    <w:rsid w:val="007C1E84"/>
    <w:rsid w:val="007C1F6C"/>
    <w:rsid w:val="007C2654"/>
    <w:rsid w:val="007C26F2"/>
    <w:rsid w:val="007C27D2"/>
    <w:rsid w:val="007C2A67"/>
    <w:rsid w:val="007C2DF3"/>
    <w:rsid w:val="007C2FDC"/>
    <w:rsid w:val="007C30EC"/>
    <w:rsid w:val="007C317A"/>
    <w:rsid w:val="007C3616"/>
    <w:rsid w:val="007C3706"/>
    <w:rsid w:val="007C3888"/>
    <w:rsid w:val="007C3F34"/>
    <w:rsid w:val="007C4081"/>
    <w:rsid w:val="007C4204"/>
    <w:rsid w:val="007C434D"/>
    <w:rsid w:val="007C452A"/>
    <w:rsid w:val="007C460D"/>
    <w:rsid w:val="007C4699"/>
    <w:rsid w:val="007C46BC"/>
    <w:rsid w:val="007C4798"/>
    <w:rsid w:val="007C48AD"/>
    <w:rsid w:val="007C49A6"/>
    <w:rsid w:val="007C4AF0"/>
    <w:rsid w:val="007C54EB"/>
    <w:rsid w:val="007C570C"/>
    <w:rsid w:val="007C598E"/>
    <w:rsid w:val="007C5D2C"/>
    <w:rsid w:val="007C5E32"/>
    <w:rsid w:val="007C5F3E"/>
    <w:rsid w:val="007C6A5C"/>
    <w:rsid w:val="007C7014"/>
    <w:rsid w:val="007C7403"/>
    <w:rsid w:val="007C755E"/>
    <w:rsid w:val="007C766F"/>
    <w:rsid w:val="007C7736"/>
    <w:rsid w:val="007C7840"/>
    <w:rsid w:val="007D0232"/>
    <w:rsid w:val="007D05F8"/>
    <w:rsid w:val="007D08A1"/>
    <w:rsid w:val="007D0A00"/>
    <w:rsid w:val="007D0C16"/>
    <w:rsid w:val="007D0C35"/>
    <w:rsid w:val="007D0CFD"/>
    <w:rsid w:val="007D0D3F"/>
    <w:rsid w:val="007D0E21"/>
    <w:rsid w:val="007D10E4"/>
    <w:rsid w:val="007D14AD"/>
    <w:rsid w:val="007D1781"/>
    <w:rsid w:val="007D182B"/>
    <w:rsid w:val="007D1B05"/>
    <w:rsid w:val="007D1DCA"/>
    <w:rsid w:val="007D1F2E"/>
    <w:rsid w:val="007D1F52"/>
    <w:rsid w:val="007D2092"/>
    <w:rsid w:val="007D20F8"/>
    <w:rsid w:val="007D211F"/>
    <w:rsid w:val="007D2581"/>
    <w:rsid w:val="007D2583"/>
    <w:rsid w:val="007D2A32"/>
    <w:rsid w:val="007D2C74"/>
    <w:rsid w:val="007D2E4C"/>
    <w:rsid w:val="007D3021"/>
    <w:rsid w:val="007D37E6"/>
    <w:rsid w:val="007D3D88"/>
    <w:rsid w:val="007D3E25"/>
    <w:rsid w:val="007D4998"/>
    <w:rsid w:val="007D4C74"/>
    <w:rsid w:val="007D4F6C"/>
    <w:rsid w:val="007D53A0"/>
    <w:rsid w:val="007D55EC"/>
    <w:rsid w:val="007D624B"/>
    <w:rsid w:val="007D6501"/>
    <w:rsid w:val="007D6C39"/>
    <w:rsid w:val="007D6F58"/>
    <w:rsid w:val="007D710E"/>
    <w:rsid w:val="007D71D6"/>
    <w:rsid w:val="007D740B"/>
    <w:rsid w:val="007D74A5"/>
    <w:rsid w:val="007D7512"/>
    <w:rsid w:val="007D7AA8"/>
    <w:rsid w:val="007D7CC2"/>
    <w:rsid w:val="007D7D56"/>
    <w:rsid w:val="007D7EC6"/>
    <w:rsid w:val="007E022A"/>
    <w:rsid w:val="007E058A"/>
    <w:rsid w:val="007E06E4"/>
    <w:rsid w:val="007E07DE"/>
    <w:rsid w:val="007E0A1C"/>
    <w:rsid w:val="007E0A33"/>
    <w:rsid w:val="007E1233"/>
    <w:rsid w:val="007E126B"/>
    <w:rsid w:val="007E1541"/>
    <w:rsid w:val="007E17BA"/>
    <w:rsid w:val="007E22D9"/>
    <w:rsid w:val="007E2875"/>
    <w:rsid w:val="007E2C35"/>
    <w:rsid w:val="007E2C4B"/>
    <w:rsid w:val="007E2C9C"/>
    <w:rsid w:val="007E2FEA"/>
    <w:rsid w:val="007E3370"/>
    <w:rsid w:val="007E3D06"/>
    <w:rsid w:val="007E3E03"/>
    <w:rsid w:val="007E41FE"/>
    <w:rsid w:val="007E4435"/>
    <w:rsid w:val="007E4E31"/>
    <w:rsid w:val="007E5457"/>
    <w:rsid w:val="007E5740"/>
    <w:rsid w:val="007E574E"/>
    <w:rsid w:val="007E5A00"/>
    <w:rsid w:val="007E5A90"/>
    <w:rsid w:val="007E5B6F"/>
    <w:rsid w:val="007E63D5"/>
    <w:rsid w:val="007E670D"/>
    <w:rsid w:val="007E6E59"/>
    <w:rsid w:val="007E6E8F"/>
    <w:rsid w:val="007E7038"/>
    <w:rsid w:val="007E7151"/>
    <w:rsid w:val="007E72F7"/>
    <w:rsid w:val="007E74AF"/>
    <w:rsid w:val="007E76EF"/>
    <w:rsid w:val="007E7925"/>
    <w:rsid w:val="007E7BCF"/>
    <w:rsid w:val="007F027F"/>
    <w:rsid w:val="007F037D"/>
    <w:rsid w:val="007F0925"/>
    <w:rsid w:val="007F1B02"/>
    <w:rsid w:val="007F1B51"/>
    <w:rsid w:val="007F20BC"/>
    <w:rsid w:val="007F28F0"/>
    <w:rsid w:val="007F3050"/>
    <w:rsid w:val="007F32A7"/>
    <w:rsid w:val="007F34B7"/>
    <w:rsid w:val="007F37B7"/>
    <w:rsid w:val="007F3E26"/>
    <w:rsid w:val="007F3F7A"/>
    <w:rsid w:val="007F4108"/>
    <w:rsid w:val="007F41A6"/>
    <w:rsid w:val="007F43BD"/>
    <w:rsid w:val="007F4B91"/>
    <w:rsid w:val="007F4C02"/>
    <w:rsid w:val="007F4C84"/>
    <w:rsid w:val="007F4D62"/>
    <w:rsid w:val="007F4D99"/>
    <w:rsid w:val="007F4ED2"/>
    <w:rsid w:val="007F4F37"/>
    <w:rsid w:val="007F54B6"/>
    <w:rsid w:val="007F551C"/>
    <w:rsid w:val="007F574A"/>
    <w:rsid w:val="007F5773"/>
    <w:rsid w:val="007F5E4F"/>
    <w:rsid w:val="007F64F7"/>
    <w:rsid w:val="007F655A"/>
    <w:rsid w:val="007F66B2"/>
    <w:rsid w:val="007F6838"/>
    <w:rsid w:val="007F68EE"/>
    <w:rsid w:val="007F699E"/>
    <w:rsid w:val="007F6DCA"/>
    <w:rsid w:val="007F6DEB"/>
    <w:rsid w:val="007F7FC9"/>
    <w:rsid w:val="0080022B"/>
    <w:rsid w:val="0080028F"/>
    <w:rsid w:val="008002A3"/>
    <w:rsid w:val="00800302"/>
    <w:rsid w:val="0080066D"/>
    <w:rsid w:val="00800B00"/>
    <w:rsid w:val="008010DE"/>
    <w:rsid w:val="008014EA"/>
    <w:rsid w:val="00801694"/>
    <w:rsid w:val="00801D55"/>
    <w:rsid w:val="00801FF2"/>
    <w:rsid w:val="00802065"/>
    <w:rsid w:val="0080210A"/>
    <w:rsid w:val="00802AB6"/>
    <w:rsid w:val="00802C1F"/>
    <w:rsid w:val="00802C34"/>
    <w:rsid w:val="00802D7F"/>
    <w:rsid w:val="00802F91"/>
    <w:rsid w:val="00802FA8"/>
    <w:rsid w:val="00803192"/>
    <w:rsid w:val="00803255"/>
    <w:rsid w:val="0080338E"/>
    <w:rsid w:val="008034FE"/>
    <w:rsid w:val="00803CCD"/>
    <w:rsid w:val="00803D68"/>
    <w:rsid w:val="00804078"/>
    <w:rsid w:val="008041EE"/>
    <w:rsid w:val="008042FB"/>
    <w:rsid w:val="008045C2"/>
    <w:rsid w:val="00804719"/>
    <w:rsid w:val="00804768"/>
    <w:rsid w:val="00804CD3"/>
    <w:rsid w:val="00804E56"/>
    <w:rsid w:val="008050B6"/>
    <w:rsid w:val="0080597C"/>
    <w:rsid w:val="00805C24"/>
    <w:rsid w:val="00806502"/>
    <w:rsid w:val="00806A26"/>
    <w:rsid w:val="00806D5A"/>
    <w:rsid w:val="00807605"/>
    <w:rsid w:val="00807820"/>
    <w:rsid w:val="00810506"/>
    <w:rsid w:val="008105FC"/>
    <w:rsid w:val="008108B9"/>
    <w:rsid w:val="00810C66"/>
    <w:rsid w:val="00810D5C"/>
    <w:rsid w:val="00810EBC"/>
    <w:rsid w:val="00811075"/>
    <w:rsid w:val="008113BA"/>
    <w:rsid w:val="00811434"/>
    <w:rsid w:val="00811516"/>
    <w:rsid w:val="00811C97"/>
    <w:rsid w:val="00811D69"/>
    <w:rsid w:val="00811E67"/>
    <w:rsid w:val="00811ECC"/>
    <w:rsid w:val="008122C2"/>
    <w:rsid w:val="008122F3"/>
    <w:rsid w:val="0081261A"/>
    <w:rsid w:val="00812730"/>
    <w:rsid w:val="00812A16"/>
    <w:rsid w:val="00812D29"/>
    <w:rsid w:val="0081316B"/>
    <w:rsid w:val="00813539"/>
    <w:rsid w:val="008138CD"/>
    <w:rsid w:val="00813A5C"/>
    <w:rsid w:val="00813B23"/>
    <w:rsid w:val="00813BFA"/>
    <w:rsid w:val="0081415B"/>
    <w:rsid w:val="00814261"/>
    <w:rsid w:val="00814293"/>
    <w:rsid w:val="00814EE2"/>
    <w:rsid w:val="00815001"/>
    <w:rsid w:val="0081518F"/>
    <w:rsid w:val="008153A0"/>
    <w:rsid w:val="008156B9"/>
    <w:rsid w:val="008156D3"/>
    <w:rsid w:val="00816163"/>
    <w:rsid w:val="00816266"/>
    <w:rsid w:val="0081632D"/>
    <w:rsid w:val="0081687D"/>
    <w:rsid w:val="00816F65"/>
    <w:rsid w:val="00817329"/>
    <w:rsid w:val="00817406"/>
    <w:rsid w:val="008178AC"/>
    <w:rsid w:val="00817B04"/>
    <w:rsid w:val="00817B55"/>
    <w:rsid w:val="0082026D"/>
    <w:rsid w:val="0082029C"/>
    <w:rsid w:val="008202F8"/>
    <w:rsid w:val="008203EA"/>
    <w:rsid w:val="00820774"/>
    <w:rsid w:val="00820837"/>
    <w:rsid w:val="00820998"/>
    <w:rsid w:val="00820EED"/>
    <w:rsid w:val="00820F7B"/>
    <w:rsid w:val="00821007"/>
    <w:rsid w:val="00821395"/>
    <w:rsid w:val="0082192D"/>
    <w:rsid w:val="00821B5F"/>
    <w:rsid w:val="00822079"/>
    <w:rsid w:val="008222B4"/>
    <w:rsid w:val="008223C2"/>
    <w:rsid w:val="0082291C"/>
    <w:rsid w:val="00822C6E"/>
    <w:rsid w:val="00823443"/>
    <w:rsid w:val="00823523"/>
    <w:rsid w:val="00823A57"/>
    <w:rsid w:val="00823BAE"/>
    <w:rsid w:val="00823E8D"/>
    <w:rsid w:val="00824380"/>
    <w:rsid w:val="008249A8"/>
    <w:rsid w:val="00825089"/>
    <w:rsid w:val="0082543A"/>
    <w:rsid w:val="00825476"/>
    <w:rsid w:val="00825504"/>
    <w:rsid w:val="00825648"/>
    <w:rsid w:val="00825CDD"/>
    <w:rsid w:val="00825FFF"/>
    <w:rsid w:val="00826642"/>
    <w:rsid w:val="008266D5"/>
    <w:rsid w:val="008266F0"/>
    <w:rsid w:val="0082672E"/>
    <w:rsid w:val="00826783"/>
    <w:rsid w:val="0082678F"/>
    <w:rsid w:val="008268B5"/>
    <w:rsid w:val="00826957"/>
    <w:rsid w:val="00826A8B"/>
    <w:rsid w:val="00826CC4"/>
    <w:rsid w:val="00826F42"/>
    <w:rsid w:val="0082728A"/>
    <w:rsid w:val="008277B7"/>
    <w:rsid w:val="008301D9"/>
    <w:rsid w:val="0083052F"/>
    <w:rsid w:val="008305AE"/>
    <w:rsid w:val="008305EA"/>
    <w:rsid w:val="00830AB4"/>
    <w:rsid w:val="00830CB1"/>
    <w:rsid w:val="00830E78"/>
    <w:rsid w:val="00830E79"/>
    <w:rsid w:val="008310C6"/>
    <w:rsid w:val="008314D0"/>
    <w:rsid w:val="008318B5"/>
    <w:rsid w:val="00831CF6"/>
    <w:rsid w:val="0083210B"/>
    <w:rsid w:val="0083233C"/>
    <w:rsid w:val="0083234A"/>
    <w:rsid w:val="00832651"/>
    <w:rsid w:val="0083272F"/>
    <w:rsid w:val="008327F4"/>
    <w:rsid w:val="0083294C"/>
    <w:rsid w:val="008329A9"/>
    <w:rsid w:val="00832CDA"/>
    <w:rsid w:val="008330A3"/>
    <w:rsid w:val="008335BF"/>
    <w:rsid w:val="00833793"/>
    <w:rsid w:val="00833CBC"/>
    <w:rsid w:val="00833E24"/>
    <w:rsid w:val="00833F3F"/>
    <w:rsid w:val="008340E2"/>
    <w:rsid w:val="00834329"/>
    <w:rsid w:val="008343AF"/>
    <w:rsid w:val="00834518"/>
    <w:rsid w:val="00834609"/>
    <w:rsid w:val="00834721"/>
    <w:rsid w:val="00834819"/>
    <w:rsid w:val="00834B43"/>
    <w:rsid w:val="00834D05"/>
    <w:rsid w:val="00834E92"/>
    <w:rsid w:val="00835195"/>
    <w:rsid w:val="00835399"/>
    <w:rsid w:val="00835574"/>
    <w:rsid w:val="00835D96"/>
    <w:rsid w:val="008366C4"/>
    <w:rsid w:val="00836860"/>
    <w:rsid w:val="00837603"/>
    <w:rsid w:val="008376DF"/>
    <w:rsid w:val="0083784F"/>
    <w:rsid w:val="00840049"/>
    <w:rsid w:val="008401BC"/>
    <w:rsid w:val="00840730"/>
    <w:rsid w:val="008408EE"/>
    <w:rsid w:val="00840BD0"/>
    <w:rsid w:val="00840EE6"/>
    <w:rsid w:val="00840F9F"/>
    <w:rsid w:val="00840FD9"/>
    <w:rsid w:val="008410FA"/>
    <w:rsid w:val="008415A2"/>
    <w:rsid w:val="008416D8"/>
    <w:rsid w:val="008418A3"/>
    <w:rsid w:val="00841932"/>
    <w:rsid w:val="0084196C"/>
    <w:rsid w:val="0084220C"/>
    <w:rsid w:val="00842991"/>
    <w:rsid w:val="008429A4"/>
    <w:rsid w:val="00842BBE"/>
    <w:rsid w:val="00843498"/>
    <w:rsid w:val="008436CC"/>
    <w:rsid w:val="0084390B"/>
    <w:rsid w:val="008439F3"/>
    <w:rsid w:val="00843BB9"/>
    <w:rsid w:val="00843E16"/>
    <w:rsid w:val="0084404D"/>
    <w:rsid w:val="008442BA"/>
    <w:rsid w:val="008447B6"/>
    <w:rsid w:val="0084482B"/>
    <w:rsid w:val="00844AA1"/>
    <w:rsid w:val="00844B92"/>
    <w:rsid w:val="00844C44"/>
    <w:rsid w:val="00844C99"/>
    <w:rsid w:val="008452D1"/>
    <w:rsid w:val="00845A73"/>
    <w:rsid w:val="00845D5D"/>
    <w:rsid w:val="008462C8"/>
    <w:rsid w:val="00846788"/>
    <w:rsid w:val="00846CF8"/>
    <w:rsid w:val="0084736E"/>
    <w:rsid w:val="00847512"/>
    <w:rsid w:val="00847A40"/>
    <w:rsid w:val="00847B84"/>
    <w:rsid w:val="00847DF7"/>
    <w:rsid w:val="00847E8F"/>
    <w:rsid w:val="00847F55"/>
    <w:rsid w:val="008502FD"/>
    <w:rsid w:val="00850A85"/>
    <w:rsid w:val="00850B45"/>
    <w:rsid w:val="00851056"/>
    <w:rsid w:val="00851835"/>
    <w:rsid w:val="00851B00"/>
    <w:rsid w:val="00851B9B"/>
    <w:rsid w:val="00851D58"/>
    <w:rsid w:val="00851D69"/>
    <w:rsid w:val="00852719"/>
    <w:rsid w:val="008527AE"/>
    <w:rsid w:val="00852974"/>
    <w:rsid w:val="008529C6"/>
    <w:rsid w:val="0085323E"/>
    <w:rsid w:val="008535B4"/>
    <w:rsid w:val="0085363F"/>
    <w:rsid w:val="00853BBA"/>
    <w:rsid w:val="008548BC"/>
    <w:rsid w:val="00854BFB"/>
    <w:rsid w:val="00854C3E"/>
    <w:rsid w:val="00854D6C"/>
    <w:rsid w:val="00855571"/>
    <w:rsid w:val="00855836"/>
    <w:rsid w:val="00855E46"/>
    <w:rsid w:val="00856060"/>
    <w:rsid w:val="00856176"/>
    <w:rsid w:val="008565CA"/>
    <w:rsid w:val="00856B57"/>
    <w:rsid w:val="00857030"/>
    <w:rsid w:val="00857198"/>
    <w:rsid w:val="00857B11"/>
    <w:rsid w:val="00860018"/>
    <w:rsid w:val="0086019F"/>
    <w:rsid w:val="0086060A"/>
    <w:rsid w:val="00860796"/>
    <w:rsid w:val="00860A84"/>
    <w:rsid w:val="00860F47"/>
    <w:rsid w:val="0086104A"/>
    <w:rsid w:val="00861197"/>
    <w:rsid w:val="0086126C"/>
    <w:rsid w:val="008617F9"/>
    <w:rsid w:val="00861822"/>
    <w:rsid w:val="00861A79"/>
    <w:rsid w:val="00861AC8"/>
    <w:rsid w:val="00861C0D"/>
    <w:rsid w:val="00861D0A"/>
    <w:rsid w:val="00862401"/>
    <w:rsid w:val="00862816"/>
    <w:rsid w:val="00862BDD"/>
    <w:rsid w:val="00862FE1"/>
    <w:rsid w:val="0086360A"/>
    <w:rsid w:val="008637B5"/>
    <w:rsid w:val="008639DF"/>
    <w:rsid w:val="00863C23"/>
    <w:rsid w:val="00863C53"/>
    <w:rsid w:val="0086403C"/>
    <w:rsid w:val="008641AF"/>
    <w:rsid w:val="0086449D"/>
    <w:rsid w:val="0086482E"/>
    <w:rsid w:val="0086492B"/>
    <w:rsid w:val="0086497A"/>
    <w:rsid w:val="00864BDA"/>
    <w:rsid w:val="00864C5E"/>
    <w:rsid w:val="00864EA7"/>
    <w:rsid w:val="0086536E"/>
    <w:rsid w:val="00865EE0"/>
    <w:rsid w:val="00866201"/>
    <w:rsid w:val="008669CB"/>
    <w:rsid w:val="00866B8B"/>
    <w:rsid w:val="00866CC9"/>
    <w:rsid w:val="00866E69"/>
    <w:rsid w:val="00867052"/>
    <w:rsid w:val="0086707D"/>
    <w:rsid w:val="00867118"/>
    <w:rsid w:val="0086729C"/>
    <w:rsid w:val="008673B5"/>
    <w:rsid w:val="00867633"/>
    <w:rsid w:val="00867E06"/>
    <w:rsid w:val="00867EB3"/>
    <w:rsid w:val="00870063"/>
    <w:rsid w:val="008702CF"/>
    <w:rsid w:val="008708B7"/>
    <w:rsid w:val="00870A25"/>
    <w:rsid w:val="00870AF3"/>
    <w:rsid w:val="00870DFC"/>
    <w:rsid w:val="00870F47"/>
    <w:rsid w:val="00871026"/>
    <w:rsid w:val="008711A1"/>
    <w:rsid w:val="008712E0"/>
    <w:rsid w:val="0087181C"/>
    <w:rsid w:val="00871BDB"/>
    <w:rsid w:val="00871D6C"/>
    <w:rsid w:val="00872497"/>
    <w:rsid w:val="008726D2"/>
    <w:rsid w:val="00873233"/>
    <w:rsid w:val="00873E3E"/>
    <w:rsid w:val="00874231"/>
    <w:rsid w:val="0087446C"/>
    <w:rsid w:val="00874889"/>
    <w:rsid w:val="00874BF4"/>
    <w:rsid w:val="00874C1A"/>
    <w:rsid w:val="00874DD1"/>
    <w:rsid w:val="00875304"/>
    <w:rsid w:val="00875448"/>
    <w:rsid w:val="008757F7"/>
    <w:rsid w:val="00875883"/>
    <w:rsid w:val="008758B3"/>
    <w:rsid w:val="00875CF7"/>
    <w:rsid w:val="00876027"/>
    <w:rsid w:val="008764E8"/>
    <w:rsid w:val="0087658D"/>
    <w:rsid w:val="00876590"/>
    <w:rsid w:val="00876F30"/>
    <w:rsid w:val="00877143"/>
    <w:rsid w:val="00877402"/>
    <w:rsid w:val="00877A7B"/>
    <w:rsid w:val="00877E81"/>
    <w:rsid w:val="00877EDB"/>
    <w:rsid w:val="008802FB"/>
    <w:rsid w:val="00880320"/>
    <w:rsid w:val="0088032E"/>
    <w:rsid w:val="0088053B"/>
    <w:rsid w:val="00880608"/>
    <w:rsid w:val="00880765"/>
    <w:rsid w:val="00880912"/>
    <w:rsid w:val="00880F08"/>
    <w:rsid w:val="0088148E"/>
    <w:rsid w:val="00881C1D"/>
    <w:rsid w:val="00881C7C"/>
    <w:rsid w:val="00881D4C"/>
    <w:rsid w:val="00881DAF"/>
    <w:rsid w:val="00881F3F"/>
    <w:rsid w:val="0088218F"/>
    <w:rsid w:val="00882913"/>
    <w:rsid w:val="00882B48"/>
    <w:rsid w:val="00883137"/>
    <w:rsid w:val="008832EA"/>
    <w:rsid w:val="00883343"/>
    <w:rsid w:val="008833B0"/>
    <w:rsid w:val="0088388F"/>
    <w:rsid w:val="0088399B"/>
    <w:rsid w:val="00883B00"/>
    <w:rsid w:val="00883FE4"/>
    <w:rsid w:val="00884022"/>
    <w:rsid w:val="00884069"/>
    <w:rsid w:val="00884297"/>
    <w:rsid w:val="0088432D"/>
    <w:rsid w:val="008847D7"/>
    <w:rsid w:val="008848E0"/>
    <w:rsid w:val="00884B17"/>
    <w:rsid w:val="008854CA"/>
    <w:rsid w:val="00885800"/>
    <w:rsid w:val="008858A2"/>
    <w:rsid w:val="00885B7F"/>
    <w:rsid w:val="00885B96"/>
    <w:rsid w:val="00885BF3"/>
    <w:rsid w:val="00885D95"/>
    <w:rsid w:val="00886084"/>
    <w:rsid w:val="00886580"/>
    <w:rsid w:val="0088688F"/>
    <w:rsid w:val="00886AC4"/>
    <w:rsid w:val="00886B47"/>
    <w:rsid w:val="00886BC8"/>
    <w:rsid w:val="008871CA"/>
    <w:rsid w:val="00887285"/>
    <w:rsid w:val="008876F2"/>
    <w:rsid w:val="00887921"/>
    <w:rsid w:val="00887A01"/>
    <w:rsid w:val="00887E13"/>
    <w:rsid w:val="00887FED"/>
    <w:rsid w:val="00890066"/>
    <w:rsid w:val="00890490"/>
    <w:rsid w:val="008906E8"/>
    <w:rsid w:val="0089077A"/>
    <w:rsid w:val="00890C85"/>
    <w:rsid w:val="00890D5C"/>
    <w:rsid w:val="00890F9C"/>
    <w:rsid w:val="00890FEE"/>
    <w:rsid w:val="008911D6"/>
    <w:rsid w:val="008913C2"/>
    <w:rsid w:val="0089166D"/>
    <w:rsid w:val="00891751"/>
    <w:rsid w:val="00891DE7"/>
    <w:rsid w:val="008920A9"/>
    <w:rsid w:val="008921CC"/>
    <w:rsid w:val="008924A7"/>
    <w:rsid w:val="008925CE"/>
    <w:rsid w:val="00892621"/>
    <w:rsid w:val="00892A72"/>
    <w:rsid w:val="00892D9E"/>
    <w:rsid w:val="00892DD2"/>
    <w:rsid w:val="00892E72"/>
    <w:rsid w:val="0089311D"/>
    <w:rsid w:val="00893206"/>
    <w:rsid w:val="00893556"/>
    <w:rsid w:val="008938E3"/>
    <w:rsid w:val="00893913"/>
    <w:rsid w:val="008939C3"/>
    <w:rsid w:val="00894681"/>
    <w:rsid w:val="0089474B"/>
    <w:rsid w:val="0089476E"/>
    <w:rsid w:val="00894E26"/>
    <w:rsid w:val="008956D3"/>
    <w:rsid w:val="00895851"/>
    <w:rsid w:val="00895B41"/>
    <w:rsid w:val="0089633C"/>
    <w:rsid w:val="00896367"/>
    <w:rsid w:val="0089639A"/>
    <w:rsid w:val="008963CA"/>
    <w:rsid w:val="00896954"/>
    <w:rsid w:val="00896C49"/>
    <w:rsid w:val="008972DF"/>
    <w:rsid w:val="0089761C"/>
    <w:rsid w:val="00897833"/>
    <w:rsid w:val="00897F2A"/>
    <w:rsid w:val="008A01F1"/>
    <w:rsid w:val="008A02C3"/>
    <w:rsid w:val="008A04B0"/>
    <w:rsid w:val="008A07F6"/>
    <w:rsid w:val="008A104C"/>
    <w:rsid w:val="008A16F7"/>
    <w:rsid w:val="008A1889"/>
    <w:rsid w:val="008A1AB7"/>
    <w:rsid w:val="008A1B92"/>
    <w:rsid w:val="008A1CCA"/>
    <w:rsid w:val="008A1D02"/>
    <w:rsid w:val="008A1D42"/>
    <w:rsid w:val="008A20D6"/>
    <w:rsid w:val="008A2457"/>
    <w:rsid w:val="008A28BF"/>
    <w:rsid w:val="008A29E3"/>
    <w:rsid w:val="008A2F85"/>
    <w:rsid w:val="008A3037"/>
    <w:rsid w:val="008A3094"/>
    <w:rsid w:val="008A3121"/>
    <w:rsid w:val="008A316A"/>
    <w:rsid w:val="008A31D1"/>
    <w:rsid w:val="008A338B"/>
    <w:rsid w:val="008A3461"/>
    <w:rsid w:val="008A3AE7"/>
    <w:rsid w:val="008A3B18"/>
    <w:rsid w:val="008A3D1E"/>
    <w:rsid w:val="008A417C"/>
    <w:rsid w:val="008A4C3F"/>
    <w:rsid w:val="008A4EEF"/>
    <w:rsid w:val="008A4FE9"/>
    <w:rsid w:val="008A524F"/>
    <w:rsid w:val="008A5270"/>
    <w:rsid w:val="008A5775"/>
    <w:rsid w:val="008A5A27"/>
    <w:rsid w:val="008A5B5B"/>
    <w:rsid w:val="008A5E9B"/>
    <w:rsid w:val="008A5EAF"/>
    <w:rsid w:val="008A5EBE"/>
    <w:rsid w:val="008A6664"/>
    <w:rsid w:val="008A715F"/>
    <w:rsid w:val="008A741B"/>
    <w:rsid w:val="008A7604"/>
    <w:rsid w:val="008A77A6"/>
    <w:rsid w:val="008B0347"/>
    <w:rsid w:val="008B0373"/>
    <w:rsid w:val="008B03BF"/>
    <w:rsid w:val="008B03EE"/>
    <w:rsid w:val="008B0471"/>
    <w:rsid w:val="008B07A5"/>
    <w:rsid w:val="008B08D9"/>
    <w:rsid w:val="008B0BF2"/>
    <w:rsid w:val="008B0C56"/>
    <w:rsid w:val="008B0E8C"/>
    <w:rsid w:val="008B1174"/>
    <w:rsid w:val="008B1189"/>
    <w:rsid w:val="008B12FA"/>
    <w:rsid w:val="008B1760"/>
    <w:rsid w:val="008B2008"/>
    <w:rsid w:val="008B20F0"/>
    <w:rsid w:val="008B2149"/>
    <w:rsid w:val="008B21E5"/>
    <w:rsid w:val="008B2473"/>
    <w:rsid w:val="008B2978"/>
    <w:rsid w:val="008B3271"/>
    <w:rsid w:val="008B350D"/>
    <w:rsid w:val="008B35CE"/>
    <w:rsid w:val="008B3958"/>
    <w:rsid w:val="008B3EC8"/>
    <w:rsid w:val="008B3F76"/>
    <w:rsid w:val="008B4BC1"/>
    <w:rsid w:val="008B4D2C"/>
    <w:rsid w:val="008B4F4E"/>
    <w:rsid w:val="008B4F97"/>
    <w:rsid w:val="008B51C6"/>
    <w:rsid w:val="008B5B68"/>
    <w:rsid w:val="008B5B87"/>
    <w:rsid w:val="008B5EF6"/>
    <w:rsid w:val="008B624C"/>
    <w:rsid w:val="008B6472"/>
    <w:rsid w:val="008B64AC"/>
    <w:rsid w:val="008B67BD"/>
    <w:rsid w:val="008B6AFF"/>
    <w:rsid w:val="008B7096"/>
    <w:rsid w:val="008B7124"/>
    <w:rsid w:val="008B716A"/>
    <w:rsid w:val="008B71BA"/>
    <w:rsid w:val="008C0155"/>
    <w:rsid w:val="008C02D5"/>
    <w:rsid w:val="008C0437"/>
    <w:rsid w:val="008C08C3"/>
    <w:rsid w:val="008C0BD9"/>
    <w:rsid w:val="008C0F14"/>
    <w:rsid w:val="008C0FFF"/>
    <w:rsid w:val="008C1055"/>
    <w:rsid w:val="008C173F"/>
    <w:rsid w:val="008C1F65"/>
    <w:rsid w:val="008C22B6"/>
    <w:rsid w:val="008C2593"/>
    <w:rsid w:val="008C29B0"/>
    <w:rsid w:val="008C348A"/>
    <w:rsid w:val="008C3866"/>
    <w:rsid w:val="008C3DCA"/>
    <w:rsid w:val="008C3DCF"/>
    <w:rsid w:val="008C3E7E"/>
    <w:rsid w:val="008C4370"/>
    <w:rsid w:val="008C44C2"/>
    <w:rsid w:val="008C44FC"/>
    <w:rsid w:val="008C4A48"/>
    <w:rsid w:val="008C4C67"/>
    <w:rsid w:val="008C51DC"/>
    <w:rsid w:val="008C5375"/>
    <w:rsid w:val="008C53DB"/>
    <w:rsid w:val="008C58C2"/>
    <w:rsid w:val="008C5B69"/>
    <w:rsid w:val="008C5BA7"/>
    <w:rsid w:val="008C5BBB"/>
    <w:rsid w:val="008C5C05"/>
    <w:rsid w:val="008C5C84"/>
    <w:rsid w:val="008C5E24"/>
    <w:rsid w:val="008C5F96"/>
    <w:rsid w:val="008C6547"/>
    <w:rsid w:val="008C6BFB"/>
    <w:rsid w:val="008C6E50"/>
    <w:rsid w:val="008C7050"/>
    <w:rsid w:val="008C73B2"/>
    <w:rsid w:val="008C7DFC"/>
    <w:rsid w:val="008D02F0"/>
    <w:rsid w:val="008D0309"/>
    <w:rsid w:val="008D037B"/>
    <w:rsid w:val="008D09D2"/>
    <w:rsid w:val="008D0D4F"/>
    <w:rsid w:val="008D0E90"/>
    <w:rsid w:val="008D1299"/>
    <w:rsid w:val="008D147C"/>
    <w:rsid w:val="008D1557"/>
    <w:rsid w:val="008D16F4"/>
    <w:rsid w:val="008D193E"/>
    <w:rsid w:val="008D1A44"/>
    <w:rsid w:val="008D1AE0"/>
    <w:rsid w:val="008D1DCB"/>
    <w:rsid w:val="008D22CF"/>
    <w:rsid w:val="008D2B03"/>
    <w:rsid w:val="008D2B55"/>
    <w:rsid w:val="008D2D09"/>
    <w:rsid w:val="008D2DDF"/>
    <w:rsid w:val="008D32DA"/>
    <w:rsid w:val="008D3469"/>
    <w:rsid w:val="008D3503"/>
    <w:rsid w:val="008D3988"/>
    <w:rsid w:val="008D3B0A"/>
    <w:rsid w:val="008D45DC"/>
    <w:rsid w:val="008D47DF"/>
    <w:rsid w:val="008D4827"/>
    <w:rsid w:val="008D494D"/>
    <w:rsid w:val="008D4A07"/>
    <w:rsid w:val="008D51C8"/>
    <w:rsid w:val="008D5257"/>
    <w:rsid w:val="008D539D"/>
    <w:rsid w:val="008D5ACB"/>
    <w:rsid w:val="008D5B38"/>
    <w:rsid w:val="008D5F57"/>
    <w:rsid w:val="008D632D"/>
    <w:rsid w:val="008D63BC"/>
    <w:rsid w:val="008D67B9"/>
    <w:rsid w:val="008D688C"/>
    <w:rsid w:val="008D6A78"/>
    <w:rsid w:val="008D6C7A"/>
    <w:rsid w:val="008D71EE"/>
    <w:rsid w:val="008D7D9F"/>
    <w:rsid w:val="008E05F9"/>
    <w:rsid w:val="008E0681"/>
    <w:rsid w:val="008E0BCB"/>
    <w:rsid w:val="008E0BEF"/>
    <w:rsid w:val="008E0D56"/>
    <w:rsid w:val="008E102E"/>
    <w:rsid w:val="008E11C3"/>
    <w:rsid w:val="008E1A2C"/>
    <w:rsid w:val="008E1E44"/>
    <w:rsid w:val="008E2220"/>
    <w:rsid w:val="008E25EC"/>
    <w:rsid w:val="008E27E4"/>
    <w:rsid w:val="008E2AB6"/>
    <w:rsid w:val="008E2CEF"/>
    <w:rsid w:val="008E2D8C"/>
    <w:rsid w:val="008E2F03"/>
    <w:rsid w:val="008E388F"/>
    <w:rsid w:val="008E3BD2"/>
    <w:rsid w:val="008E3C28"/>
    <w:rsid w:val="008E3C94"/>
    <w:rsid w:val="008E3D85"/>
    <w:rsid w:val="008E3E73"/>
    <w:rsid w:val="008E40AC"/>
    <w:rsid w:val="008E434C"/>
    <w:rsid w:val="008E4A13"/>
    <w:rsid w:val="008E4A3D"/>
    <w:rsid w:val="008E4C43"/>
    <w:rsid w:val="008E51E4"/>
    <w:rsid w:val="008E59BC"/>
    <w:rsid w:val="008E5C35"/>
    <w:rsid w:val="008E6104"/>
    <w:rsid w:val="008E66E8"/>
    <w:rsid w:val="008E684D"/>
    <w:rsid w:val="008E6B72"/>
    <w:rsid w:val="008E6C30"/>
    <w:rsid w:val="008E6E39"/>
    <w:rsid w:val="008E7110"/>
    <w:rsid w:val="008E7316"/>
    <w:rsid w:val="008E75B4"/>
    <w:rsid w:val="008E7677"/>
    <w:rsid w:val="008E7DF7"/>
    <w:rsid w:val="008E7F27"/>
    <w:rsid w:val="008E7F81"/>
    <w:rsid w:val="008F0055"/>
    <w:rsid w:val="008F0683"/>
    <w:rsid w:val="008F0689"/>
    <w:rsid w:val="008F0B83"/>
    <w:rsid w:val="008F1434"/>
    <w:rsid w:val="008F14E8"/>
    <w:rsid w:val="008F183F"/>
    <w:rsid w:val="008F19E7"/>
    <w:rsid w:val="008F19E8"/>
    <w:rsid w:val="008F1AF4"/>
    <w:rsid w:val="008F1FBD"/>
    <w:rsid w:val="008F2104"/>
    <w:rsid w:val="008F2904"/>
    <w:rsid w:val="008F2D43"/>
    <w:rsid w:val="008F2EEA"/>
    <w:rsid w:val="008F2FF1"/>
    <w:rsid w:val="008F33BF"/>
    <w:rsid w:val="008F3430"/>
    <w:rsid w:val="008F3739"/>
    <w:rsid w:val="008F3C42"/>
    <w:rsid w:val="008F3EB8"/>
    <w:rsid w:val="008F3FA2"/>
    <w:rsid w:val="008F44ED"/>
    <w:rsid w:val="008F48F1"/>
    <w:rsid w:val="008F4E58"/>
    <w:rsid w:val="008F515C"/>
    <w:rsid w:val="008F5211"/>
    <w:rsid w:val="008F53EC"/>
    <w:rsid w:val="008F5C12"/>
    <w:rsid w:val="008F5EF8"/>
    <w:rsid w:val="008F5F3B"/>
    <w:rsid w:val="008F61B4"/>
    <w:rsid w:val="008F64B1"/>
    <w:rsid w:val="008F658F"/>
    <w:rsid w:val="008F6750"/>
    <w:rsid w:val="008F68AA"/>
    <w:rsid w:val="008F6AA6"/>
    <w:rsid w:val="008F752B"/>
    <w:rsid w:val="008F75DB"/>
    <w:rsid w:val="00900036"/>
    <w:rsid w:val="00900406"/>
    <w:rsid w:val="00900615"/>
    <w:rsid w:val="00900768"/>
    <w:rsid w:val="009008F8"/>
    <w:rsid w:val="009009A8"/>
    <w:rsid w:val="00900A2A"/>
    <w:rsid w:val="00900E4D"/>
    <w:rsid w:val="00901195"/>
    <w:rsid w:val="00901238"/>
    <w:rsid w:val="00901485"/>
    <w:rsid w:val="00901877"/>
    <w:rsid w:val="00901A60"/>
    <w:rsid w:val="00901D1C"/>
    <w:rsid w:val="00901D20"/>
    <w:rsid w:val="00901EE6"/>
    <w:rsid w:val="00901FF4"/>
    <w:rsid w:val="00902287"/>
    <w:rsid w:val="00902409"/>
    <w:rsid w:val="00902BF6"/>
    <w:rsid w:val="00903017"/>
    <w:rsid w:val="009033B8"/>
    <w:rsid w:val="0090383A"/>
    <w:rsid w:val="00903969"/>
    <w:rsid w:val="00903A87"/>
    <w:rsid w:val="00903E78"/>
    <w:rsid w:val="00903F53"/>
    <w:rsid w:val="0090426B"/>
    <w:rsid w:val="0090468D"/>
    <w:rsid w:val="00904AF7"/>
    <w:rsid w:val="00904D29"/>
    <w:rsid w:val="00904DC3"/>
    <w:rsid w:val="00905043"/>
    <w:rsid w:val="00905098"/>
    <w:rsid w:val="00905265"/>
    <w:rsid w:val="0090561C"/>
    <w:rsid w:val="009057FE"/>
    <w:rsid w:val="00905B67"/>
    <w:rsid w:val="00905C41"/>
    <w:rsid w:val="0090659F"/>
    <w:rsid w:val="009068BA"/>
    <w:rsid w:val="00907010"/>
    <w:rsid w:val="00907125"/>
    <w:rsid w:val="009071B7"/>
    <w:rsid w:val="0090726A"/>
    <w:rsid w:val="00907BEC"/>
    <w:rsid w:val="00907C4A"/>
    <w:rsid w:val="00907C76"/>
    <w:rsid w:val="00910094"/>
    <w:rsid w:val="009100D0"/>
    <w:rsid w:val="009103D8"/>
    <w:rsid w:val="00910442"/>
    <w:rsid w:val="009106A0"/>
    <w:rsid w:val="00910772"/>
    <w:rsid w:val="009109F6"/>
    <w:rsid w:val="00910A31"/>
    <w:rsid w:val="00910FAF"/>
    <w:rsid w:val="009112FF"/>
    <w:rsid w:val="0091135D"/>
    <w:rsid w:val="009113AA"/>
    <w:rsid w:val="00911449"/>
    <w:rsid w:val="009116C8"/>
    <w:rsid w:val="00911CB5"/>
    <w:rsid w:val="00911D6A"/>
    <w:rsid w:val="0091288B"/>
    <w:rsid w:val="009128D0"/>
    <w:rsid w:val="00912B6B"/>
    <w:rsid w:val="00912D03"/>
    <w:rsid w:val="009131FB"/>
    <w:rsid w:val="0091338C"/>
    <w:rsid w:val="00913395"/>
    <w:rsid w:val="00913399"/>
    <w:rsid w:val="0091344E"/>
    <w:rsid w:val="009134E9"/>
    <w:rsid w:val="00913574"/>
    <w:rsid w:val="00913582"/>
    <w:rsid w:val="00913748"/>
    <w:rsid w:val="009137DB"/>
    <w:rsid w:val="00913A02"/>
    <w:rsid w:val="00913B99"/>
    <w:rsid w:val="00913C9B"/>
    <w:rsid w:val="009140E1"/>
    <w:rsid w:val="0091412E"/>
    <w:rsid w:val="0091436D"/>
    <w:rsid w:val="00914501"/>
    <w:rsid w:val="00914727"/>
    <w:rsid w:val="00914945"/>
    <w:rsid w:val="009156F3"/>
    <w:rsid w:val="0091579B"/>
    <w:rsid w:val="009159E1"/>
    <w:rsid w:val="00915B55"/>
    <w:rsid w:val="009161FA"/>
    <w:rsid w:val="009162C0"/>
    <w:rsid w:val="00916351"/>
    <w:rsid w:val="009164ED"/>
    <w:rsid w:val="0091650F"/>
    <w:rsid w:val="009165FD"/>
    <w:rsid w:val="00916859"/>
    <w:rsid w:val="009169F6"/>
    <w:rsid w:val="00916B8F"/>
    <w:rsid w:val="00916C52"/>
    <w:rsid w:val="00916C7E"/>
    <w:rsid w:val="00916ED4"/>
    <w:rsid w:val="0091705E"/>
    <w:rsid w:val="009174A4"/>
    <w:rsid w:val="009175CD"/>
    <w:rsid w:val="009176E7"/>
    <w:rsid w:val="0092000D"/>
    <w:rsid w:val="009200A1"/>
    <w:rsid w:val="00920839"/>
    <w:rsid w:val="009209C4"/>
    <w:rsid w:val="00920CAD"/>
    <w:rsid w:val="00921511"/>
    <w:rsid w:val="00921517"/>
    <w:rsid w:val="009215C9"/>
    <w:rsid w:val="009223FE"/>
    <w:rsid w:val="00922AAF"/>
    <w:rsid w:val="00922ACF"/>
    <w:rsid w:val="00922C9A"/>
    <w:rsid w:val="00922E20"/>
    <w:rsid w:val="00922E75"/>
    <w:rsid w:val="00922F11"/>
    <w:rsid w:val="00923067"/>
    <w:rsid w:val="00923959"/>
    <w:rsid w:val="00923A1D"/>
    <w:rsid w:val="00923B79"/>
    <w:rsid w:val="00923D1A"/>
    <w:rsid w:val="009243A0"/>
    <w:rsid w:val="00924751"/>
    <w:rsid w:val="00924CFF"/>
    <w:rsid w:val="00924E7D"/>
    <w:rsid w:val="00924EF8"/>
    <w:rsid w:val="00925B9D"/>
    <w:rsid w:val="00925BCC"/>
    <w:rsid w:val="00925F17"/>
    <w:rsid w:val="0092639D"/>
    <w:rsid w:val="0092652C"/>
    <w:rsid w:val="0092658B"/>
    <w:rsid w:val="009266F2"/>
    <w:rsid w:val="00926C78"/>
    <w:rsid w:val="0092712C"/>
    <w:rsid w:val="0092716B"/>
    <w:rsid w:val="009273BE"/>
    <w:rsid w:val="009277EC"/>
    <w:rsid w:val="00927986"/>
    <w:rsid w:val="00927BBD"/>
    <w:rsid w:val="00927F20"/>
    <w:rsid w:val="009301D6"/>
    <w:rsid w:val="0093036E"/>
    <w:rsid w:val="00930905"/>
    <w:rsid w:val="00930C00"/>
    <w:rsid w:val="0093154B"/>
    <w:rsid w:val="00932374"/>
    <w:rsid w:val="0093253E"/>
    <w:rsid w:val="009326E2"/>
    <w:rsid w:val="00932836"/>
    <w:rsid w:val="00932D80"/>
    <w:rsid w:val="009338F6"/>
    <w:rsid w:val="009339FA"/>
    <w:rsid w:val="00933BBC"/>
    <w:rsid w:val="009342F7"/>
    <w:rsid w:val="00934361"/>
    <w:rsid w:val="00934620"/>
    <w:rsid w:val="009346F0"/>
    <w:rsid w:val="009347CD"/>
    <w:rsid w:val="00934834"/>
    <w:rsid w:val="00934928"/>
    <w:rsid w:val="00934D65"/>
    <w:rsid w:val="00934E31"/>
    <w:rsid w:val="00934EF2"/>
    <w:rsid w:val="00934F41"/>
    <w:rsid w:val="0093548F"/>
    <w:rsid w:val="0093561C"/>
    <w:rsid w:val="00935B0B"/>
    <w:rsid w:val="00935F7A"/>
    <w:rsid w:val="009364D6"/>
    <w:rsid w:val="009366C7"/>
    <w:rsid w:val="0093683A"/>
    <w:rsid w:val="00936AD3"/>
    <w:rsid w:val="00937010"/>
    <w:rsid w:val="00937078"/>
    <w:rsid w:val="0093711D"/>
    <w:rsid w:val="009371F4"/>
    <w:rsid w:val="00937589"/>
    <w:rsid w:val="00937A53"/>
    <w:rsid w:val="00937F99"/>
    <w:rsid w:val="009401B9"/>
    <w:rsid w:val="009401FA"/>
    <w:rsid w:val="00940397"/>
    <w:rsid w:val="00940788"/>
    <w:rsid w:val="0094080F"/>
    <w:rsid w:val="00940827"/>
    <w:rsid w:val="00940DC2"/>
    <w:rsid w:val="00940E76"/>
    <w:rsid w:val="0094133C"/>
    <w:rsid w:val="009419B6"/>
    <w:rsid w:val="00941B55"/>
    <w:rsid w:val="00943382"/>
    <w:rsid w:val="00943566"/>
    <w:rsid w:val="00943652"/>
    <w:rsid w:val="009437F2"/>
    <w:rsid w:val="0094383B"/>
    <w:rsid w:val="00943A10"/>
    <w:rsid w:val="00943F3F"/>
    <w:rsid w:val="009441CD"/>
    <w:rsid w:val="00944695"/>
    <w:rsid w:val="009449E6"/>
    <w:rsid w:val="00944ADD"/>
    <w:rsid w:val="00944FBD"/>
    <w:rsid w:val="00945116"/>
    <w:rsid w:val="0094529E"/>
    <w:rsid w:val="009452B2"/>
    <w:rsid w:val="00945406"/>
    <w:rsid w:val="009459F7"/>
    <w:rsid w:val="0094622D"/>
    <w:rsid w:val="009462E0"/>
    <w:rsid w:val="00946334"/>
    <w:rsid w:val="009467DB"/>
    <w:rsid w:val="00946990"/>
    <w:rsid w:val="009469A9"/>
    <w:rsid w:val="0094706A"/>
    <w:rsid w:val="009472CA"/>
    <w:rsid w:val="0094768C"/>
    <w:rsid w:val="009476E1"/>
    <w:rsid w:val="00947B25"/>
    <w:rsid w:val="00950105"/>
    <w:rsid w:val="00950341"/>
    <w:rsid w:val="009504E4"/>
    <w:rsid w:val="0095071F"/>
    <w:rsid w:val="00950BB8"/>
    <w:rsid w:val="00950CD1"/>
    <w:rsid w:val="00950D59"/>
    <w:rsid w:val="00951395"/>
    <w:rsid w:val="009516B3"/>
    <w:rsid w:val="00951AD5"/>
    <w:rsid w:val="0095247A"/>
    <w:rsid w:val="00952733"/>
    <w:rsid w:val="009527C6"/>
    <w:rsid w:val="009527E0"/>
    <w:rsid w:val="00952842"/>
    <w:rsid w:val="00952BFB"/>
    <w:rsid w:val="00952D40"/>
    <w:rsid w:val="00952E25"/>
    <w:rsid w:val="00953791"/>
    <w:rsid w:val="00953F0D"/>
    <w:rsid w:val="00954142"/>
    <w:rsid w:val="0095444F"/>
    <w:rsid w:val="009544A9"/>
    <w:rsid w:val="0095454C"/>
    <w:rsid w:val="0095468D"/>
    <w:rsid w:val="00954846"/>
    <w:rsid w:val="00954FF0"/>
    <w:rsid w:val="00955381"/>
    <w:rsid w:val="009557D5"/>
    <w:rsid w:val="00955A24"/>
    <w:rsid w:val="00955E9C"/>
    <w:rsid w:val="00955F27"/>
    <w:rsid w:val="00956103"/>
    <w:rsid w:val="00956303"/>
    <w:rsid w:val="00956346"/>
    <w:rsid w:val="009564B3"/>
    <w:rsid w:val="00956504"/>
    <w:rsid w:val="00956600"/>
    <w:rsid w:val="00956777"/>
    <w:rsid w:val="00957504"/>
    <w:rsid w:val="009577A7"/>
    <w:rsid w:val="009607BA"/>
    <w:rsid w:val="00960C9E"/>
    <w:rsid w:val="00961194"/>
    <w:rsid w:val="009611FC"/>
    <w:rsid w:val="00961274"/>
    <w:rsid w:val="00961998"/>
    <w:rsid w:val="00961B5D"/>
    <w:rsid w:val="00961BF6"/>
    <w:rsid w:val="009622B9"/>
    <w:rsid w:val="00962311"/>
    <w:rsid w:val="00962320"/>
    <w:rsid w:val="009629F7"/>
    <w:rsid w:val="00962C98"/>
    <w:rsid w:val="00962CCD"/>
    <w:rsid w:val="00963887"/>
    <w:rsid w:val="00963B73"/>
    <w:rsid w:val="009648A0"/>
    <w:rsid w:val="009650CD"/>
    <w:rsid w:val="00965154"/>
    <w:rsid w:val="0096530F"/>
    <w:rsid w:val="00965D8D"/>
    <w:rsid w:val="0096606E"/>
    <w:rsid w:val="00966A36"/>
    <w:rsid w:val="00966B1D"/>
    <w:rsid w:val="00966DFD"/>
    <w:rsid w:val="0096725A"/>
    <w:rsid w:val="0096747F"/>
    <w:rsid w:val="00967B0D"/>
    <w:rsid w:val="00967B72"/>
    <w:rsid w:val="009700DE"/>
    <w:rsid w:val="00970237"/>
    <w:rsid w:val="009705F5"/>
    <w:rsid w:val="009707AD"/>
    <w:rsid w:val="00970D58"/>
    <w:rsid w:val="00970E2B"/>
    <w:rsid w:val="009711F8"/>
    <w:rsid w:val="009714A3"/>
    <w:rsid w:val="0097156F"/>
    <w:rsid w:val="00971C31"/>
    <w:rsid w:val="00972214"/>
    <w:rsid w:val="009723E9"/>
    <w:rsid w:val="00972402"/>
    <w:rsid w:val="009725BF"/>
    <w:rsid w:val="00972732"/>
    <w:rsid w:val="0097286F"/>
    <w:rsid w:val="00972A6E"/>
    <w:rsid w:val="00972C2E"/>
    <w:rsid w:val="00972CBF"/>
    <w:rsid w:val="00972FE3"/>
    <w:rsid w:val="0097374E"/>
    <w:rsid w:val="00973A1D"/>
    <w:rsid w:val="00973A68"/>
    <w:rsid w:val="00973CE9"/>
    <w:rsid w:val="00973D2D"/>
    <w:rsid w:val="00973E28"/>
    <w:rsid w:val="00974060"/>
    <w:rsid w:val="00974F29"/>
    <w:rsid w:val="0097519C"/>
    <w:rsid w:val="009758FD"/>
    <w:rsid w:val="00975A48"/>
    <w:rsid w:val="00975ED8"/>
    <w:rsid w:val="00975F4F"/>
    <w:rsid w:val="009760AE"/>
    <w:rsid w:val="00976167"/>
    <w:rsid w:val="00976212"/>
    <w:rsid w:val="00976304"/>
    <w:rsid w:val="009764DF"/>
    <w:rsid w:val="009768DE"/>
    <w:rsid w:val="00976AEF"/>
    <w:rsid w:val="00976E48"/>
    <w:rsid w:val="00976E70"/>
    <w:rsid w:val="00976F09"/>
    <w:rsid w:val="00976F58"/>
    <w:rsid w:val="00977307"/>
    <w:rsid w:val="009775CF"/>
    <w:rsid w:val="00977CAA"/>
    <w:rsid w:val="00977FE8"/>
    <w:rsid w:val="0098036F"/>
    <w:rsid w:val="00981229"/>
    <w:rsid w:val="009813A5"/>
    <w:rsid w:val="00981493"/>
    <w:rsid w:val="00981580"/>
    <w:rsid w:val="009815DF"/>
    <w:rsid w:val="009816B4"/>
    <w:rsid w:val="00981BCA"/>
    <w:rsid w:val="00981D73"/>
    <w:rsid w:val="00982164"/>
    <w:rsid w:val="00982550"/>
    <w:rsid w:val="009828AE"/>
    <w:rsid w:val="009828BE"/>
    <w:rsid w:val="00982A57"/>
    <w:rsid w:val="009834F5"/>
    <w:rsid w:val="009839BC"/>
    <w:rsid w:val="00983DA3"/>
    <w:rsid w:val="00984179"/>
    <w:rsid w:val="00984269"/>
    <w:rsid w:val="00984717"/>
    <w:rsid w:val="00984759"/>
    <w:rsid w:val="009848AC"/>
    <w:rsid w:val="0098494E"/>
    <w:rsid w:val="00984A9F"/>
    <w:rsid w:val="00985522"/>
    <w:rsid w:val="009857E3"/>
    <w:rsid w:val="009858A0"/>
    <w:rsid w:val="009859CA"/>
    <w:rsid w:val="00985A13"/>
    <w:rsid w:val="00985DCA"/>
    <w:rsid w:val="00985ED7"/>
    <w:rsid w:val="00985F1F"/>
    <w:rsid w:val="00985F25"/>
    <w:rsid w:val="00986355"/>
    <w:rsid w:val="00986A94"/>
    <w:rsid w:val="009870E2"/>
    <w:rsid w:val="00987641"/>
    <w:rsid w:val="00987653"/>
    <w:rsid w:val="00987865"/>
    <w:rsid w:val="00987919"/>
    <w:rsid w:val="00987C77"/>
    <w:rsid w:val="00987FA5"/>
    <w:rsid w:val="00990031"/>
    <w:rsid w:val="009907DE"/>
    <w:rsid w:val="009908DC"/>
    <w:rsid w:val="00990B33"/>
    <w:rsid w:val="00990B52"/>
    <w:rsid w:val="00990C73"/>
    <w:rsid w:val="00990FBF"/>
    <w:rsid w:val="009913E8"/>
    <w:rsid w:val="0099188E"/>
    <w:rsid w:val="00991A2E"/>
    <w:rsid w:val="00991B44"/>
    <w:rsid w:val="00991C78"/>
    <w:rsid w:val="009920EC"/>
    <w:rsid w:val="009925C7"/>
    <w:rsid w:val="009925C8"/>
    <w:rsid w:val="00992A4A"/>
    <w:rsid w:val="00992E58"/>
    <w:rsid w:val="00993328"/>
    <w:rsid w:val="00993E6C"/>
    <w:rsid w:val="0099410E"/>
    <w:rsid w:val="009943A1"/>
    <w:rsid w:val="00994577"/>
    <w:rsid w:val="00994644"/>
    <w:rsid w:val="009947A8"/>
    <w:rsid w:val="00994A5A"/>
    <w:rsid w:val="00994EB4"/>
    <w:rsid w:val="0099505E"/>
    <w:rsid w:val="009952AA"/>
    <w:rsid w:val="0099577A"/>
    <w:rsid w:val="0099581A"/>
    <w:rsid w:val="00995833"/>
    <w:rsid w:val="009958FD"/>
    <w:rsid w:val="00995B93"/>
    <w:rsid w:val="00995C0A"/>
    <w:rsid w:val="00995D45"/>
    <w:rsid w:val="00995DD5"/>
    <w:rsid w:val="00996108"/>
    <w:rsid w:val="0099631E"/>
    <w:rsid w:val="0099674F"/>
    <w:rsid w:val="009968E5"/>
    <w:rsid w:val="00996C47"/>
    <w:rsid w:val="0099701A"/>
    <w:rsid w:val="00997205"/>
    <w:rsid w:val="0099752B"/>
    <w:rsid w:val="00997665"/>
    <w:rsid w:val="009976AC"/>
    <w:rsid w:val="0099793F"/>
    <w:rsid w:val="00997C13"/>
    <w:rsid w:val="00997C45"/>
    <w:rsid w:val="00997E82"/>
    <w:rsid w:val="00997F68"/>
    <w:rsid w:val="009A01FD"/>
    <w:rsid w:val="009A151A"/>
    <w:rsid w:val="009A15BD"/>
    <w:rsid w:val="009A171F"/>
    <w:rsid w:val="009A1E13"/>
    <w:rsid w:val="009A2118"/>
    <w:rsid w:val="009A2B2D"/>
    <w:rsid w:val="009A2CD9"/>
    <w:rsid w:val="009A3311"/>
    <w:rsid w:val="009A33DF"/>
    <w:rsid w:val="009A34B8"/>
    <w:rsid w:val="009A3915"/>
    <w:rsid w:val="009A3A8C"/>
    <w:rsid w:val="009A3BAF"/>
    <w:rsid w:val="009A3CC9"/>
    <w:rsid w:val="009A427E"/>
    <w:rsid w:val="009A4280"/>
    <w:rsid w:val="009A448F"/>
    <w:rsid w:val="009A4CF4"/>
    <w:rsid w:val="009A4D8B"/>
    <w:rsid w:val="009A4E18"/>
    <w:rsid w:val="009A51C3"/>
    <w:rsid w:val="009A522C"/>
    <w:rsid w:val="009A5352"/>
    <w:rsid w:val="009A5760"/>
    <w:rsid w:val="009A5825"/>
    <w:rsid w:val="009A69A6"/>
    <w:rsid w:val="009A6C66"/>
    <w:rsid w:val="009A74ED"/>
    <w:rsid w:val="009A7627"/>
    <w:rsid w:val="009A7688"/>
    <w:rsid w:val="009A7C51"/>
    <w:rsid w:val="009A7F1E"/>
    <w:rsid w:val="009B0367"/>
    <w:rsid w:val="009B04AC"/>
    <w:rsid w:val="009B0558"/>
    <w:rsid w:val="009B0694"/>
    <w:rsid w:val="009B0801"/>
    <w:rsid w:val="009B186A"/>
    <w:rsid w:val="009B22AC"/>
    <w:rsid w:val="009B22D6"/>
    <w:rsid w:val="009B2670"/>
    <w:rsid w:val="009B30CA"/>
    <w:rsid w:val="009B31C7"/>
    <w:rsid w:val="009B3469"/>
    <w:rsid w:val="009B3593"/>
    <w:rsid w:val="009B3689"/>
    <w:rsid w:val="009B3731"/>
    <w:rsid w:val="009B39E3"/>
    <w:rsid w:val="009B3A74"/>
    <w:rsid w:val="009B3CB6"/>
    <w:rsid w:val="009B3E03"/>
    <w:rsid w:val="009B41ED"/>
    <w:rsid w:val="009B4317"/>
    <w:rsid w:val="009B447F"/>
    <w:rsid w:val="009B4693"/>
    <w:rsid w:val="009B480F"/>
    <w:rsid w:val="009B4E45"/>
    <w:rsid w:val="009B5340"/>
    <w:rsid w:val="009B5599"/>
    <w:rsid w:val="009B59D8"/>
    <w:rsid w:val="009B63BE"/>
    <w:rsid w:val="009B671D"/>
    <w:rsid w:val="009B6892"/>
    <w:rsid w:val="009B6A4C"/>
    <w:rsid w:val="009B6EA7"/>
    <w:rsid w:val="009B7024"/>
    <w:rsid w:val="009B71C2"/>
    <w:rsid w:val="009B7247"/>
    <w:rsid w:val="009B7481"/>
    <w:rsid w:val="009B7D7E"/>
    <w:rsid w:val="009C00E6"/>
    <w:rsid w:val="009C078E"/>
    <w:rsid w:val="009C0BB9"/>
    <w:rsid w:val="009C0C4D"/>
    <w:rsid w:val="009C0D7D"/>
    <w:rsid w:val="009C0F0D"/>
    <w:rsid w:val="009C1153"/>
    <w:rsid w:val="009C1842"/>
    <w:rsid w:val="009C1A3F"/>
    <w:rsid w:val="009C1B29"/>
    <w:rsid w:val="009C1BD0"/>
    <w:rsid w:val="009C1EB0"/>
    <w:rsid w:val="009C24D5"/>
    <w:rsid w:val="009C2683"/>
    <w:rsid w:val="009C27F6"/>
    <w:rsid w:val="009C2875"/>
    <w:rsid w:val="009C2B75"/>
    <w:rsid w:val="009C3374"/>
    <w:rsid w:val="009C3950"/>
    <w:rsid w:val="009C39BE"/>
    <w:rsid w:val="009C3FD7"/>
    <w:rsid w:val="009C43CA"/>
    <w:rsid w:val="009C454D"/>
    <w:rsid w:val="009C4F18"/>
    <w:rsid w:val="009C5181"/>
    <w:rsid w:val="009C51F2"/>
    <w:rsid w:val="009C5554"/>
    <w:rsid w:val="009C5811"/>
    <w:rsid w:val="009C5A6B"/>
    <w:rsid w:val="009C5BAC"/>
    <w:rsid w:val="009C5D2D"/>
    <w:rsid w:val="009C5E3B"/>
    <w:rsid w:val="009C61DF"/>
    <w:rsid w:val="009C6249"/>
    <w:rsid w:val="009C6271"/>
    <w:rsid w:val="009C643C"/>
    <w:rsid w:val="009C704E"/>
    <w:rsid w:val="009C72C6"/>
    <w:rsid w:val="009C75AB"/>
    <w:rsid w:val="009C7815"/>
    <w:rsid w:val="009C7A2B"/>
    <w:rsid w:val="009C7B0F"/>
    <w:rsid w:val="009C7BBD"/>
    <w:rsid w:val="009C7DA7"/>
    <w:rsid w:val="009C7F87"/>
    <w:rsid w:val="009D0082"/>
    <w:rsid w:val="009D08FA"/>
    <w:rsid w:val="009D1BC8"/>
    <w:rsid w:val="009D1DE7"/>
    <w:rsid w:val="009D2059"/>
    <w:rsid w:val="009D23F7"/>
    <w:rsid w:val="009D2463"/>
    <w:rsid w:val="009D2DC3"/>
    <w:rsid w:val="009D2EB7"/>
    <w:rsid w:val="009D33D2"/>
    <w:rsid w:val="009D3EEC"/>
    <w:rsid w:val="009D414A"/>
    <w:rsid w:val="009D4393"/>
    <w:rsid w:val="009D460D"/>
    <w:rsid w:val="009D475C"/>
    <w:rsid w:val="009D4770"/>
    <w:rsid w:val="009D4D02"/>
    <w:rsid w:val="009D4E2B"/>
    <w:rsid w:val="009D4FED"/>
    <w:rsid w:val="009D51E1"/>
    <w:rsid w:val="009D5207"/>
    <w:rsid w:val="009D5595"/>
    <w:rsid w:val="009D568B"/>
    <w:rsid w:val="009D5CA7"/>
    <w:rsid w:val="009D5D90"/>
    <w:rsid w:val="009D6077"/>
    <w:rsid w:val="009D6290"/>
    <w:rsid w:val="009D63F8"/>
    <w:rsid w:val="009D6937"/>
    <w:rsid w:val="009D6B42"/>
    <w:rsid w:val="009D6B67"/>
    <w:rsid w:val="009D6D87"/>
    <w:rsid w:val="009D6FB9"/>
    <w:rsid w:val="009D7083"/>
    <w:rsid w:val="009D7AC5"/>
    <w:rsid w:val="009E0096"/>
    <w:rsid w:val="009E0B4B"/>
    <w:rsid w:val="009E10C7"/>
    <w:rsid w:val="009E121B"/>
    <w:rsid w:val="009E1512"/>
    <w:rsid w:val="009E17DB"/>
    <w:rsid w:val="009E1993"/>
    <w:rsid w:val="009E1D87"/>
    <w:rsid w:val="009E1EC2"/>
    <w:rsid w:val="009E1F17"/>
    <w:rsid w:val="009E1F35"/>
    <w:rsid w:val="009E2261"/>
    <w:rsid w:val="009E286D"/>
    <w:rsid w:val="009E298A"/>
    <w:rsid w:val="009E32CE"/>
    <w:rsid w:val="009E335E"/>
    <w:rsid w:val="009E336F"/>
    <w:rsid w:val="009E359B"/>
    <w:rsid w:val="009E3731"/>
    <w:rsid w:val="009E3D7B"/>
    <w:rsid w:val="009E3EBB"/>
    <w:rsid w:val="009E49A0"/>
    <w:rsid w:val="009E4C20"/>
    <w:rsid w:val="009E50BA"/>
    <w:rsid w:val="009E564E"/>
    <w:rsid w:val="009E5759"/>
    <w:rsid w:val="009E5879"/>
    <w:rsid w:val="009E5943"/>
    <w:rsid w:val="009E6595"/>
    <w:rsid w:val="009E6699"/>
    <w:rsid w:val="009E6EAE"/>
    <w:rsid w:val="009E70B5"/>
    <w:rsid w:val="009E7305"/>
    <w:rsid w:val="009E7505"/>
    <w:rsid w:val="009E7853"/>
    <w:rsid w:val="009E7891"/>
    <w:rsid w:val="009E7AE0"/>
    <w:rsid w:val="009E7B7A"/>
    <w:rsid w:val="009E7FEB"/>
    <w:rsid w:val="009E7FEE"/>
    <w:rsid w:val="009F09E0"/>
    <w:rsid w:val="009F0D45"/>
    <w:rsid w:val="009F0DC1"/>
    <w:rsid w:val="009F157E"/>
    <w:rsid w:val="009F18B6"/>
    <w:rsid w:val="009F2069"/>
    <w:rsid w:val="009F2854"/>
    <w:rsid w:val="009F2A58"/>
    <w:rsid w:val="009F2EBE"/>
    <w:rsid w:val="009F2F98"/>
    <w:rsid w:val="009F35DC"/>
    <w:rsid w:val="009F363B"/>
    <w:rsid w:val="009F38D6"/>
    <w:rsid w:val="009F39C3"/>
    <w:rsid w:val="009F3AE7"/>
    <w:rsid w:val="009F3EC7"/>
    <w:rsid w:val="009F4343"/>
    <w:rsid w:val="009F499C"/>
    <w:rsid w:val="009F4DA1"/>
    <w:rsid w:val="009F55ED"/>
    <w:rsid w:val="009F5656"/>
    <w:rsid w:val="009F5B54"/>
    <w:rsid w:val="009F5E89"/>
    <w:rsid w:val="009F60BA"/>
    <w:rsid w:val="009F65A8"/>
    <w:rsid w:val="009F6C11"/>
    <w:rsid w:val="009F6E8F"/>
    <w:rsid w:val="009F6EF8"/>
    <w:rsid w:val="009F76F2"/>
    <w:rsid w:val="009F7DD4"/>
    <w:rsid w:val="00A0004D"/>
    <w:rsid w:val="00A00411"/>
    <w:rsid w:val="00A00776"/>
    <w:rsid w:val="00A00842"/>
    <w:rsid w:val="00A00C71"/>
    <w:rsid w:val="00A00F9A"/>
    <w:rsid w:val="00A01000"/>
    <w:rsid w:val="00A01252"/>
    <w:rsid w:val="00A01616"/>
    <w:rsid w:val="00A01C9C"/>
    <w:rsid w:val="00A01FBB"/>
    <w:rsid w:val="00A02EE0"/>
    <w:rsid w:val="00A030E2"/>
    <w:rsid w:val="00A03494"/>
    <w:rsid w:val="00A03760"/>
    <w:rsid w:val="00A041D5"/>
    <w:rsid w:val="00A0429A"/>
    <w:rsid w:val="00A042E8"/>
    <w:rsid w:val="00A0439C"/>
    <w:rsid w:val="00A051FA"/>
    <w:rsid w:val="00A0550F"/>
    <w:rsid w:val="00A05649"/>
    <w:rsid w:val="00A05937"/>
    <w:rsid w:val="00A05A88"/>
    <w:rsid w:val="00A05D89"/>
    <w:rsid w:val="00A0639B"/>
    <w:rsid w:val="00A0654C"/>
    <w:rsid w:val="00A0667B"/>
    <w:rsid w:val="00A0698E"/>
    <w:rsid w:val="00A06D5C"/>
    <w:rsid w:val="00A0769A"/>
    <w:rsid w:val="00A07CD2"/>
    <w:rsid w:val="00A10068"/>
    <w:rsid w:val="00A10200"/>
    <w:rsid w:val="00A1030A"/>
    <w:rsid w:val="00A103A8"/>
    <w:rsid w:val="00A105CD"/>
    <w:rsid w:val="00A1071D"/>
    <w:rsid w:val="00A10914"/>
    <w:rsid w:val="00A10A96"/>
    <w:rsid w:val="00A10A9E"/>
    <w:rsid w:val="00A10B7D"/>
    <w:rsid w:val="00A10C16"/>
    <w:rsid w:val="00A10E8A"/>
    <w:rsid w:val="00A10F94"/>
    <w:rsid w:val="00A110C5"/>
    <w:rsid w:val="00A11120"/>
    <w:rsid w:val="00A116EB"/>
    <w:rsid w:val="00A11A8C"/>
    <w:rsid w:val="00A11CA9"/>
    <w:rsid w:val="00A11F57"/>
    <w:rsid w:val="00A12C1F"/>
    <w:rsid w:val="00A12CA8"/>
    <w:rsid w:val="00A132B6"/>
    <w:rsid w:val="00A1338D"/>
    <w:rsid w:val="00A133B3"/>
    <w:rsid w:val="00A13896"/>
    <w:rsid w:val="00A13C41"/>
    <w:rsid w:val="00A13E3F"/>
    <w:rsid w:val="00A13FE9"/>
    <w:rsid w:val="00A141E3"/>
    <w:rsid w:val="00A14329"/>
    <w:rsid w:val="00A1450A"/>
    <w:rsid w:val="00A14BEF"/>
    <w:rsid w:val="00A15634"/>
    <w:rsid w:val="00A1589A"/>
    <w:rsid w:val="00A15914"/>
    <w:rsid w:val="00A159DD"/>
    <w:rsid w:val="00A15B06"/>
    <w:rsid w:val="00A15DBC"/>
    <w:rsid w:val="00A15F39"/>
    <w:rsid w:val="00A1604E"/>
    <w:rsid w:val="00A16181"/>
    <w:rsid w:val="00A1684C"/>
    <w:rsid w:val="00A16F48"/>
    <w:rsid w:val="00A16F6C"/>
    <w:rsid w:val="00A177B3"/>
    <w:rsid w:val="00A2021C"/>
    <w:rsid w:val="00A20705"/>
    <w:rsid w:val="00A20726"/>
    <w:rsid w:val="00A20948"/>
    <w:rsid w:val="00A215AF"/>
    <w:rsid w:val="00A21784"/>
    <w:rsid w:val="00A21BF3"/>
    <w:rsid w:val="00A21FD3"/>
    <w:rsid w:val="00A220E7"/>
    <w:rsid w:val="00A2216A"/>
    <w:rsid w:val="00A227FD"/>
    <w:rsid w:val="00A22836"/>
    <w:rsid w:val="00A228B8"/>
    <w:rsid w:val="00A22905"/>
    <w:rsid w:val="00A22A4C"/>
    <w:rsid w:val="00A22C28"/>
    <w:rsid w:val="00A22FC3"/>
    <w:rsid w:val="00A23286"/>
    <w:rsid w:val="00A23662"/>
    <w:rsid w:val="00A23AAF"/>
    <w:rsid w:val="00A23BCD"/>
    <w:rsid w:val="00A23F14"/>
    <w:rsid w:val="00A240B5"/>
    <w:rsid w:val="00A240ED"/>
    <w:rsid w:val="00A249E8"/>
    <w:rsid w:val="00A24A02"/>
    <w:rsid w:val="00A24B60"/>
    <w:rsid w:val="00A24BEE"/>
    <w:rsid w:val="00A24CF4"/>
    <w:rsid w:val="00A24D47"/>
    <w:rsid w:val="00A25193"/>
    <w:rsid w:val="00A252ED"/>
    <w:rsid w:val="00A25352"/>
    <w:rsid w:val="00A254B7"/>
    <w:rsid w:val="00A259C4"/>
    <w:rsid w:val="00A25AD5"/>
    <w:rsid w:val="00A25BAA"/>
    <w:rsid w:val="00A25BF8"/>
    <w:rsid w:val="00A25F24"/>
    <w:rsid w:val="00A25FEE"/>
    <w:rsid w:val="00A25FF4"/>
    <w:rsid w:val="00A26A67"/>
    <w:rsid w:val="00A26B46"/>
    <w:rsid w:val="00A26D5B"/>
    <w:rsid w:val="00A26DE9"/>
    <w:rsid w:val="00A27231"/>
    <w:rsid w:val="00A273F3"/>
    <w:rsid w:val="00A27488"/>
    <w:rsid w:val="00A27CCE"/>
    <w:rsid w:val="00A301DA"/>
    <w:rsid w:val="00A30342"/>
    <w:rsid w:val="00A30954"/>
    <w:rsid w:val="00A30BB9"/>
    <w:rsid w:val="00A30C35"/>
    <w:rsid w:val="00A310B0"/>
    <w:rsid w:val="00A313ED"/>
    <w:rsid w:val="00A31898"/>
    <w:rsid w:val="00A320EE"/>
    <w:rsid w:val="00A32517"/>
    <w:rsid w:val="00A32519"/>
    <w:rsid w:val="00A32955"/>
    <w:rsid w:val="00A32D18"/>
    <w:rsid w:val="00A32F97"/>
    <w:rsid w:val="00A32FBC"/>
    <w:rsid w:val="00A33351"/>
    <w:rsid w:val="00A335A1"/>
    <w:rsid w:val="00A33658"/>
    <w:rsid w:val="00A338A3"/>
    <w:rsid w:val="00A33A7B"/>
    <w:rsid w:val="00A33F85"/>
    <w:rsid w:val="00A34926"/>
    <w:rsid w:val="00A34943"/>
    <w:rsid w:val="00A34FBA"/>
    <w:rsid w:val="00A355A1"/>
    <w:rsid w:val="00A3594D"/>
    <w:rsid w:val="00A35A1E"/>
    <w:rsid w:val="00A35B17"/>
    <w:rsid w:val="00A35F73"/>
    <w:rsid w:val="00A36289"/>
    <w:rsid w:val="00A3632D"/>
    <w:rsid w:val="00A366E7"/>
    <w:rsid w:val="00A3677D"/>
    <w:rsid w:val="00A36B28"/>
    <w:rsid w:val="00A36F22"/>
    <w:rsid w:val="00A37692"/>
    <w:rsid w:val="00A37987"/>
    <w:rsid w:val="00A37C02"/>
    <w:rsid w:val="00A37E2C"/>
    <w:rsid w:val="00A37F02"/>
    <w:rsid w:val="00A37F93"/>
    <w:rsid w:val="00A4056F"/>
    <w:rsid w:val="00A40C61"/>
    <w:rsid w:val="00A40C7D"/>
    <w:rsid w:val="00A40CA0"/>
    <w:rsid w:val="00A41535"/>
    <w:rsid w:val="00A41652"/>
    <w:rsid w:val="00A41948"/>
    <w:rsid w:val="00A41BCB"/>
    <w:rsid w:val="00A41EFA"/>
    <w:rsid w:val="00A42080"/>
    <w:rsid w:val="00A421CC"/>
    <w:rsid w:val="00A42562"/>
    <w:rsid w:val="00A4258D"/>
    <w:rsid w:val="00A4262D"/>
    <w:rsid w:val="00A426DE"/>
    <w:rsid w:val="00A427D3"/>
    <w:rsid w:val="00A42A5B"/>
    <w:rsid w:val="00A42AF2"/>
    <w:rsid w:val="00A42E8F"/>
    <w:rsid w:val="00A42EB6"/>
    <w:rsid w:val="00A434B5"/>
    <w:rsid w:val="00A43AE0"/>
    <w:rsid w:val="00A43DA9"/>
    <w:rsid w:val="00A4452E"/>
    <w:rsid w:val="00A44A74"/>
    <w:rsid w:val="00A44D9B"/>
    <w:rsid w:val="00A45039"/>
    <w:rsid w:val="00A450D3"/>
    <w:rsid w:val="00A45508"/>
    <w:rsid w:val="00A45682"/>
    <w:rsid w:val="00A457AB"/>
    <w:rsid w:val="00A4615D"/>
    <w:rsid w:val="00A46661"/>
    <w:rsid w:val="00A46899"/>
    <w:rsid w:val="00A46F11"/>
    <w:rsid w:val="00A471ED"/>
    <w:rsid w:val="00A47764"/>
    <w:rsid w:val="00A47852"/>
    <w:rsid w:val="00A47A9F"/>
    <w:rsid w:val="00A47B0B"/>
    <w:rsid w:val="00A47D88"/>
    <w:rsid w:val="00A47F8E"/>
    <w:rsid w:val="00A503C6"/>
    <w:rsid w:val="00A50C8A"/>
    <w:rsid w:val="00A50D75"/>
    <w:rsid w:val="00A50F7D"/>
    <w:rsid w:val="00A51681"/>
    <w:rsid w:val="00A518EB"/>
    <w:rsid w:val="00A51BB0"/>
    <w:rsid w:val="00A522AB"/>
    <w:rsid w:val="00A5230D"/>
    <w:rsid w:val="00A523B7"/>
    <w:rsid w:val="00A52630"/>
    <w:rsid w:val="00A527DA"/>
    <w:rsid w:val="00A52812"/>
    <w:rsid w:val="00A52C55"/>
    <w:rsid w:val="00A52E03"/>
    <w:rsid w:val="00A52E71"/>
    <w:rsid w:val="00A5307E"/>
    <w:rsid w:val="00A531A6"/>
    <w:rsid w:val="00A532EC"/>
    <w:rsid w:val="00A53430"/>
    <w:rsid w:val="00A5347B"/>
    <w:rsid w:val="00A53857"/>
    <w:rsid w:val="00A539BD"/>
    <w:rsid w:val="00A53C57"/>
    <w:rsid w:val="00A5465E"/>
    <w:rsid w:val="00A5476C"/>
    <w:rsid w:val="00A54805"/>
    <w:rsid w:val="00A552B1"/>
    <w:rsid w:val="00A55473"/>
    <w:rsid w:val="00A558B3"/>
    <w:rsid w:val="00A55C1F"/>
    <w:rsid w:val="00A55FF1"/>
    <w:rsid w:val="00A56136"/>
    <w:rsid w:val="00A56167"/>
    <w:rsid w:val="00A5620E"/>
    <w:rsid w:val="00A5630C"/>
    <w:rsid w:val="00A56318"/>
    <w:rsid w:val="00A56B20"/>
    <w:rsid w:val="00A56BE2"/>
    <w:rsid w:val="00A56CAC"/>
    <w:rsid w:val="00A57077"/>
    <w:rsid w:val="00A576FF"/>
    <w:rsid w:val="00A57C8B"/>
    <w:rsid w:val="00A600A3"/>
    <w:rsid w:val="00A600DC"/>
    <w:rsid w:val="00A60516"/>
    <w:rsid w:val="00A605CB"/>
    <w:rsid w:val="00A6083D"/>
    <w:rsid w:val="00A610AE"/>
    <w:rsid w:val="00A6127E"/>
    <w:rsid w:val="00A6138F"/>
    <w:rsid w:val="00A61740"/>
    <w:rsid w:val="00A61EFD"/>
    <w:rsid w:val="00A6223A"/>
    <w:rsid w:val="00A62AA3"/>
    <w:rsid w:val="00A62F93"/>
    <w:rsid w:val="00A631BC"/>
    <w:rsid w:val="00A634C8"/>
    <w:rsid w:val="00A6376B"/>
    <w:rsid w:val="00A63F02"/>
    <w:rsid w:val="00A64364"/>
    <w:rsid w:val="00A64452"/>
    <w:rsid w:val="00A644D8"/>
    <w:rsid w:val="00A64A89"/>
    <w:rsid w:val="00A64BCD"/>
    <w:rsid w:val="00A64C25"/>
    <w:rsid w:val="00A64F7A"/>
    <w:rsid w:val="00A6500A"/>
    <w:rsid w:val="00A65085"/>
    <w:rsid w:val="00A65282"/>
    <w:rsid w:val="00A6541D"/>
    <w:rsid w:val="00A65799"/>
    <w:rsid w:val="00A65CAC"/>
    <w:rsid w:val="00A65EDF"/>
    <w:rsid w:val="00A661AF"/>
    <w:rsid w:val="00A66276"/>
    <w:rsid w:val="00A6695B"/>
    <w:rsid w:val="00A66A26"/>
    <w:rsid w:val="00A66AA3"/>
    <w:rsid w:val="00A66D72"/>
    <w:rsid w:val="00A66E0F"/>
    <w:rsid w:val="00A6734E"/>
    <w:rsid w:val="00A67548"/>
    <w:rsid w:val="00A675E3"/>
    <w:rsid w:val="00A67A59"/>
    <w:rsid w:val="00A70070"/>
    <w:rsid w:val="00A701B9"/>
    <w:rsid w:val="00A7085D"/>
    <w:rsid w:val="00A7090B"/>
    <w:rsid w:val="00A70DCD"/>
    <w:rsid w:val="00A7100A"/>
    <w:rsid w:val="00A71189"/>
    <w:rsid w:val="00A712B7"/>
    <w:rsid w:val="00A713AA"/>
    <w:rsid w:val="00A71C91"/>
    <w:rsid w:val="00A71E71"/>
    <w:rsid w:val="00A72083"/>
    <w:rsid w:val="00A720B3"/>
    <w:rsid w:val="00A729D1"/>
    <w:rsid w:val="00A72B44"/>
    <w:rsid w:val="00A73433"/>
    <w:rsid w:val="00A73C6A"/>
    <w:rsid w:val="00A73CFD"/>
    <w:rsid w:val="00A740C8"/>
    <w:rsid w:val="00A745D4"/>
    <w:rsid w:val="00A7498F"/>
    <w:rsid w:val="00A74A1B"/>
    <w:rsid w:val="00A74AF7"/>
    <w:rsid w:val="00A7518F"/>
    <w:rsid w:val="00A7524F"/>
    <w:rsid w:val="00A75372"/>
    <w:rsid w:val="00A7547F"/>
    <w:rsid w:val="00A757EA"/>
    <w:rsid w:val="00A75AE5"/>
    <w:rsid w:val="00A75CDC"/>
    <w:rsid w:val="00A76028"/>
    <w:rsid w:val="00A76117"/>
    <w:rsid w:val="00A7625F"/>
    <w:rsid w:val="00A76514"/>
    <w:rsid w:val="00A7694C"/>
    <w:rsid w:val="00A76AF0"/>
    <w:rsid w:val="00A77308"/>
    <w:rsid w:val="00A7740E"/>
    <w:rsid w:val="00A7750D"/>
    <w:rsid w:val="00A77C95"/>
    <w:rsid w:val="00A77D8A"/>
    <w:rsid w:val="00A77DE6"/>
    <w:rsid w:val="00A80021"/>
    <w:rsid w:val="00A8065B"/>
    <w:rsid w:val="00A80851"/>
    <w:rsid w:val="00A80901"/>
    <w:rsid w:val="00A80A77"/>
    <w:rsid w:val="00A80AEC"/>
    <w:rsid w:val="00A80FE5"/>
    <w:rsid w:val="00A81289"/>
    <w:rsid w:val="00A8136B"/>
    <w:rsid w:val="00A81EB9"/>
    <w:rsid w:val="00A8228D"/>
    <w:rsid w:val="00A82365"/>
    <w:rsid w:val="00A82A1E"/>
    <w:rsid w:val="00A82D0A"/>
    <w:rsid w:val="00A82FBC"/>
    <w:rsid w:val="00A83845"/>
    <w:rsid w:val="00A83A8C"/>
    <w:rsid w:val="00A83D1D"/>
    <w:rsid w:val="00A83D59"/>
    <w:rsid w:val="00A83F86"/>
    <w:rsid w:val="00A841E8"/>
    <w:rsid w:val="00A84A2A"/>
    <w:rsid w:val="00A84E2B"/>
    <w:rsid w:val="00A84ED3"/>
    <w:rsid w:val="00A8516F"/>
    <w:rsid w:val="00A8588B"/>
    <w:rsid w:val="00A858B4"/>
    <w:rsid w:val="00A863D7"/>
    <w:rsid w:val="00A86876"/>
    <w:rsid w:val="00A869CE"/>
    <w:rsid w:val="00A86A3F"/>
    <w:rsid w:val="00A86F89"/>
    <w:rsid w:val="00A8749C"/>
    <w:rsid w:val="00A8757A"/>
    <w:rsid w:val="00A87721"/>
    <w:rsid w:val="00A87C0A"/>
    <w:rsid w:val="00A87EE2"/>
    <w:rsid w:val="00A900BA"/>
    <w:rsid w:val="00A9022A"/>
    <w:rsid w:val="00A90470"/>
    <w:rsid w:val="00A90905"/>
    <w:rsid w:val="00A90ABC"/>
    <w:rsid w:val="00A90CB2"/>
    <w:rsid w:val="00A90EC6"/>
    <w:rsid w:val="00A91064"/>
    <w:rsid w:val="00A9127A"/>
    <w:rsid w:val="00A9132B"/>
    <w:rsid w:val="00A913EE"/>
    <w:rsid w:val="00A91534"/>
    <w:rsid w:val="00A91559"/>
    <w:rsid w:val="00A9155B"/>
    <w:rsid w:val="00A92290"/>
    <w:rsid w:val="00A92565"/>
    <w:rsid w:val="00A92737"/>
    <w:rsid w:val="00A92DCA"/>
    <w:rsid w:val="00A92E50"/>
    <w:rsid w:val="00A9314A"/>
    <w:rsid w:val="00A93442"/>
    <w:rsid w:val="00A934CF"/>
    <w:rsid w:val="00A939C2"/>
    <w:rsid w:val="00A93A23"/>
    <w:rsid w:val="00A93C90"/>
    <w:rsid w:val="00A93FAB"/>
    <w:rsid w:val="00A93FC3"/>
    <w:rsid w:val="00A941AF"/>
    <w:rsid w:val="00A94343"/>
    <w:rsid w:val="00A9454C"/>
    <w:rsid w:val="00A94643"/>
    <w:rsid w:val="00A94D6B"/>
    <w:rsid w:val="00A94D6C"/>
    <w:rsid w:val="00A94ECA"/>
    <w:rsid w:val="00A955E4"/>
    <w:rsid w:val="00A9596A"/>
    <w:rsid w:val="00A96714"/>
    <w:rsid w:val="00A96828"/>
    <w:rsid w:val="00A968B5"/>
    <w:rsid w:val="00A9697F"/>
    <w:rsid w:val="00A96CE9"/>
    <w:rsid w:val="00A97552"/>
    <w:rsid w:val="00A97613"/>
    <w:rsid w:val="00A979DF"/>
    <w:rsid w:val="00A97B52"/>
    <w:rsid w:val="00A97E06"/>
    <w:rsid w:val="00AA00B9"/>
    <w:rsid w:val="00AA0388"/>
    <w:rsid w:val="00AA0403"/>
    <w:rsid w:val="00AA055D"/>
    <w:rsid w:val="00AA0834"/>
    <w:rsid w:val="00AA0ABB"/>
    <w:rsid w:val="00AA0D9D"/>
    <w:rsid w:val="00AA0EC0"/>
    <w:rsid w:val="00AA1625"/>
    <w:rsid w:val="00AA1661"/>
    <w:rsid w:val="00AA18AA"/>
    <w:rsid w:val="00AA1BFE"/>
    <w:rsid w:val="00AA2026"/>
    <w:rsid w:val="00AA2058"/>
    <w:rsid w:val="00AA207A"/>
    <w:rsid w:val="00AA216F"/>
    <w:rsid w:val="00AA217B"/>
    <w:rsid w:val="00AA2777"/>
    <w:rsid w:val="00AA2925"/>
    <w:rsid w:val="00AA2991"/>
    <w:rsid w:val="00AA2995"/>
    <w:rsid w:val="00AA2E08"/>
    <w:rsid w:val="00AA32AE"/>
    <w:rsid w:val="00AA388D"/>
    <w:rsid w:val="00AA3924"/>
    <w:rsid w:val="00AA3BE9"/>
    <w:rsid w:val="00AA3DEE"/>
    <w:rsid w:val="00AA3EC6"/>
    <w:rsid w:val="00AA4079"/>
    <w:rsid w:val="00AA40BA"/>
    <w:rsid w:val="00AA427C"/>
    <w:rsid w:val="00AA42E2"/>
    <w:rsid w:val="00AA42FA"/>
    <w:rsid w:val="00AA4788"/>
    <w:rsid w:val="00AA4937"/>
    <w:rsid w:val="00AA49C1"/>
    <w:rsid w:val="00AA4A78"/>
    <w:rsid w:val="00AA4C1C"/>
    <w:rsid w:val="00AA4E77"/>
    <w:rsid w:val="00AA4EAC"/>
    <w:rsid w:val="00AA51B7"/>
    <w:rsid w:val="00AA569B"/>
    <w:rsid w:val="00AA58DE"/>
    <w:rsid w:val="00AA592C"/>
    <w:rsid w:val="00AA5BBE"/>
    <w:rsid w:val="00AA5E4B"/>
    <w:rsid w:val="00AA5EA5"/>
    <w:rsid w:val="00AA6316"/>
    <w:rsid w:val="00AA63D1"/>
    <w:rsid w:val="00AA64E0"/>
    <w:rsid w:val="00AA64FC"/>
    <w:rsid w:val="00AA6646"/>
    <w:rsid w:val="00AA6917"/>
    <w:rsid w:val="00AA6A68"/>
    <w:rsid w:val="00AA6B8A"/>
    <w:rsid w:val="00AA6CC2"/>
    <w:rsid w:val="00AA6D7B"/>
    <w:rsid w:val="00AA6F70"/>
    <w:rsid w:val="00AA7032"/>
    <w:rsid w:val="00AA706D"/>
    <w:rsid w:val="00AA71FA"/>
    <w:rsid w:val="00AA73A0"/>
    <w:rsid w:val="00AB048C"/>
    <w:rsid w:val="00AB09A5"/>
    <w:rsid w:val="00AB0D3C"/>
    <w:rsid w:val="00AB0D6B"/>
    <w:rsid w:val="00AB0E84"/>
    <w:rsid w:val="00AB0F9C"/>
    <w:rsid w:val="00AB105D"/>
    <w:rsid w:val="00AB1F36"/>
    <w:rsid w:val="00AB2367"/>
    <w:rsid w:val="00AB2582"/>
    <w:rsid w:val="00AB2B68"/>
    <w:rsid w:val="00AB2D74"/>
    <w:rsid w:val="00AB300D"/>
    <w:rsid w:val="00AB3224"/>
    <w:rsid w:val="00AB3319"/>
    <w:rsid w:val="00AB34C8"/>
    <w:rsid w:val="00AB372B"/>
    <w:rsid w:val="00AB387D"/>
    <w:rsid w:val="00AB3EBE"/>
    <w:rsid w:val="00AB42FF"/>
    <w:rsid w:val="00AB43C0"/>
    <w:rsid w:val="00AB4598"/>
    <w:rsid w:val="00AB47C0"/>
    <w:rsid w:val="00AB51D9"/>
    <w:rsid w:val="00AB5201"/>
    <w:rsid w:val="00AB53B0"/>
    <w:rsid w:val="00AB552B"/>
    <w:rsid w:val="00AB599E"/>
    <w:rsid w:val="00AB5A41"/>
    <w:rsid w:val="00AB6090"/>
    <w:rsid w:val="00AB62A9"/>
    <w:rsid w:val="00AB660E"/>
    <w:rsid w:val="00AB66A2"/>
    <w:rsid w:val="00AB7136"/>
    <w:rsid w:val="00AB74C3"/>
    <w:rsid w:val="00AB7654"/>
    <w:rsid w:val="00AB7B83"/>
    <w:rsid w:val="00AB7C28"/>
    <w:rsid w:val="00AB7D42"/>
    <w:rsid w:val="00AC004B"/>
    <w:rsid w:val="00AC0790"/>
    <w:rsid w:val="00AC07F4"/>
    <w:rsid w:val="00AC0843"/>
    <w:rsid w:val="00AC0E2A"/>
    <w:rsid w:val="00AC0F6A"/>
    <w:rsid w:val="00AC1276"/>
    <w:rsid w:val="00AC13A1"/>
    <w:rsid w:val="00AC1A08"/>
    <w:rsid w:val="00AC1F59"/>
    <w:rsid w:val="00AC1F72"/>
    <w:rsid w:val="00AC2A19"/>
    <w:rsid w:val="00AC2A2B"/>
    <w:rsid w:val="00AC2E22"/>
    <w:rsid w:val="00AC2FC5"/>
    <w:rsid w:val="00AC3C7E"/>
    <w:rsid w:val="00AC3CBF"/>
    <w:rsid w:val="00AC3DE0"/>
    <w:rsid w:val="00AC3EB9"/>
    <w:rsid w:val="00AC3F8E"/>
    <w:rsid w:val="00AC3FD0"/>
    <w:rsid w:val="00AC456F"/>
    <w:rsid w:val="00AC46D1"/>
    <w:rsid w:val="00AC514B"/>
    <w:rsid w:val="00AC52BC"/>
    <w:rsid w:val="00AC570D"/>
    <w:rsid w:val="00AC5B7D"/>
    <w:rsid w:val="00AC5E14"/>
    <w:rsid w:val="00AC5EF1"/>
    <w:rsid w:val="00AC607D"/>
    <w:rsid w:val="00AC6535"/>
    <w:rsid w:val="00AC6568"/>
    <w:rsid w:val="00AC67F2"/>
    <w:rsid w:val="00AC6955"/>
    <w:rsid w:val="00AC69C6"/>
    <w:rsid w:val="00AC69D9"/>
    <w:rsid w:val="00AC7120"/>
    <w:rsid w:val="00AC73A7"/>
    <w:rsid w:val="00AC7473"/>
    <w:rsid w:val="00AC747C"/>
    <w:rsid w:val="00AC7BEF"/>
    <w:rsid w:val="00AC7DF9"/>
    <w:rsid w:val="00AD0128"/>
    <w:rsid w:val="00AD051B"/>
    <w:rsid w:val="00AD07DC"/>
    <w:rsid w:val="00AD09F4"/>
    <w:rsid w:val="00AD0BC8"/>
    <w:rsid w:val="00AD0C84"/>
    <w:rsid w:val="00AD0E04"/>
    <w:rsid w:val="00AD0E6E"/>
    <w:rsid w:val="00AD12E4"/>
    <w:rsid w:val="00AD13B9"/>
    <w:rsid w:val="00AD13CA"/>
    <w:rsid w:val="00AD145C"/>
    <w:rsid w:val="00AD14B2"/>
    <w:rsid w:val="00AD15E4"/>
    <w:rsid w:val="00AD167E"/>
    <w:rsid w:val="00AD18E0"/>
    <w:rsid w:val="00AD1A23"/>
    <w:rsid w:val="00AD1C3D"/>
    <w:rsid w:val="00AD2457"/>
    <w:rsid w:val="00AD2B39"/>
    <w:rsid w:val="00AD2F1A"/>
    <w:rsid w:val="00AD3233"/>
    <w:rsid w:val="00AD34D2"/>
    <w:rsid w:val="00AD36FE"/>
    <w:rsid w:val="00AD38CB"/>
    <w:rsid w:val="00AD38F4"/>
    <w:rsid w:val="00AD3A7E"/>
    <w:rsid w:val="00AD3BB7"/>
    <w:rsid w:val="00AD3C31"/>
    <w:rsid w:val="00AD3E2C"/>
    <w:rsid w:val="00AD3E70"/>
    <w:rsid w:val="00AD4563"/>
    <w:rsid w:val="00AD4567"/>
    <w:rsid w:val="00AD4687"/>
    <w:rsid w:val="00AD4A06"/>
    <w:rsid w:val="00AD4BC6"/>
    <w:rsid w:val="00AD4CAA"/>
    <w:rsid w:val="00AD4FF8"/>
    <w:rsid w:val="00AD56D6"/>
    <w:rsid w:val="00AD5851"/>
    <w:rsid w:val="00AD59FB"/>
    <w:rsid w:val="00AD6900"/>
    <w:rsid w:val="00AD6C2A"/>
    <w:rsid w:val="00AD6C99"/>
    <w:rsid w:val="00AD6D09"/>
    <w:rsid w:val="00AD7499"/>
    <w:rsid w:val="00AD76E7"/>
    <w:rsid w:val="00AD7B27"/>
    <w:rsid w:val="00AE07C0"/>
    <w:rsid w:val="00AE0B13"/>
    <w:rsid w:val="00AE0F60"/>
    <w:rsid w:val="00AE1334"/>
    <w:rsid w:val="00AE154A"/>
    <w:rsid w:val="00AE15EE"/>
    <w:rsid w:val="00AE15F2"/>
    <w:rsid w:val="00AE16BE"/>
    <w:rsid w:val="00AE1998"/>
    <w:rsid w:val="00AE1A23"/>
    <w:rsid w:val="00AE20DF"/>
    <w:rsid w:val="00AE217B"/>
    <w:rsid w:val="00AE255B"/>
    <w:rsid w:val="00AE2A4C"/>
    <w:rsid w:val="00AE2BE9"/>
    <w:rsid w:val="00AE2C66"/>
    <w:rsid w:val="00AE2E03"/>
    <w:rsid w:val="00AE345E"/>
    <w:rsid w:val="00AE34D0"/>
    <w:rsid w:val="00AE363A"/>
    <w:rsid w:val="00AE3BBF"/>
    <w:rsid w:val="00AE400F"/>
    <w:rsid w:val="00AE410D"/>
    <w:rsid w:val="00AE4306"/>
    <w:rsid w:val="00AE4943"/>
    <w:rsid w:val="00AE49E1"/>
    <w:rsid w:val="00AE4E81"/>
    <w:rsid w:val="00AE4F43"/>
    <w:rsid w:val="00AE5186"/>
    <w:rsid w:val="00AE5230"/>
    <w:rsid w:val="00AE5B9E"/>
    <w:rsid w:val="00AE5D03"/>
    <w:rsid w:val="00AE603F"/>
    <w:rsid w:val="00AE6FD3"/>
    <w:rsid w:val="00AE74C2"/>
    <w:rsid w:val="00AE75B8"/>
    <w:rsid w:val="00AE784D"/>
    <w:rsid w:val="00AE793A"/>
    <w:rsid w:val="00AE7A60"/>
    <w:rsid w:val="00AE7BEF"/>
    <w:rsid w:val="00AE7D6B"/>
    <w:rsid w:val="00AE7DC1"/>
    <w:rsid w:val="00AE7E17"/>
    <w:rsid w:val="00AE7FB6"/>
    <w:rsid w:val="00AF015F"/>
    <w:rsid w:val="00AF04C6"/>
    <w:rsid w:val="00AF0925"/>
    <w:rsid w:val="00AF0EF2"/>
    <w:rsid w:val="00AF1335"/>
    <w:rsid w:val="00AF171B"/>
    <w:rsid w:val="00AF1788"/>
    <w:rsid w:val="00AF17C3"/>
    <w:rsid w:val="00AF1EAB"/>
    <w:rsid w:val="00AF1ED6"/>
    <w:rsid w:val="00AF2114"/>
    <w:rsid w:val="00AF24F3"/>
    <w:rsid w:val="00AF2639"/>
    <w:rsid w:val="00AF280A"/>
    <w:rsid w:val="00AF29DB"/>
    <w:rsid w:val="00AF2A13"/>
    <w:rsid w:val="00AF2BF3"/>
    <w:rsid w:val="00AF3347"/>
    <w:rsid w:val="00AF3444"/>
    <w:rsid w:val="00AF3687"/>
    <w:rsid w:val="00AF36A8"/>
    <w:rsid w:val="00AF37A3"/>
    <w:rsid w:val="00AF44C5"/>
    <w:rsid w:val="00AF4AF6"/>
    <w:rsid w:val="00AF4BBA"/>
    <w:rsid w:val="00AF4BC6"/>
    <w:rsid w:val="00AF5089"/>
    <w:rsid w:val="00AF55A5"/>
    <w:rsid w:val="00AF57F6"/>
    <w:rsid w:val="00AF599A"/>
    <w:rsid w:val="00AF5D42"/>
    <w:rsid w:val="00AF5DEC"/>
    <w:rsid w:val="00AF5E15"/>
    <w:rsid w:val="00AF5F47"/>
    <w:rsid w:val="00AF5F55"/>
    <w:rsid w:val="00AF6078"/>
    <w:rsid w:val="00AF608E"/>
    <w:rsid w:val="00AF67C6"/>
    <w:rsid w:val="00AF691B"/>
    <w:rsid w:val="00AF7369"/>
    <w:rsid w:val="00AF744A"/>
    <w:rsid w:val="00AF75BD"/>
    <w:rsid w:val="00AF78C5"/>
    <w:rsid w:val="00AF7D6E"/>
    <w:rsid w:val="00AF7E09"/>
    <w:rsid w:val="00B0043F"/>
    <w:rsid w:val="00B009D6"/>
    <w:rsid w:val="00B00B43"/>
    <w:rsid w:val="00B00CB5"/>
    <w:rsid w:val="00B00CF1"/>
    <w:rsid w:val="00B0103A"/>
    <w:rsid w:val="00B010F8"/>
    <w:rsid w:val="00B01CB4"/>
    <w:rsid w:val="00B032F8"/>
    <w:rsid w:val="00B038E3"/>
    <w:rsid w:val="00B03B15"/>
    <w:rsid w:val="00B03DBA"/>
    <w:rsid w:val="00B04918"/>
    <w:rsid w:val="00B04E5F"/>
    <w:rsid w:val="00B04EC7"/>
    <w:rsid w:val="00B0525E"/>
    <w:rsid w:val="00B053AE"/>
    <w:rsid w:val="00B05531"/>
    <w:rsid w:val="00B058AD"/>
    <w:rsid w:val="00B05A83"/>
    <w:rsid w:val="00B0680C"/>
    <w:rsid w:val="00B06884"/>
    <w:rsid w:val="00B06D1B"/>
    <w:rsid w:val="00B073DE"/>
    <w:rsid w:val="00B07511"/>
    <w:rsid w:val="00B07591"/>
    <w:rsid w:val="00B07AFD"/>
    <w:rsid w:val="00B07FF1"/>
    <w:rsid w:val="00B105B2"/>
    <w:rsid w:val="00B108AE"/>
    <w:rsid w:val="00B108D0"/>
    <w:rsid w:val="00B11101"/>
    <w:rsid w:val="00B1117B"/>
    <w:rsid w:val="00B111BC"/>
    <w:rsid w:val="00B11206"/>
    <w:rsid w:val="00B114EC"/>
    <w:rsid w:val="00B117B6"/>
    <w:rsid w:val="00B11907"/>
    <w:rsid w:val="00B11CFE"/>
    <w:rsid w:val="00B11D6C"/>
    <w:rsid w:val="00B11FDB"/>
    <w:rsid w:val="00B12370"/>
    <w:rsid w:val="00B1260B"/>
    <w:rsid w:val="00B12857"/>
    <w:rsid w:val="00B12916"/>
    <w:rsid w:val="00B12BD7"/>
    <w:rsid w:val="00B12BF0"/>
    <w:rsid w:val="00B12C8B"/>
    <w:rsid w:val="00B13263"/>
    <w:rsid w:val="00B13504"/>
    <w:rsid w:val="00B1351C"/>
    <w:rsid w:val="00B135E1"/>
    <w:rsid w:val="00B14306"/>
    <w:rsid w:val="00B143AD"/>
    <w:rsid w:val="00B143BC"/>
    <w:rsid w:val="00B144F3"/>
    <w:rsid w:val="00B14634"/>
    <w:rsid w:val="00B148E7"/>
    <w:rsid w:val="00B1494B"/>
    <w:rsid w:val="00B14A8C"/>
    <w:rsid w:val="00B15291"/>
    <w:rsid w:val="00B1530C"/>
    <w:rsid w:val="00B15767"/>
    <w:rsid w:val="00B157F1"/>
    <w:rsid w:val="00B159A7"/>
    <w:rsid w:val="00B15D5B"/>
    <w:rsid w:val="00B160B7"/>
    <w:rsid w:val="00B16329"/>
    <w:rsid w:val="00B1638D"/>
    <w:rsid w:val="00B168D4"/>
    <w:rsid w:val="00B1694B"/>
    <w:rsid w:val="00B16A56"/>
    <w:rsid w:val="00B16A8A"/>
    <w:rsid w:val="00B16DE7"/>
    <w:rsid w:val="00B16E5B"/>
    <w:rsid w:val="00B174CE"/>
    <w:rsid w:val="00B1787E"/>
    <w:rsid w:val="00B178DA"/>
    <w:rsid w:val="00B17B42"/>
    <w:rsid w:val="00B17D47"/>
    <w:rsid w:val="00B17F4D"/>
    <w:rsid w:val="00B17F7B"/>
    <w:rsid w:val="00B20003"/>
    <w:rsid w:val="00B20D55"/>
    <w:rsid w:val="00B21017"/>
    <w:rsid w:val="00B21229"/>
    <w:rsid w:val="00B21262"/>
    <w:rsid w:val="00B2126C"/>
    <w:rsid w:val="00B21C29"/>
    <w:rsid w:val="00B21C2E"/>
    <w:rsid w:val="00B21D44"/>
    <w:rsid w:val="00B21E29"/>
    <w:rsid w:val="00B21E6E"/>
    <w:rsid w:val="00B22494"/>
    <w:rsid w:val="00B225AF"/>
    <w:rsid w:val="00B22603"/>
    <w:rsid w:val="00B22705"/>
    <w:rsid w:val="00B22772"/>
    <w:rsid w:val="00B22C7F"/>
    <w:rsid w:val="00B23008"/>
    <w:rsid w:val="00B2339D"/>
    <w:rsid w:val="00B237D4"/>
    <w:rsid w:val="00B23893"/>
    <w:rsid w:val="00B238F7"/>
    <w:rsid w:val="00B23961"/>
    <w:rsid w:val="00B239EE"/>
    <w:rsid w:val="00B23C5D"/>
    <w:rsid w:val="00B23E34"/>
    <w:rsid w:val="00B23E7F"/>
    <w:rsid w:val="00B240C1"/>
    <w:rsid w:val="00B243F7"/>
    <w:rsid w:val="00B2493F"/>
    <w:rsid w:val="00B24C4E"/>
    <w:rsid w:val="00B252A0"/>
    <w:rsid w:val="00B25688"/>
    <w:rsid w:val="00B25E7B"/>
    <w:rsid w:val="00B2635B"/>
    <w:rsid w:val="00B266BE"/>
    <w:rsid w:val="00B26A1E"/>
    <w:rsid w:val="00B27098"/>
    <w:rsid w:val="00B274DB"/>
    <w:rsid w:val="00B27709"/>
    <w:rsid w:val="00B277AB"/>
    <w:rsid w:val="00B2789B"/>
    <w:rsid w:val="00B27A0A"/>
    <w:rsid w:val="00B27B30"/>
    <w:rsid w:val="00B27D36"/>
    <w:rsid w:val="00B27DAC"/>
    <w:rsid w:val="00B27ECA"/>
    <w:rsid w:val="00B27FEE"/>
    <w:rsid w:val="00B30006"/>
    <w:rsid w:val="00B30BF5"/>
    <w:rsid w:val="00B30E7D"/>
    <w:rsid w:val="00B31321"/>
    <w:rsid w:val="00B31440"/>
    <w:rsid w:val="00B314FA"/>
    <w:rsid w:val="00B318B8"/>
    <w:rsid w:val="00B3197B"/>
    <w:rsid w:val="00B31D62"/>
    <w:rsid w:val="00B320B3"/>
    <w:rsid w:val="00B3213F"/>
    <w:rsid w:val="00B321B7"/>
    <w:rsid w:val="00B324B1"/>
    <w:rsid w:val="00B325A3"/>
    <w:rsid w:val="00B32937"/>
    <w:rsid w:val="00B329E8"/>
    <w:rsid w:val="00B32F3A"/>
    <w:rsid w:val="00B32FC2"/>
    <w:rsid w:val="00B3308E"/>
    <w:rsid w:val="00B33171"/>
    <w:rsid w:val="00B3346D"/>
    <w:rsid w:val="00B33B10"/>
    <w:rsid w:val="00B33B5F"/>
    <w:rsid w:val="00B33EE5"/>
    <w:rsid w:val="00B34350"/>
    <w:rsid w:val="00B343FC"/>
    <w:rsid w:val="00B34D9D"/>
    <w:rsid w:val="00B351EE"/>
    <w:rsid w:val="00B353D0"/>
    <w:rsid w:val="00B3540B"/>
    <w:rsid w:val="00B3582A"/>
    <w:rsid w:val="00B35845"/>
    <w:rsid w:val="00B359CE"/>
    <w:rsid w:val="00B35E85"/>
    <w:rsid w:val="00B36024"/>
    <w:rsid w:val="00B366EB"/>
    <w:rsid w:val="00B36B61"/>
    <w:rsid w:val="00B36CE0"/>
    <w:rsid w:val="00B36EAD"/>
    <w:rsid w:val="00B37083"/>
    <w:rsid w:val="00B372B2"/>
    <w:rsid w:val="00B37A8D"/>
    <w:rsid w:val="00B37C35"/>
    <w:rsid w:val="00B4011A"/>
    <w:rsid w:val="00B4042F"/>
    <w:rsid w:val="00B40607"/>
    <w:rsid w:val="00B4098C"/>
    <w:rsid w:val="00B409F2"/>
    <w:rsid w:val="00B40D0B"/>
    <w:rsid w:val="00B4117F"/>
    <w:rsid w:val="00B411DA"/>
    <w:rsid w:val="00B4123B"/>
    <w:rsid w:val="00B418A1"/>
    <w:rsid w:val="00B41925"/>
    <w:rsid w:val="00B41A56"/>
    <w:rsid w:val="00B4227E"/>
    <w:rsid w:val="00B42563"/>
    <w:rsid w:val="00B429EC"/>
    <w:rsid w:val="00B42DFE"/>
    <w:rsid w:val="00B430F6"/>
    <w:rsid w:val="00B43184"/>
    <w:rsid w:val="00B435E1"/>
    <w:rsid w:val="00B43DCB"/>
    <w:rsid w:val="00B444F7"/>
    <w:rsid w:val="00B448E9"/>
    <w:rsid w:val="00B44938"/>
    <w:rsid w:val="00B44AB1"/>
    <w:rsid w:val="00B44D53"/>
    <w:rsid w:val="00B44D74"/>
    <w:rsid w:val="00B45905"/>
    <w:rsid w:val="00B45AE6"/>
    <w:rsid w:val="00B45BF7"/>
    <w:rsid w:val="00B45FDF"/>
    <w:rsid w:val="00B465F5"/>
    <w:rsid w:val="00B46CD7"/>
    <w:rsid w:val="00B46CF4"/>
    <w:rsid w:val="00B46E86"/>
    <w:rsid w:val="00B46EDE"/>
    <w:rsid w:val="00B46F2F"/>
    <w:rsid w:val="00B47314"/>
    <w:rsid w:val="00B47F79"/>
    <w:rsid w:val="00B505E6"/>
    <w:rsid w:val="00B50D84"/>
    <w:rsid w:val="00B50E20"/>
    <w:rsid w:val="00B50F47"/>
    <w:rsid w:val="00B51307"/>
    <w:rsid w:val="00B51761"/>
    <w:rsid w:val="00B518FB"/>
    <w:rsid w:val="00B51933"/>
    <w:rsid w:val="00B51953"/>
    <w:rsid w:val="00B51A92"/>
    <w:rsid w:val="00B51F25"/>
    <w:rsid w:val="00B520FD"/>
    <w:rsid w:val="00B52147"/>
    <w:rsid w:val="00B5284A"/>
    <w:rsid w:val="00B52916"/>
    <w:rsid w:val="00B5297E"/>
    <w:rsid w:val="00B5298E"/>
    <w:rsid w:val="00B52DCC"/>
    <w:rsid w:val="00B531DD"/>
    <w:rsid w:val="00B532F8"/>
    <w:rsid w:val="00B535FD"/>
    <w:rsid w:val="00B537F4"/>
    <w:rsid w:val="00B5415C"/>
    <w:rsid w:val="00B541FC"/>
    <w:rsid w:val="00B54361"/>
    <w:rsid w:val="00B544BF"/>
    <w:rsid w:val="00B544C2"/>
    <w:rsid w:val="00B5464A"/>
    <w:rsid w:val="00B54B56"/>
    <w:rsid w:val="00B55340"/>
    <w:rsid w:val="00B557CF"/>
    <w:rsid w:val="00B55BA0"/>
    <w:rsid w:val="00B55F86"/>
    <w:rsid w:val="00B56509"/>
    <w:rsid w:val="00B56585"/>
    <w:rsid w:val="00B569FF"/>
    <w:rsid w:val="00B56BB8"/>
    <w:rsid w:val="00B57085"/>
    <w:rsid w:val="00B57113"/>
    <w:rsid w:val="00B5765D"/>
    <w:rsid w:val="00B57675"/>
    <w:rsid w:val="00B57682"/>
    <w:rsid w:val="00B57753"/>
    <w:rsid w:val="00B57902"/>
    <w:rsid w:val="00B57940"/>
    <w:rsid w:val="00B57FE3"/>
    <w:rsid w:val="00B602B4"/>
    <w:rsid w:val="00B602EC"/>
    <w:rsid w:val="00B60325"/>
    <w:rsid w:val="00B60360"/>
    <w:rsid w:val="00B60BDE"/>
    <w:rsid w:val="00B60BE5"/>
    <w:rsid w:val="00B60BE8"/>
    <w:rsid w:val="00B60FF1"/>
    <w:rsid w:val="00B6104F"/>
    <w:rsid w:val="00B61070"/>
    <w:rsid w:val="00B61081"/>
    <w:rsid w:val="00B611E3"/>
    <w:rsid w:val="00B61E4E"/>
    <w:rsid w:val="00B62F52"/>
    <w:rsid w:val="00B631CE"/>
    <w:rsid w:val="00B63A3B"/>
    <w:rsid w:val="00B64758"/>
    <w:rsid w:val="00B6480A"/>
    <w:rsid w:val="00B648E2"/>
    <w:rsid w:val="00B64ECD"/>
    <w:rsid w:val="00B65233"/>
    <w:rsid w:val="00B6528B"/>
    <w:rsid w:val="00B65435"/>
    <w:rsid w:val="00B6557C"/>
    <w:rsid w:val="00B65666"/>
    <w:rsid w:val="00B65E64"/>
    <w:rsid w:val="00B65E8D"/>
    <w:rsid w:val="00B662E8"/>
    <w:rsid w:val="00B663E7"/>
    <w:rsid w:val="00B665A6"/>
    <w:rsid w:val="00B665E8"/>
    <w:rsid w:val="00B66673"/>
    <w:rsid w:val="00B6667C"/>
    <w:rsid w:val="00B66F98"/>
    <w:rsid w:val="00B672D5"/>
    <w:rsid w:val="00B67453"/>
    <w:rsid w:val="00B678AD"/>
    <w:rsid w:val="00B67CD1"/>
    <w:rsid w:val="00B67E76"/>
    <w:rsid w:val="00B7094B"/>
    <w:rsid w:val="00B70DA2"/>
    <w:rsid w:val="00B70EDE"/>
    <w:rsid w:val="00B7152E"/>
    <w:rsid w:val="00B716A2"/>
    <w:rsid w:val="00B716C7"/>
    <w:rsid w:val="00B719E5"/>
    <w:rsid w:val="00B71AEB"/>
    <w:rsid w:val="00B71C73"/>
    <w:rsid w:val="00B71EA8"/>
    <w:rsid w:val="00B71EE4"/>
    <w:rsid w:val="00B71EFA"/>
    <w:rsid w:val="00B71FF0"/>
    <w:rsid w:val="00B72071"/>
    <w:rsid w:val="00B72235"/>
    <w:rsid w:val="00B73011"/>
    <w:rsid w:val="00B7315C"/>
    <w:rsid w:val="00B73630"/>
    <w:rsid w:val="00B7399E"/>
    <w:rsid w:val="00B73AB1"/>
    <w:rsid w:val="00B73B49"/>
    <w:rsid w:val="00B73B80"/>
    <w:rsid w:val="00B73B87"/>
    <w:rsid w:val="00B73FE0"/>
    <w:rsid w:val="00B74318"/>
    <w:rsid w:val="00B7441B"/>
    <w:rsid w:val="00B74433"/>
    <w:rsid w:val="00B74A3B"/>
    <w:rsid w:val="00B74DCF"/>
    <w:rsid w:val="00B74E7A"/>
    <w:rsid w:val="00B750B1"/>
    <w:rsid w:val="00B750B6"/>
    <w:rsid w:val="00B758FB"/>
    <w:rsid w:val="00B75A35"/>
    <w:rsid w:val="00B75A85"/>
    <w:rsid w:val="00B75F59"/>
    <w:rsid w:val="00B75FD0"/>
    <w:rsid w:val="00B762A1"/>
    <w:rsid w:val="00B762D5"/>
    <w:rsid w:val="00B766C4"/>
    <w:rsid w:val="00B76801"/>
    <w:rsid w:val="00B768E5"/>
    <w:rsid w:val="00B769CA"/>
    <w:rsid w:val="00B76A32"/>
    <w:rsid w:val="00B76A58"/>
    <w:rsid w:val="00B76BE3"/>
    <w:rsid w:val="00B76E8A"/>
    <w:rsid w:val="00B7707F"/>
    <w:rsid w:val="00B77259"/>
    <w:rsid w:val="00B77475"/>
    <w:rsid w:val="00B7766B"/>
    <w:rsid w:val="00B7791C"/>
    <w:rsid w:val="00B80480"/>
    <w:rsid w:val="00B804D6"/>
    <w:rsid w:val="00B81440"/>
    <w:rsid w:val="00B819F7"/>
    <w:rsid w:val="00B81BD2"/>
    <w:rsid w:val="00B81DA4"/>
    <w:rsid w:val="00B81E37"/>
    <w:rsid w:val="00B8259F"/>
    <w:rsid w:val="00B82673"/>
    <w:rsid w:val="00B8290F"/>
    <w:rsid w:val="00B82B0A"/>
    <w:rsid w:val="00B82E4C"/>
    <w:rsid w:val="00B82E87"/>
    <w:rsid w:val="00B83286"/>
    <w:rsid w:val="00B833DC"/>
    <w:rsid w:val="00B83992"/>
    <w:rsid w:val="00B83DFE"/>
    <w:rsid w:val="00B83E08"/>
    <w:rsid w:val="00B84009"/>
    <w:rsid w:val="00B84084"/>
    <w:rsid w:val="00B841F0"/>
    <w:rsid w:val="00B8437B"/>
    <w:rsid w:val="00B84518"/>
    <w:rsid w:val="00B8459F"/>
    <w:rsid w:val="00B84800"/>
    <w:rsid w:val="00B84D82"/>
    <w:rsid w:val="00B85515"/>
    <w:rsid w:val="00B858F1"/>
    <w:rsid w:val="00B85C49"/>
    <w:rsid w:val="00B86537"/>
    <w:rsid w:val="00B8674B"/>
    <w:rsid w:val="00B86863"/>
    <w:rsid w:val="00B870D3"/>
    <w:rsid w:val="00B87161"/>
    <w:rsid w:val="00B8768C"/>
    <w:rsid w:val="00B87CC3"/>
    <w:rsid w:val="00B87E9A"/>
    <w:rsid w:val="00B903AC"/>
    <w:rsid w:val="00B906D4"/>
    <w:rsid w:val="00B91316"/>
    <w:rsid w:val="00B91A5E"/>
    <w:rsid w:val="00B91B99"/>
    <w:rsid w:val="00B91E4A"/>
    <w:rsid w:val="00B92059"/>
    <w:rsid w:val="00B9249E"/>
    <w:rsid w:val="00B92527"/>
    <w:rsid w:val="00B92609"/>
    <w:rsid w:val="00B92751"/>
    <w:rsid w:val="00B9284E"/>
    <w:rsid w:val="00B92BA0"/>
    <w:rsid w:val="00B92C47"/>
    <w:rsid w:val="00B92E09"/>
    <w:rsid w:val="00B932A5"/>
    <w:rsid w:val="00B935B6"/>
    <w:rsid w:val="00B93B17"/>
    <w:rsid w:val="00B941CC"/>
    <w:rsid w:val="00B94612"/>
    <w:rsid w:val="00B947AB"/>
    <w:rsid w:val="00B94890"/>
    <w:rsid w:val="00B94C5D"/>
    <w:rsid w:val="00B950A3"/>
    <w:rsid w:val="00B9573E"/>
    <w:rsid w:val="00B95A05"/>
    <w:rsid w:val="00B95B5C"/>
    <w:rsid w:val="00B96011"/>
    <w:rsid w:val="00B960A3"/>
    <w:rsid w:val="00B96447"/>
    <w:rsid w:val="00B968FD"/>
    <w:rsid w:val="00B9694F"/>
    <w:rsid w:val="00B96AAA"/>
    <w:rsid w:val="00B96B28"/>
    <w:rsid w:val="00B96F00"/>
    <w:rsid w:val="00B973D3"/>
    <w:rsid w:val="00B9743F"/>
    <w:rsid w:val="00B976CF"/>
    <w:rsid w:val="00B976E5"/>
    <w:rsid w:val="00B977AA"/>
    <w:rsid w:val="00B978E1"/>
    <w:rsid w:val="00B979B0"/>
    <w:rsid w:val="00B97AD2"/>
    <w:rsid w:val="00B97BA6"/>
    <w:rsid w:val="00B97EE7"/>
    <w:rsid w:val="00BA023C"/>
    <w:rsid w:val="00BA04D5"/>
    <w:rsid w:val="00BA0845"/>
    <w:rsid w:val="00BA0C66"/>
    <w:rsid w:val="00BA106D"/>
    <w:rsid w:val="00BA11EC"/>
    <w:rsid w:val="00BA14EF"/>
    <w:rsid w:val="00BA15E8"/>
    <w:rsid w:val="00BA1A3B"/>
    <w:rsid w:val="00BA1E28"/>
    <w:rsid w:val="00BA22F4"/>
    <w:rsid w:val="00BA2392"/>
    <w:rsid w:val="00BA285A"/>
    <w:rsid w:val="00BA28CF"/>
    <w:rsid w:val="00BA2CB9"/>
    <w:rsid w:val="00BA2CC4"/>
    <w:rsid w:val="00BA2F9B"/>
    <w:rsid w:val="00BA305A"/>
    <w:rsid w:val="00BA3E19"/>
    <w:rsid w:val="00BA4147"/>
    <w:rsid w:val="00BA424B"/>
    <w:rsid w:val="00BA4695"/>
    <w:rsid w:val="00BA4FA5"/>
    <w:rsid w:val="00BA4FDF"/>
    <w:rsid w:val="00BA4FE8"/>
    <w:rsid w:val="00BA51D7"/>
    <w:rsid w:val="00BA5620"/>
    <w:rsid w:val="00BA5838"/>
    <w:rsid w:val="00BA5C0C"/>
    <w:rsid w:val="00BA5D8A"/>
    <w:rsid w:val="00BA5E7C"/>
    <w:rsid w:val="00BA5F2D"/>
    <w:rsid w:val="00BA60D4"/>
    <w:rsid w:val="00BA6180"/>
    <w:rsid w:val="00BA61BA"/>
    <w:rsid w:val="00BA6539"/>
    <w:rsid w:val="00BA656F"/>
    <w:rsid w:val="00BA6969"/>
    <w:rsid w:val="00BA7060"/>
    <w:rsid w:val="00BA73BD"/>
    <w:rsid w:val="00BA79AB"/>
    <w:rsid w:val="00BA7AA0"/>
    <w:rsid w:val="00BA7B57"/>
    <w:rsid w:val="00BB0266"/>
    <w:rsid w:val="00BB0508"/>
    <w:rsid w:val="00BB05F3"/>
    <w:rsid w:val="00BB0A70"/>
    <w:rsid w:val="00BB0C23"/>
    <w:rsid w:val="00BB0C2A"/>
    <w:rsid w:val="00BB0C38"/>
    <w:rsid w:val="00BB0E51"/>
    <w:rsid w:val="00BB126C"/>
    <w:rsid w:val="00BB19BB"/>
    <w:rsid w:val="00BB19C6"/>
    <w:rsid w:val="00BB1B57"/>
    <w:rsid w:val="00BB1C26"/>
    <w:rsid w:val="00BB23B8"/>
    <w:rsid w:val="00BB2401"/>
    <w:rsid w:val="00BB2A94"/>
    <w:rsid w:val="00BB34DE"/>
    <w:rsid w:val="00BB37F1"/>
    <w:rsid w:val="00BB3CEA"/>
    <w:rsid w:val="00BB3E0E"/>
    <w:rsid w:val="00BB3EA5"/>
    <w:rsid w:val="00BB40E2"/>
    <w:rsid w:val="00BB42B6"/>
    <w:rsid w:val="00BB4378"/>
    <w:rsid w:val="00BB4A1E"/>
    <w:rsid w:val="00BB4E77"/>
    <w:rsid w:val="00BB513E"/>
    <w:rsid w:val="00BB52B6"/>
    <w:rsid w:val="00BB65CB"/>
    <w:rsid w:val="00BB6729"/>
    <w:rsid w:val="00BB684D"/>
    <w:rsid w:val="00BB6B9C"/>
    <w:rsid w:val="00BB6F45"/>
    <w:rsid w:val="00BB7A24"/>
    <w:rsid w:val="00BB7D3D"/>
    <w:rsid w:val="00BC0562"/>
    <w:rsid w:val="00BC0A22"/>
    <w:rsid w:val="00BC0AC1"/>
    <w:rsid w:val="00BC0C81"/>
    <w:rsid w:val="00BC0C9D"/>
    <w:rsid w:val="00BC0E73"/>
    <w:rsid w:val="00BC0F51"/>
    <w:rsid w:val="00BC1544"/>
    <w:rsid w:val="00BC1A0D"/>
    <w:rsid w:val="00BC1B51"/>
    <w:rsid w:val="00BC21DA"/>
    <w:rsid w:val="00BC233A"/>
    <w:rsid w:val="00BC2374"/>
    <w:rsid w:val="00BC23C0"/>
    <w:rsid w:val="00BC27F0"/>
    <w:rsid w:val="00BC2876"/>
    <w:rsid w:val="00BC29FF"/>
    <w:rsid w:val="00BC2D21"/>
    <w:rsid w:val="00BC305A"/>
    <w:rsid w:val="00BC336E"/>
    <w:rsid w:val="00BC33A5"/>
    <w:rsid w:val="00BC3BB2"/>
    <w:rsid w:val="00BC3E7E"/>
    <w:rsid w:val="00BC402B"/>
    <w:rsid w:val="00BC4062"/>
    <w:rsid w:val="00BC4A08"/>
    <w:rsid w:val="00BC4A61"/>
    <w:rsid w:val="00BC4B3E"/>
    <w:rsid w:val="00BC4C4D"/>
    <w:rsid w:val="00BC4C9D"/>
    <w:rsid w:val="00BC4C9F"/>
    <w:rsid w:val="00BC51A0"/>
    <w:rsid w:val="00BC52EF"/>
    <w:rsid w:val="00BC5320"/>
    <w:rsid w:val="00BC53A0"/>
    <w:rsid w:val="00BC57BD"/>
    <w:rsid w:val="00BC5AFE"/>
    <w:rsid w:val="00BC5DDB"/>
    <w:rsid w:val="00BC6863"/>
    <w:rsid w:val="00BC6A78"/>
    <w:rsid w:val="00BC70A9"/>
    <w:rsid w:val="00BC7494"/>
    <w:rsid w:val="00BC74FC"/>
    <w:rsid w:val="00BC7855"/>
    <w:rsid w:val="00BC7BF9"/>
    <w:rsid w:val="00BC7D1F"/>
    <w:rsid w:val="00BC7DC3"/>
    <w:rsid w:val="00BC7EC4"/>
    <w:rsid w:val="00BD054B"/>
    <w:rsid w:val="00BD0837"/>
    <w:rsid w:val="00BD0F8C"/>
    <w:rsid w:val="00BD1546"/>
    <w:rsid w:val="00BD168D"/>
    <w:rsid w:val="00BD1BF2"/>
    <w:rsid w:val="00BD1BF5"/>
    <w:rsid w:val="00BD1E08"/>
    <w:rsid w:val="00BD1F13"/>
    <w:rsid w:val="00BD248E"/>
    <w:rsid w:val="00BD252F"/>
    <w:rsid w:val="00BD256B"/>
    <w:rsid w:val="00BD2C1E"/>
    <w:rsid w:val="00BD2C40"/>
    <w:rsid w:val="00BD31C1"/>
    <w:rsid w:val="00BD3221"/>
    <w:rsid w:val="00BD37FD"/>
    <w:rsid w:val="00BD3AD4"/>
    <w:rsid w:val="00BD3FD2"/>
    <w:rsid w:val="00BD401F"/>
    <w:rsid w:val="00BD42A1"/>
    <w:rsid w:val="00BD439E"/>
    <w:rsid w:val="00BD4B51"/>
    <w:rsid w:val="00BD4B6B"/>
    <w:rsid w:val="00BD4BCE"/>
    <w:rsid w:val="00BD50E0"/>
    <w:rsid w:val="00BD56CE"/>
    <w:rsid w:val="00BD6002"/>
    <w:rsid w:val="00BD67C7"/>
    <w:rsid w:val="00BD6BFB"/>
    <w:rsid w:val="00BD7028"/>
    <w:rsid w:val="00BD7205"/>
    <w:rsid w:val="00BE0013"/>
    <w:rsid w:val="00BE028F"/>
    <w:rsid w:val="00BE0336"/>
    <w:rsid w:val="00BE0451"/>
    <w:rsid w:val="00BE050F"/>
    <w:rsid w:val="00BE06AF"/>
    <w:rsid w:val="00BE0A98"/>
    <w:rsid w:val="00BE1189"/>
    <w:rsid w:val="00BE1651"/>
    <w:rsid w:val="00BE1678"/>
    <w:rsid w:val="00BE1950"/>
    <w:rsid w:val="00BE1BB6"/>
    <w:rsid w:val="00BE1CEE"/>
    <w:rsid w:val="00BE27BF"/>
    <w:rsid w:val="00BE2B9C"/>
    <w:rsid w:val="00BE2D06"/>
    <w:rsid w:val="00BE306A"/>
    <w:rsid w:val="00BE30B2"/>
    <w:rsid w:val="00BE316E"/>
    <w:rsid w:val="00BE32ED"/>
    <w:rsid w:val="00BE340F"/>
    <w:rsid w:val="00BE3D1C"/>
    <w:rsid w:val="00BE3DF1"/>
    <w:rsid w:val="00BE4063"/>
    <w:rsid w:val="00BE45B1"/>
    <w:rsid w:val="00BE49B0"/>
    <w:rsid w:val="00BE51BF"/>
    <w:rsid w:val="00BE5383"/>
    <w:rsid w:val="00BE53F8"/>
    <w:rsid w:val="00BE598E"/>
    <w:rsid w:val="00BE5E58"/>
    <w:rsid w:val="00BE61FB"/>
    <w:rsid w:val="00BE64DF"/>
    <w:rsid w:val="00BE6894"/>
    <w:rsid w:val="00BE6943"/>
    <w:rsid w:val="00BE6986"/>
    <w:rsid w:val="00BE6E7C"/>
    <w:rsid w:val="00BE705B"/>
    <w:rsid w:val="00BE7077"/>
    <w:rsid w:val="00BE73A2"/>
    <w:rsid w:val="00BE740B"/>
    <w:rsid w:val="00BE7610"/>
    <w:rsid w:val="00BE7C5E"/>
    <w:rsid w:val="00BE7DD4"/>
    <w:rsid w:val="00BF07D5"/>
    <w:rsid w:val="00BF08A9"/>
    <w:rsid w:val="00BF0A0D"/>
    <w:rsid w:val="00BF15B5"/>
    <w:rsid w:val="00BF16F5"/>
    <w:rsid w:val="00BF1859"/>
    <w:rsid w:val="00BF1B59"/>
    <w:rsid w:val="00BF2111"/>
    <w:rsid w:val="00BF22CE"/>
    <w:rsid w:val="00BF23A7"/>
    <w:rsid w:val="00BF2405"/>
    <w:rsid w:val="00BF27B3"/>
    <w:rsid w:val="00BF2C30"/>
    <w:rsid w:val="00BF33B7"/>
    <w:rsid w:val="00BF33EC"/>
    <w:rsid w:val="00BF3A65"/>
    <w:rsid w:val="00BF3B9A"/>
    <w:rsid w:val="00BF40FD"/>
    <w:rsid w:val="00BF44AF"/>
    <w:rsid w:val="00BF4A1C"/>
    <w:rsid w:val="00BF4A68"/>
    <w:rsid w:val="00BF4C56"/>
    <w:rsid w:val="00BF4D8B"/>
    <w:rsid w:val="00BF5562"/>
    <w:rsid w:val="00BF57E0"/>
    <w:rsid w:val="00BF5C2C"/>
    <w:rsid w:val="00BF5E4B"/>
    <w:rsid w:val="00BF5E6A"/>
    <w:rsid w:val="00BF642B"/>
    <w:rsid w:val="00BF64EB"/>
    <w:rsid w:val="00BF68FA"/>
    <w:rsid w:val="00BF690C"/>
    <w:rsid w:val="00BF6C94"/>
    <w:rsid w:val="00BF6DE4"/>
    <w:rsid w:val="00BF6F94"/>
    <w:rsid w:val="00BF7475"/>
    <w:rsid w:val="00BF7A16"/>
    <w:rsid w:val="00BF7B55"/>
    <w:rsid w:val="00C00132"/>
    <w:rsid w:val="00C006A7"/>
    <w:rsid w:val="00C00759"/>
    <w:rsid w:val="00C00BBB"/>
    <w:rsid w:val="00C00C7F"/>
    <w:rsid w:val="00C01289"/>
    <w:rsid w:val="00C0146D"/>
    <w:rsid w:val="00C016C6"/>
    <w:rsid w:val="00C018BB"/>
    <w:rsid w:val="00C01CD0"/>
    <w:rsid w:val="00C01D87"/>
    <w:rsid w:val="00C020E4"/>
    <w:rsid w:val="00C0258C"/>
    <w:rsid w:val="00C027B6"/>
    <w:rsid w:val="00C0288E"/>
    <w:rsid w:val="00C030EA"/>
    <w:rsid w:val="00C0344A"/>
    <w:rsid w:val="00C03DEE"/>
    <w:rsid w:val="00C047E8"/>
    <w:rsid w:val="00C04FB8"/>
    <w:rsid w:val="00C050A1"/>
    <w:rsid w:val="00C05813"/>
    <w:rsid w:val="00C05D13"/>
    <w:rsid w:val="00C06012"/>
    <w:rsid w:val="00C06020"/>
    <w:rsid w:val="00C062FA"/>
    <w:rsid w:val="00C06428"/>
    <w:rsid w:val="00C0679A"/>
    <w:rsid w:val="00C0694E"/>
    <w:rsid w:val="00C06A4C"/>
    <w:rsid w:val="00C06DF1"/>
    <w:rsid w:val="00C0728D"/>
    <w:rsid w:val="00C07544"/>
    <w:rsid w:val="00C07929"/>
    <w:rsid w:val="00C07A30"/>
    <w:rsid w:val="00C07ABD"/>
    <w:rsid w:val="00C107AF"/>
    <w:rsid w:val="00C10888"/>
    <w:rsid w:val="00C108B4"/>
    <w:rsid w:val="00C10C2A"/>
    <w:rsid w:val="00C10C79"/>
    <w:rsid w:val="00C111E4"/>
    <w:rsid w:val="00C1129D"/>
    <w:rsid w:val="00C117EE"/>
    <w:rsid w:val="00C11BEA"/>
    <w:rsid w:val="00C12106"/>
    <w:rsid w:val="00C12471"/>
    <w:rsid w:val="00C125B5"/>
    <w:rsid w:val="00C12D1B"/>
    <w:rsid w:val="00C13069"/>
    <w:rsid w:val="00C1326A"/>
    <w:rsid w:val="00C1341A"/>
    <w:rsid w:val="00C1361E"/>
    <w:rsid w:val="00C13FC0"/>
    <w:rsid w:val="00C14133"/>
    <w:rsid w:val="00C144C9"/>
    <w:rsid w:val="00C144FF"/>
    <w:rsid w:val="00C145E9"/>
    <w:rsid w:val="00C14893"/>
    <w:rsid w:val="00C14999"/>
    <w:rsid w:val="00C14DFB"/>
    <w:rsid w:val="00C15B30"/>
    <w:rsid w:val="00C15E14"/>
    <w:rsid w:val="00C15E7E"/>
    <w:rsid w:val="00C15F6B"/>
    <w:rsid w:val="00C1609B"/>
    <w:rsid w:val="00C16639"/>
    <w:rsid w:val="00C1689D"/>
    <w:rsid w:val="00C16ACD"/>
    <w:rsid w:val="00C16BA0"/>
    <w:rsid w:val="00C16E06"/>
    <w:rsid w:val="00C16E79"/>
    <w:rsid w:val="00C16EB4"/>
    <w:rsid w:val="00C16EDE"/>
    <w:rsid w:val="00C16F5E"/>
    <w:rsid w:val="00C1769D"/>
    <w:rsid w:val="00C17F66"/>
    <w:rsid w:val="00C17FEC"/>
    <w:rsid w:val="00C20113"/>
    <w:rsid w:val="00C2054C"/>
    <w:rsid w:val="00C20BC9"/>
    <w:rsid w:val="00C20BEA"/>
    <w:rsid w:val="00C210AC"/>
    <w:rsid w:val="00C210CA"/>
    <w:rsid w:val="00C21828"/>
    <w:rsid w:val="00C21A39"/>
    <w:rsid w:val="00C21D49"/>
    <w:rsid w:val="00C220C4"/>
    <w:rsid w:val="00C224F9"/>
    <w:rsid w:val="00C22765"/>
    <w:rsid w:val="00C2291C"/>
    <w:rsid w:val="00C22A47"/>
    <w:rsid w:val="00C22FB6"/>
    <w:rsid w:val="00C23138"/>
    <w:rsid w:val="00C237BA"/>
    <w:rsid w:val="00C23B20"/>
    <w:rsid w:val="00C23C7D"/>
    <w:rsid w:val="00C23CBE"/>
    <w:rsid w:val="00C242F1"/>
    <w:rsid w:val="00C2461D"/>
    <w:rsid w:val="00C24729"/>
    <w:rsid w:val="00C24868"/>
    <w:rsid w:val="00C24B76"/>
    <w:rsid w:val="00C24BFF"/>
    <w:rsid w:val="00C24E23"/>
    <w:rsid w:val="00C253ED"/>
    <w:rsid w:val="00C257A1"/>
    <w:rsid w:val="00C25A1E"/>
    <w:rsid w:val="00C25CE1"/>
    <w:rsid w:val="00C25E12"/>
    <w:rsid w:val="00C25E46"/>
    <w:rsid w:val="00C25F96"/>
    <w:rsid w:val="00C26350"/>
    <w:rsid w:val="00C26691"/>
    <w:rsid w:val="00C2681A"/>
    <w:rsid w:val="00C27A15"/>
    <w:rsid w:val="00C27CD8"/>
    <w:rsid w:val="00C30078"/>
    <w:rsid w:val="00C30396"/>
    <w:rsid w:val="00C304E4"/>
    <w:rsid w:val="00C30652"/>
    <w:rsid w:val="00C30F83"/>
    <w:rsid w:val="00C31191"/>
    <w:rsid w:val="00C3155B"/>
    <w:rsid w:val="00C315CE"/>
    <w:rsid w:val="00C31BEA"/>
    <w:rsid w:val="00C31D5B"/>
    <w:rsid w:val="00C3205A"/>
    <w:rsid w:val="00C32129"/>
    <w:rsid w:val="00C3326C"/>
    <w:rsid w:val="00C33685"/>
    <w:rsid w:val="00C33806"/>
    <w:rsid w:val="00C33A7E"/>
    <w:rsid w:val="00C33F8E"/>
    <w:rsid w:val="00C344DA"/>
    <w:rsid w:val="00C345D1"/>
    <w:rsid w:val="00C349A9"/>
    <w:rsid w:val="00C349B1"/>
    <w:rsid w:val="00C34AB7"/>
    <w:rsid w:val="00C34C77"/>
    <w:rsid w:val="00C35285"/>
    <w:rsid w:val="00C353F4"/>
    <w:rsid w:val="00C3548B"/>
    <w:rsid w:val="00C3569A"/>
    <w:rsid w:val="00C35964"/>
    <w:rsid w:val="00C35A8A"/>
    <w:rsid w:val="00C35B09"/>
    <w:rsid w:val="00C35F40"/>
    <w:rsid w:val="00C36741"/>
    <w:rsid w:val="00C36C0D"/>
    <w:rsid w:val="00C3714C"/>
    <w:rsid w:val="00C37531"/>
    <w:rsid w:val="00C3753A"/>
    <w:rsid w:val="00C379E8"/>
    <w:rsid w:val="00C37BFE"/>
    <w:rsid w:val="00C4005B"/>
    <w:rsid w:val="00C40097"/>
    <w:rsid w:val="00C4043B"/>
    <w:rsid w:val="00C4101A"/>
    <w:rsid w:val="00C410BF"/>
    <w:rsid w:val="00C4160A"/>
    <w:rsid w:val="00C4172D"/>
    <w:rsid w:val="00C41A2E"/>
    <w:rsid w:val="00C41E84"/>
    <w:rsid w:val="00C41F56"/>
    <w:rsid w:val="00C4218C"/>
    <w:rsid w:val="00C4285F"/>
    <w:rsid w:val="00C42914"/>
    <w:rsid w:val="00C42A9A"/>
    <w:rsid w:val="00C42C95"/>
    <w:rsid w:val="00C42DB3"/>
    <w:rsid w:val="00C42ED3"/>
    <w:rsid w:val="00C42F22"/>
    <w:rsid w:val="00C42F8B"/>
    <w:rsid w:val="00C430A8"/>
    <w:rsid w:val="00C432D5"/>
    <w:rsid w:val="00C43FB5"/>
    <w:rsid w:val="00C445A8"/>
    <w:rsid w:val="00C458A9"/>
    <w:rsid w:val="00C45BF0"/>
    <w:rsid w:val="00C464E8"/>
    <w:rsid w:val="00C46606"/>
    <w:rsid w:val="00C46D90"/>
    <w:rsid w:val="00C46FBE"/>
    <w:rsid w:val="00C4745F"/>
    <w:rsid w:val="00C47599"/>
    <w:rsid w:val="00C4795E"/>
    <w:rsid w:val="00C50042"/>
    <w:rsid w:val="00C506A5"/>
    <w:rsid w:val="00C50890"/>
    <w:rsid w:val="00C50B3C"/>
    <w:rsid w:val="00C50F2A"/>
    <w:rsid w:val="00C5113E"/>
    <w:rsid w:val="00C5135F"/>
    <w:rsid w:val="00C51446"/>
    <w:rsid w:val="00C517EF"/>
    <w:rsid w:val="00C51B90"/>
    <w:rsid w:val="00C51C7C"/>
    <w:rsid w:val="00C52025"/>
    <w:rsid w:val="00C521EC"/>
    <w:rsid w:val="00C52609"/>
    <w:rsid w:val="00C528E2"/>
    <w:rsid w:val="00C52B38"/>
    <w:rsid w:val="00C52D02"/>
    <w:rsid w:val="00C52EDA"/>
    <w:rsid w:val="00C530B8"/>
    <w:rsid w:val="00C53428"/>
    <w:rsid w:val="00C53C1F"/>
    <w:rsid w:val="00C543C7"/>
    <w:rsid w:val="00C547D7"/>
    <w:rsid w:val="00C549C6"/>
    <w:rsid w:val="00C54DBC"/>
    <w:rsid w:val="00C55132"/>
    <w:rsid w:val="00C552E5"/>
    <w:rsid w:val="00C556B9"/>
    <w:rsid w:val="00C556F0"/>
    <w:rsid w:val="00C559F5"/>
    <w:rsid w:val="00C55E98"/>
    <w:rsid w:val="00C561C3"/>
    <w:rsid w:val="00C563BF"/>
    <w:rsid w:val="00C56608"/>
    <w:rsid w:val="00C567D7"/>
    <w:rsid w:val="00C57344"/>
    <w:rsid w:val="00C576B8"/>
    <w:rsid w:val="00C5771E"/>
    <w:rsid w:val="00C57B2C"/>
    <w:rsid w:val="00C60025"/>
    <w:rsid w:val="00C600E4"/>
    <w:rsid w:val="00C6038F"/>
    <w:rsid w:val="00C60598"/>
    <w:rsid w:val="00C60767"/>
    <w:rsid w:val="00C60A8C"/>
    <w:rsid w:val="00C60B94"/>
    <w:rsid w:val="00C618A3"/>
    <w:rsid w:val="00C6195E"/>
    <w:rsid w:val="00C61F40"/>
    <w:rsid w:val="00C62062"/>
    <w:rsid w:val="00C62136"/>
    <w:rsid w:val="00C6235E"/>
    <w:rsid w:val="00C62388"/>
    <w:rsid w:val="00C623E0"/>
    <w:rsid w:val="00C62A31"/>
    <w:rsid w:val="00C6308F"/>
    <w:rsid w:val="00C631E5"/>
    <w:rsid w:val="00C63586"/>
    <w:rsid w:val="00C63899"/>
    <w:rsid w:val="00C638EF"/>
    <w:rsid w:val="00C6392D"/>
    <w:rsid w:val="00C63944"/>
    <w:rsid w:val="00C63A8A"/>
    <w:rsid w:val="00C63DFA"/>
    <w:rsid w:val="00C64352"/>
    <w:rsid w:val="00C644D4"/>
    <w:rsid w:val="00C647D4"/>
    <w:rsid w:val="00C64800"/>
    <w:rsid w:val="00C64AB1"/>
    <w:rsid w:val="00C64FD2"/>
    <w:rsid w:val="00C650AC"/>
    <w:rsid w:val="00C65329"/>
    <w:rsid w:val="00C653C7"/>
    <w:rsid w:val="00C65AA8"/>
    <w:rsid w:val="00C65B87"/>
    <w:rsid w:val="00C65E65"/>
    <w:rsid w:val="00C661CA"/>
    <w:rsid w:val="00C661D4"/>
    <w:rsid w:val="00C661F1"/>
    <w:rsid w:val="00C66519"/>
    <w:rsid w:val="00C669C8"/>
    <w:rsid w:val="00C66CE9"/>
    <w:rsid w:val="00C67038"/>
    <w:rsid w:val="00C67485"/>
    <w:rsid w:val="00C6765C"/>
    <w:rsid w:val="00C67762"/>
    <w:rsid w:val="00C67B63"/>
    <w:rsid w:val="00C67BEC"/>
    <w:rsid w:val="00C67E31"/>
    <w:rsid w:val="00C67EA3"/>
    <w:rsid w:val="00C67EA7"/>
    <w:rsid w:val="00C702D4"/>
    <w:rsid w:val="00C703D1"/>
    <w:rsid w:val="00C703FF"/>
    <w:rsid w:val="00C70B6E"/>
    <w:rsid w:val="00C70BD9"/>
    <w:rsid w:val="00C70E1C"/>
    <w:rsid w:val="00C70F51"/>
    <w:rsid w:val="00C71121"/>
    <w:rsid w:val="00C71722"/>
    <w:rsid w:val="00C71F41"/>
    <w:rsid w:val="00C72430"/>
    <w:rsid w:val="00C72931"/>
    <w:rsid w:val="00C72B13"/>
    <w:rsid w:val="00C72F17"/>
    <w:rsid w:val="00C7316B"/>
    <w:rsid w:val="00C73E26"/>
    <w:rsid w:val="00C73E32"/>
    <w:rsid w:val="00C7413C"/>
    <w:rsid w:val="00C741F7"/>
    <w:rsid w:val="00C74553"/>
    <w:rsid w:val="00C745BA"/>
    <w:rsid w:val="00C74836"/>
    <w:rsid w:val="00C7531E"/>
    <w:rsid w:val="00C75356"/>
    <w:rsid w:val="00C75696"/>
    <w:rsid w:val="00C756F6"/>
    <w:rsid w:val="00C75877"/>
    <w:rsid w:val="00C7589F"/>
    <w:rsid w:val="00C758A3"/>
    <w:rsid w:val="00C75ED7"/>
    <w:rsid w:val="00C75EEE"/>
    <w:rsid w:val="00C76022"/>
    <w:rsid w:val="00C7605F"/>
    <w:rsid w:val="00C763F1"/>
    <w:rsid w:val="00C76674"/>
    <w:rsid w:val="00C76801"/>
    <w:rsid w:val="00C76A19"/>
    <w:rsid w:val="00C76B78"/>
    <w:rsid w:val="00C76E66"/>
    <w:rsid w:val="00C77817"/>
    <w:rsid w:val="00C77D9C"/>
    <w:rsid w:val="00C8032C"/>
    <w:rsid w:val="00C803C1"/>
    <w:rsid w:val="00C805D6"/>
    <w:rsid w:val="00C81141"/>
    <w:rsid w:val="00C813AF"/>
    <w:rsid w:val="00C819F8"/>
    <w:rsid w:val="00C82455"/>
    <w:rsid w:val="00C8254F"/>
    <w:rsid w:val="00C827F8"/>
    <w:rsid w:val="00C82973"/>
    <w:rsid w:val="00C82B8E"/>
    <w:rsid w:val="00C8325A"/>
    <w:rsid w:val="00C835D5"/>
    <w:rsid w:val="00C83B29"/>
    <w:rsid w:val="00C83C50"/>
    <w:rsid w:val="00C83E90"/>
    <w:rsid w:val="00C84026"/>
    <w:rsid w:val="00C84053"/>
    <w:rsid w:val="00C84153"/>
    <w:rsid w:val="00C84304"/>
    <w:rsid w:val="00C8442D"/>
    <w:rsid w:val="00C8452B"/>
    <w:rsid w:val="00C84696"/>
    <w:rsid w:val="00C84814"/>
    <w:rsid w:val="00C84B95"/>
    <w:rsid w:val="00C850D8"/>
    <w:rsid w:val="00C850EF"/>
    <w:rsid w:val="00C851A1"/>
    <w:rsid w:val="00C851EF"/>
    <w:rsid w:val="00C856B2"/>
    <w:rsid w:val="00C85711"/>
    <w:rsid w:val="00C85B08"/>
    <w:rsid w:val="00C85D12"/>
    <w:rsid w:val="00C86056"/>
    <w:rsid w:val="00C8606B"/>
    <w:rsid w:val="00C864F7"/>
    <w:rsid w:val="00C86B45"/>
    <w:rsid w:val="00C86BC8"/>
    <w:rsid w:val="00C86F64"/>
    <w:rsid w:val="00C87533"/>
    <w:rsid w:val="00C87712"/>
    <w:rsid w:val="00C87A40"/>
    <w:rsid w:val="00C87B43"/>
    <w:rsid w:val="00C904DD"/>
    <w:rsid w:val="00C9098D"/>
    <w:rsid w:val="00C90A5F"/>
    <w:rsid w:val="00C90C7C"/>
    <w:rsid w:val="00C90E0A"/>
    <w:rsid w:val="00C90FE1"/>
    <w:rsid w:val="00C913F5"/>
    <w:rsid w:val="00C915A5"/>
    <w:rsid w:val="00C91C32"/>
    <w:rsid w:val="00C91C5C"/>
    <w:rsid w:val="00C91D02"/>
    <w:rsid w:val="00C9216C"/>
    <w:rsid w:val="00C9218E"/>
    <w:rsid w:val="00C922EC"/>
    <w:rsid w:val="00C92558"/>
    <w:rsid w:val="00C92AD5"/>
    <w:rsid w:val="00C92D9A"/>
    <w:rsid w:val="00C933D0"/>
    <w:rsid w:val="00C933F4"/>
    <w:rsid w:val="00C935A3"/>
    <w:rsid w:val="00C93761"/>
    <w:rsid w:val="00C93E81"/>
    <w:rsid w:val="00C93E91"/>
    <w:rsid w:val="00C93EFB"/>
    <w:rsid w:val="00C941C6"/>
    <w:rsid w:val="00C94207"/>
    <w:rsid w:val="00C94348"/>
    <w:rsid w:val="00C94452"/>
    <w:rsid w:val="00C944F3"/>
    <w:rsid w:val="00C951FE"/>
    <w:rsid w:val="00C952EE"/>
    <w:rsid w:val="00C954C3"/>
    <w:rsid w:val="00C9581A"/>
    <w:rsid w:val="00C95838"/>
    <w:rsid w:val="00C9593B"/>
    <w:rsid w:val="00C96345"/>
    <w:rsid w:val="00C96371"/>
    <w:rsid w:val="00C964DD"/>
    <w:rsid w:val="00C9683E"/>
    <w:rsid w:val="00C9685F"/>
    <w:rsid w:val="00C96988"/>
    <w:rsid w:val="00C96D76"/>
    <w:rsid w:val="00C970DC"/>
    <w:rsid w:val="00C97207"/>
    <w:rsid w:val="00C97380"/>
    <w:rsid w:val="00C97559"/>
    <w:rsid w:val="00C975DF"/>
    <w:rsid w:val="00C975F9"/>
    <w:rsid w:val="00C97995"/>
    <w:rsid w:val="00C979A5"/>
    <w:rsid w:val="00CA0125"/>
    <w:rsid w:val="00CA04DE"/>
    <w:rsid w:val="00CA0556"/>
    <w:rsid w:val="00CA0944"/>
    <w:rsid w:val="00CA0C28"/>
    <w:rsid w:val="00CA10CE"/>
    <w:rsid w:val="00CA10DC"/>
    <w:rsid w:val="00CA1339"/>
    <w:rsid w:val="00CA157B"/>
    <w:rsid w:val="00CA15C9"/>
    <w:rsid w:val="00CA1A67"/>
    <w:rsid w:val="00CA1B03"/>
    <w:rsid w:val="00CA20EB"/>
    <w:rsid w:val="00CA214C"/>
    <w:rsid w:val="00CA2274"/>
    <w:rsid w:val="00CA256E"/>
    <w:rsid w:val="00CA25B9"/>
    <w:rsid w:val="00CA264A"/>
    <w:rsid w:val="00CA26C0"/>
    <w:rsid w:val="00CA28FE"/>
    <w:rsid w:val="00CA2974"/>
    <w:rsid w:val="00CA2B17"/>
    <w:rsid w:val="00CA2D5B"/>
    <w:rsid w:val="00CA301D"/>
    <w:rsid w:val="00CA31DD"/>
    <w:rsid w:val="00CA320B"/>
    <w:rsid w:val="00CA32F6"/>
    <w:rsid w:val="00CA33C0"/>
    <w:rsid w:val="00CA3463"/>
    <w:rsid w:val="00CA358A"/>
    <w:rsid w:val="00CA391D"/>
    <w:rsid w:val="00CA3947"/>
    <w:rsid w:val="00CA3BE7"/>
    <w:rsid w:val="00CA3E2C"/>
    <w:rsid w:val="00CA4170"/>
    <w:rsid w:val="00CA4215"/>
    <w:rsid w:val="00CA4450"/>
    <w:rsid w:val="00CA4646"/>
    <w:rsid w:val="00CA495A"/>
    <w:rsid w:val="00CA4C7C"/>
    <w:rsid w:val="00CA50B1"/>
    <w:rsid w:val="00CA51A6"/>
    <w:rsid w:val="00CA5636"/>
    <w:rsid w:val="00CA566C"/>
    <w:rsid w:val="00CA5BD2"/>
    <w:rsid w:val="00CA5D18"/>
    <w:rsid w:val="00CA60B8"/>
    <w:rsid w:val="00CA61DD"/>
    <w:rsid w:val="00CA65B4"/>
    <w:rsid w:val="00CA6757"/>
    <w:rsid w:val="00CA70F2"/>
    <w:rsid w:val="00CA743B"/>
    <w:rsid w:val="00CA7541"/>
    <w:rsid w:val="00CA779F"/>
    <w:rsid w:val="00CA7AA4"/>
    <w:rsid w:val="00CA7AB7"/>
    <w:rsid w:val="00CB007D"/>
    <w:rsid w:val="00CB07A2"/>
    <w:rsid w:val="00CB07DF"/>
    <w:rsid w:val="00CB0C56"/>
    <w:rsid w:val="00CB0CFB"/>
    <w:rsid w:val="00CB10B5"/>
    <w:rsid w:val="00CB10C5"/>
    <w:rsid w:val="00CB119A"/>
    <w:rsid w:val="00CB1333"/>
    <w:rsid w:val="00CB14CB"/>
    <w:rsid w:val="00CB156F"/>
    <w:rsid w:val="00CB1613"/>
    <w:rsid w:val="00CB1752"/>
    <w:rsid w:val="00CB1CD5"/>
    <w:rsid w:val="00CB1DD2"/>
    <w:rsid w:val="00CB33D3"/>
    <w:rsid w:val="00CB399C"/>
    <w:rsid w:val="00CB3A56"/>
    <w:rsid w:val="00CB3D7A"/>
    <w:rsid w:val="00CB4070"/>
    <w:rsid w:val="00CB4077"/>
    <w:rsid w:val="00CB438E"/>
    <w:rsid w:val="00CB43F5"/>
    <w:rsid w:val="00CB46C2"/>
    <w:rsid w:val="00CB495A"/>
    <w:rsid w:val="00CB4973"/>
    <w:rsid w:val="00CB4AC0"/>
    <w:rsid w:val="00CB4C68"/>
    <w:rsid w:val="00CB4D1B"/>
    <w:rsid w:val="00CB5040"/>
    <w:rsid w:val="00CB592D"/>
    <w:rsid w:val="00CB5A7C"/>
    <w:rsid w:val="00CB5B0E"/>
    <w:rsid w:val="00CB5C16"/>
    <w:rsid w:val="00CB6017"/>
    <w:rsid w:val="00CB630B"/>
    <w:rsid w:val="00CB677D"/>
    <w:rsid w:val="00CB6A78"/>
    <w:rsid w:val="00CB6B37"/>
    <w:rsid w:val="00CB6F1E"/>
    <w:rsid w:val="00CB6FC5"/>
    <w:rsid w:val="00CB71F2"/>
    <w:rsid w:val="00CB72F4"/>
    <w:rsid w:val="00CB78E9"/>
    <w:rsid w:val="00CB7B77"/>
    <w:rsid w:val="00CB7CF3"/>
    <w:rsid w:val="00CB7FE9"/>
    <w:rsid w:val="00CC095B"/>
    <w:rsid w:val="00CC097E"/>
    <w:rsid w:val="00CC0BF4"/>
    <w:rsid w:val="00CC11A9"/>
    <w:rsid w:val="00CC147A"/>
    <w:rsid w:val="00CC182A"/>
    <w:rsid w:val="00CC1CD5"/>
    <w:rsid w:val="00CC2420"/>
    <w:rsid w:val="00CC256F"/>
    <w:rsid w:val="00CC25AA"/>
    <w:rsid w:val="00CC2C13"/>
    <w:rsid w:val="00CC2D3A"/>
    <w:rsid w:val="00CC3011"/>
    <w:rsid w:val="00CC30A2"/>
    <w:rsid w:val="00CC3604"/>
    <w:rsid w:val="00CC3C8B"/>
    <w:rsid w:val="00CC4349"/>
    <w:rsid w:val="00CC487A"/>
    <w:rsid w:val="00CC48B0"/>
    <w:rsid w:val="00CC4A57"/>
    <w:rsid w:val="00CC4F10"/>
    <w:rsid w:val="00CC5087"/>
    <w:rsid w:val="00CC5C32"/>
    <w:rsid w:val="00CC5FBD"/>
    <w:rsid w:val="00CC6371"/>
    <w:rsid w:val="00CC641F"/>
    <w:rsid w:val="00CC6611"/>
    <w:rsid w:val="00CC697E"/>
    <w:rsid w:val="00CC6BD7"/>
    <w:rsid w:val="00CC6FD8"/>
    <w:rsid w:val="00CC7042"/>
    <w:rsid w:val="00CC7168"/>
    <w:rsid w:val="00CC7478"/>
    <w:rsid w:val="00CC75BF"/>
    <w:rsid w:val="00CC75E4"/>
    <w:rsid w:val="00CC7E18"/>
    <w:rsid w:val="00CD0520"/>
    <w:rsid w:val="00CD0A1C"/>
    <w:rsid w:val="00CD0FB1"/>
    <w:rsid w:val="00CD1365"/>
    <w:rsid w:val="00CD1835"/>
    <w:rsid w:val="00CD1ADE"/>
    <w:rsid w:val="00CD1B3C"/>
    <w:rsid w:val="00CD1C0E"/>
    <w:rsid w:val="00CD1D06"/>
    <w:rsid w:val="00CD1D0B"/>
    <w:rsid w:val="00CD1DE4"/>
    <w:rsid w:val="00CD21CB"/>
    <w:rsid w:val="00CD225D"/>
    <w:rsid w:val="00CD2624"/>
    <w:rsid w:val="00CD2791"/>
    <w:rsid w:val="00CD2AE6"/>
    <w:rsid w:val="00CD2CDC"/>
    <w:rsid w:val="00CD34E2"/>
    <w:rsid w:val="00CD35D2"/>
    <w:rsid w:val="00CD361B"/>
    <w:rsid w:val="00CD36BA"/>
    <w:rsid w:val="00CD3BAA"/>
    <w:rsid w:val="00CD3C99"/>
    <w:rsid w:val="00CD42B4"/>
    <w:rsid w:val="00CD44CB"/>
    <w:rsid w:val="00CD458D"/>
    <w:rsid w:val="00CD45A1"/>
    <w:rsid w:val="00CD467D"/>
    <w:rsid w:val="00CD4AD4"/>
    <w:rsid w:val="00CD4C4D"/>
    <w:rsid w:val="00CD4FD9"/>
    <w:rsid w:val="00CD501F"/>
    <w:rsid w:val="00CD53B6"/>
    <w:rsid w:val="00CD58D6"/>
    <w:rsid w:val="00CD5B58"/>
    <w:rsid w:val="00CD5E49"/>
    <w:rsid w:val="00CD5EBA"/>
    <w:rsid w:val="00CD6869"/>
    <w:rsid w:val="00CD6909"/>
    <w:rsid w:val="00CD69D8"/>
    <w:rsid w:val="00CD6C5B"/>
    <w:rsid w:val="00CD6D7D"/>
    <w:rsid w:val="00CD6E62"/>
    <w:rsid w:val="00CD7316"/>
    <w:rsid w:val="00CD7A72"/>
    <w:rsid w:val="00CE0137"/>
    <w:rsid w:val="00CE01BB"/>
    <w:rsid w:val="00CE073F"/>
    <w:rsid w:val="00CE083D"/>
    <w:rsid w:val="00CE0876"/>
    <w:rsid w:val="00CE0B10"/>
    <w:rsid w:val="00CE0BF8"/>
    <w:rsid w:val="00CE0EBC"/>
    <w:rsid w:val="00CE1183"/>
    <w:rsid w:val="00CE1821"/>
    <w:rsid w:val="00CE1943"/>
    <w:rsid w:val="00CE1F5A"/>
    <w:rsid w:val="00CE28C6"/>
    <w:rsid w:val="00CE29A6"/>
    <w:rsid w:val="00CE2DE8"/>
    <w:rsid w:val="00CE31A6"/>
    <w:rsid w:val="00CE364D"/>
    <w:rsid w:val="00CE3EFF"/>
    <w:rsid w:val="00CE3F3C"/>
    <w:rsid w:val="00CE4051"/>
    <w:rsid w:val="00CE4195"/>
    <w:rsid w:val="00CE4267"/>
    <w:rsid w:val="00CE4405"/>
    <w:rsid w:val="00CE4510"/>
    <w:rsid w:val="00CE4516"/>
    <w:rsid w:val="00CE46E0"/>
    <w:rsid w:val="00CE477B"/>
    <w:rsid w:val="00CE47F0"/>
    <w:rsid w:val="00CE4B85"/>
    <w:rsid w:val="00CE4E6A"/>
    <w:rsid w:val="00CE4F33"/>
    <w:rsid w:val="00CE527C"/>
    <w:rsid w:val="00CE534C"/>
    <w:rsid w:val="00CE555E"/>
    <w:rsid w:val="00CE5879"/>
    <w:rsid w:val="00CE6019"/>
    <w:rsid w:val="00CE635B"/>
    <w:rsid w:val="00CE641B"/>
    <w:rsid w:val="00CE674C"/>
    <w:rsid w:val="00CE70E6"/>
    <w:rsid w:val="00CE7186"/>
    <w:rsid w:val="00CE7694"/>
    <w:rsid w:val="00CE7776"/>
    <w:rsid w:val="00CE77CF"/>
    <w:rsid w:val="00CE77E9"/>
    <w:rsid w:val="00CE781F"/>
    <w:rsid w:val="00CE7A8A"/>
    <w:rsid w:val="00CF029A"/>
    <w:rsid w:val="00CF02C4"/>
    <w:rsid w:val="00CF02E3"/>
    <w:rsid w:val="00CF0396"/>
    <w:rsid w:val="00CF0562"/>
    <w:rsid w:val="00CF0754"/>
    <w:rsid w:val="00CF0888"/>
    <w:rsid w:val="00CF0A93"/>
    <w:rsid w:val="00CF0F4E"/>
    <w:rsid w:val="00CF0FBE"/>
    <w:rsid w:val="00CF102C"/>
    <w:rsid w:val="00CF10E0"/>
    <w:rsid w:val="00CF15D4"/>
    <w:rsid w:val="00CF1A95"/>
    <w:rsid w:val="00CF1DEF"/>
    <w:rsid w:val="00CF2563"/>
    <w:rsid w:val="00CF2A9B"/>
    <w:rsid w:val="00CF3180"/>
    <w:rsid w:val="00CF3218"/>
    <w:rsid w:val="00CF3668"/>
    <w:rsid w:val="00CF39DB"/>
    <w:rsid w:val="00CF3CF5"/>
    <w:rsid w:val="00CF3F53"/>
    <w:rsid w:val="00CF4096"/>
    <w:rsid w:val="00CF42D4"/>
    <w:rsid w:val="00CF44C7"/>
    <w:rsid w:val="00CF4703"/>
    <w:rsid w:val="00CF475F"/>
    <w:rsid w:val="00CF4C30"/>
    <w:rsid w:val="00CF4FF2"/>
    <w:rsid w:val="00CF508D"/>
    <w:rsid w:val="00CF53A6"/>
    <w:rsid w:val="00CF5A0B"/>
    <w:rsid w:val="00CF6998"/>
    <w:rsid w:val="00CF72F7"/>
    <w:rsid w:val="00CF74DA"/>
    <w:rsid w:val="00CF7640"/>
    <w:rsid w:val="00CF79A0"/>
    <w:rsid w:val="00CF7A53"/>
    <w:rsid w:val="00CF7B64"/>
    <w:rsid w:val="00D00317"/>
    <w:rsid w:val="00D0038D"/>
    <w:rsid w:val="00D005AC"/>
    <w:rsid w:val="00D00A20"/>
    <w:rsid w:val="00D00E5C"/>
    <w:rsid w:val="00D0137F"/>
    <w:rsid w:val="00D01A7E"/>
    <w:rsid w:val="00D01AE8"/>
    <w:rsid w:val="00D025A4"/>
    <w:rsid w:val="00D02767"/>
    <w:rsid w:val="00D02939"/>
    <w:rsid w:val="00D02CEA"/>
    <w:rsid w:val="00D02E3B"/>
    <w:rsid w:val="00D03609"/>
    <w:rsid w:val="00D0372B"/>
    <w:rsid w:val="00D03CBC"/>
    <w:rsid w:val="00D03E4C"/>
    <w:rsid w:val="00D0424D"/>
    <w:rsid w:val="00D0447E"/>
    <w:rsid w:val="00D04976"/>
    <w:rsid w:val="00D04C88"/>
    <w:rsid w:val="00D04DA9"/>
    <w:rsid w:val="00D04F08"/>
    <w:rsid w:val="00D04FF7"/>
    <w:rsid w:val="00D05649"/>
    <w:rsid w:val="00D06005"/>
    <w:rsid w:val="00D06567"/>
    <w:rsid w:val="00D06584"/>
    <w:rsid w:val="00D065A4"/>
    <w:rsid w:val="00D06C89"/>
    <w:rsid w:val="00D071C0"/>
    <w:rsid w:val="00D07536"/>
    <w:rsid w:val="00D0781C"/>
    <w:rsid w:val="00D07A32"/>
    <w:rsid w:val="00D07FDA"/>
    <w:rsid w:val="00D102C8"/>
    <w:rsid w:val="00D10454"/>
    <w:rsid w:val="00D1046B"/>
    <w:rsid w:val="00D10A00"/>
    <w:rsid w:val="00D10AF1"/>
    <w:rsid w:val="00D110C7"/>
    <w:rsid w:val="00D110F3"/>
    <w:rsid w:val="00D1110A"/>
    <w:rsid w:val="00D1114F"/>
    <w:rsid w:val="00D11198"/>
    <w:rsid w:val="00D11264"/>
    <w:rsid w:val="00D11407"/>
    <w:rsid w:val="00D11A45"/>
    <w:rsid w:val="00D11FE8"/>
    <w:rsid w:val="00D1206A"/>
    <w:rsid w:val="00D122A7"/>
    <w:rsid w:val="00D122DA"/>
    <w:rsid w:val="00D125EA"/>
    <w:rsid w:val="00D12625"/>
    <w:rsid w:val="00D12837"/>
    <w:rsid w:val="00D12A41"/>
    <w:rsid w:val="00D12DE6"/>
    <w:rsid w:val="00D1337A"/>
    <w:rsid w:val="00D13CCD"/>
    <w:rsid w:val="00D1419A"/>
    <w:rsid w:val="00D142D8"/>
    <w:rsid w:val="00D145AD"/>
    <w:rsid w:val="00D14C1B"/>
    <w:rsid w:val="00D14D4D"/>
    <w:rsid w:val="00D14DAB"/>
    <w:rsid w:val="00D14ECD"/>
    <w:rsid w:val="00D150C5"/>
    <w:rsid w:val="00D159AD"/>
    <w:rsid w:val="00D15F15"/>
    <w:rsid w:val="00D161A6"/>
    <w:rsid w:val="00D16610"/>
    <w:rsid w:val="00D166DC"/>
    <w:rsid w:val="00D16E4A"/>
    <w:rsid w:val="00D16F2A"/>
    <w:rsid w:val="00D17005"/>
    <w:rsid w:val="00D1747E"/>
    <w:rsid w:val="00D175CF"/>
    <w:rsid w:val="00D175DF"/>
    <w:rsid w:val="00D1764F"/>
    <w:rsid w:val="00D17734"/>
    <w:rsid w:val="00D178F2"/>
    <w:rsid w:val="00D17D83"/>
    <w:rsid w:val="00D2000F"/>
    <w:rsid w:val="00D200C4"/>
    <w:rsid w:val="00D20405"/>
    <w:rsid w:val="00D2047A"/>
    <w:rsid w:val="00D20AA7"/>
    <w:rsid w:val="00D20D43"/>
    <w:rsid w:val="00D21161"/>
    <w:rsid w:val="00D21AA1"/>
    <w:rsid w:val="00D21AC5"/>
    <w:rsid w:val="00D21F49"/>
    <w:rsid w:val="00D222FC"/>
    <w:rsid w:val="00D2243F"/>
    <w:rsid w:val="00D22761"/>
    <w:rsid w:val="00D22A06"/>
    <w:rsid w:val="00D230F7"/>
    <w:rsid w:val="00D234AF"/>
    <w:rsid w:val="00D23546"/>
    <w:rsid w:val="00D23551"/>
    <w:rsid w:val="00D2404C"/>
    <w:rsid w:val="00D2473B"/>
    <w:rsid w:val="00D249DE"/>
    <w:rsid w:val="00D24A1D"/>
    <w:rsid w:val="00D250B1"/>
    <w:rsid w:val="00D25235"/>
    <w:rsid w:val="00D25577"/>
    <w:rsid w:val="00D2584D"/>
    <w:rsid w:val="00D25A65"/>
    <w:rsid w:val="00D261A6"/>
    <w:rsid w:val="00D26437"/>
    <w:rsid w:val="00D264A3"/>
    <w:rsid w:val="00D26844"/>
    <w:rsid w:val="00D2692B"/>
    <w:rsid w:val="00D26CA9"/>
    <w:rsid w:val="00D26E81"/>
    <w:rsid w:val="00D2746D"/>
    <w:rsid w:val="00D2776C"/>
    <w:rsid w:val="00D277FD"/>
    <w:rsid w:val="00D27DD6"/>
    <w:rsid w:val="00D27E8E"/>
    <w:rsid w:val="00D27F34"/>
    <w:rsid w:val="00D300A0"/>
    <w:rsid w:val="00D300C7"/>
    <w:rsid w:val="00D3019E"/>
    <w:rsid w:val="00D308F0"/>
    <w:rsid w:val="00D30D3A"/>
    <w:rsid w:val="00D30E40"/>
    <w:rsid w:val="00D30EF8"/>
    <w:rsid w:val="00D314A0"/>
    <w:rsid w:val="00D31898"/>
    <w:rsid w:val="00D31976"/>
    <w:rsid w:val="00D31F1F"/>
    <w:rsid w:val="00D326D0"/>
    <w:rsid w:val="00D32882"/>
    <w:rsid w:val="00D329D7"/>
    <w:rsid w:val="00D32AB9"/>
    <w:rsid w:val="00D32F17"/>
    <w:rsid w:val="00D330D5"/>
    <w:rsid w:val="00D33262"/>
    <w:rsid w:val="00D332E3"/>
    <w:rsid w:val="00D333A9"/>
    <w:rsid w:val="00D33493"/>
    <w:rsid w:val="00D33624"/>
    <w:rsid w:val="00D33E02"/>
    <w:rsid w:val="00D34163"/>
    <w:rsid w:val="00D347DE"/>
    <w:rsid w:val="00D34927"/>
    <w:rsid w:val="00D35CAB"/>
    <w:rsid w:val="00D35D95"/>
    <w:rsid w:val="00D35DC8"/>
    <w:rsid w:val="00D35F18"/>
    <w:rsid w:val="00D35F57"/>
    <w:rsid w:val="00D361BC"/>
    <w:rsid w:val="00D364CC"/>
    <w:rsid w:val="00D368AD"/>
    <w:rsid w:val="00D369A1"/>
    <w:rsid w:val="00D36CD0"/>
    <w:rsid w:val="00D370FD"/>
    <w:rsid w:val="00D371C7"/>
    <w:rsid w:val="00D37630"/>
    <w:rsid w:val="00D37DB7"/>
    <w:rsid w:val="00D37E66"/>
    <w:rsid w:val="00D407C2"/>
    <w:rsid w:val="00D40BB2"/>
    <w:rsid w:val="00D40CF0"/>
    <w:rsid w:val="00D40CF3"/>
    <w:rsid w:val="00D41247"/>
    <w:rsid w:val="00D418CB"/>
    <w:rsid w:val="00D41F9D"/>
    <w:rsid w:val="00D423A8"/>
    <w:rsid w:val="00D42564"/>
    <w:rsid w:val="00D42A99"/>
    <w:rsid w:val="00D42D50"/>
    <w:rsid w:val="00D42D66"/>
    <w:rsid w:val="00D43372"/>
    <w:rsid w:val="00D43630"/>
    <w:rsid w:val="00D437C3"/>
    <w:rsid w:val="00D4397D"/>
    <w:rsid w:val="00D4399B"/>
    <w:rsid w:val="00D43E2E"/>
    <w:rsid w:val="00D43F7C"/>
    <w:rsid w:val="00D445B6"/>
    <w:rsid w:val="00D4502A"/>
    <w:rsid w:val="00D453EE"/>
    <w:rsid w:val="00D46266"/>
    <w:rsid w:val="00D463A5"/>
    <w:rsid w:val="00D46C56"/>
    <w:rsid w:val="00D4726D"/>
    <w:rsid w:val="00D478AD"/>
    <w:rsid w:val="00D47ED6"/>
    <w:rsid w:val="00D5078E"/>
    <w:rsid w:val="00D50821"/>
    <w:rsid w:val="00D5099C"/>
    <w:rsid w:val="00D50A34"/>
    <w:rsid w:val="00D50D50"/>
    <w:rsid w:val="00D51263"/>
    <w:rsid w:val="00D5161A"/>
    <w:rsid w:val="00D5173D"/>
    <w:rsid w:val="00D51E9C"/>
    <w:rsid w:val="00D51FB9"/>
    <w:rsid w:val="00D52092"/>
    <w:rsid w:val="00D52C23"/>
    <w:rsid w:val="00D52C34"/>
    <w:rsid w:val="00D52D09"/>
    <w:rsid w:val="00D52D3A"/>
    <w:rsid w:val="00D52DE7"/>
    <w:rsid w:val="00D53203"/>
    <w:rsid w:val="00D53692"/>
    <w:rsid w:val="00D539E6"/>
    <w:rsid w:val="00D53C09"/>
    <w:rsid w:val="00D53FAF"/>
    <w:rsid w:val="00D5479A"/>
    <w:rsid w:val="00D54DAE"/>
    <w:rsid w:val="00D55783"/>
    <w:rsid w:val="00D5655F"/>
    <w:rsid w:val="00D56588"/>
    <w:rsid w:val="00D56871"/>
    <w:rsid w:val="00D5692A"/>
    <w:rsid w:val="00D57211"/>
    <w:rsid w:val="00D57449"/>
    <w:rsid w:val="00D57C18"/>
    <w:rsid w:val="00D57DA9"/>
    <w:rsid w:val="00D6024A"/>
    <w:rsid w:val="00D60281"/>
    <w:rsid w:val="00D60405"/>
    <w:rsid w:val="00D6068E"/>
    <w:rsid w:val="00D610BB"/>
    <w:rsid w:val="00D61399"/>
    <w:rsid w:val="00D614B0"/>
    <w:rsid w:val="00D61523"/>
    <w:rsid w:val="00D61607"/>
    <w:rsid w:val="00D617F8"/>
    <w:rsid w:val="00D61982"/>
    <w:rsid w:val="00D61E88"/>
    <w:rsid w:val="00D61F9C"/>
    <w:rsid w:val="00D6210C"/>
    <w:rsid w:val="00D62474"/>
    <w:rsid w:val="00D62C8F"/>
    <w:rsid w:val="00D62C9D"/>
    <w:rsid w:val="00D62ED2"/>
    <w:rsid w:val="00D62F16"/>
    <w:rsid w:val="00D63121"/>
    <w:rsid w:val="00D632E8"/>
    <w:rsid w:val="00D63571"/>
    <w:rsid w:val="00D6366C"/>
    <w:rsid w:val="00D636BF"/>
    <w:rsid w:val="00D6374D"/>
    <w:rsid w:val="00D637C8"/>
    <w:rsid w:val="00D63807"/>
    <w:rsid w:val="00D63AD3"/>
    <w:rsid w:val="00D63BD1"/>
    <w:rsid w:val="00D63E79"/>
    <w:rsid w:val="00D6439C"/>
    <w:rsid w:val="00D644CF"/>
    <w:rsid w:val="00D6462C"/>
    <w:rsid w:val="00D648BA"/>
    <w:rsid w:val="00D64DB8"/>
    <w:rsid w:val="00D6523F"/>
    <w:rsid w:val="00D65676"/>
    <w:rsid w:val="00D65733"/>
    <w:rsid w:val="00D6598E"/>
    <w:rsid w:val="00D65B7B"/>
    <w:rsid w:val="00D65C07"/>
    <w:rsid w:val="00D65D96"/>
    <w:rsid w:val="00D65F56"/>
    <w:rsid w:val="00D66210"/>
    <w:rsid w:val="00D6629E"/>
    <w:rsid w:val="00D66C03"/>
    <w:rsid w:val="00D66C0A"/>
    <w:rsid w:val="00D670D4"/>
    <w:rsid w:val="00D674C0"/>
    <w:rsid w:val="00D675F2"/>
    <w:rsid w:val="00D6794E"/>
    <w:rsid w:val="00D67BC3"/>
    <w:rsid w:val="00D67C11"/>
    <w:rsid w:val="00D700FC"/>
    <w:rsid w:val="00D7028C"/>
    <w:rsid w:val="00D70BBB"/>
    <w:rsid w:val="00D70FBE"/>
    <w:rsid w:val="00D7162E"/>
    <w:rsid w:val="00D7193F"/>
    <w:rsid w:val="00D71BF5"/>
    <w:rsid w:val="00D71DF8"/>
    <w:rsid w:val="00D71F94"/>
    <w:rsid w:val="00D72203"/>
    <w:rsid w:val="00D7220C"/>
    <w:rsid w:val="00D7223B"/>
    <w:rsid w:val="00D723C3"/>
    <w:rsid w:val="00D728F1"/>
    <w:rsid w:val="00D72B5E"/>
    <w:rsid w:val="00D72C86"/>
    <w:rsid w:val="00D72E7D"/>
    <w:rsid w:val="00D72ECA"/>
    <w:rsid w:val="00D7353A"/>
    <w:rsid w:val="00D735A3"/>
    <w:rsid w:val="00D73647"/>
    <w:rsid w:val="00D73B0E"/>
    <w:rsid w:val="00D73B4B"/>
    <w:rsid w:val="00D73B59"/>
    <w:rsid w:val="00D73E99"/>
    <w:rsid w:val="00D74AAA"/>
    <w:rsid w:val="00D74D37"/>
    <w:rsid w:val="00D7502A"/>
    <w:rsid w:val="00D75325"/>
    <w:rsid w:val="00D7533E"/>
    <w:rsid w:val="00D7539D"/>
    <w:rsid w:val="00D753B7"/>
    <w:rsid w:val="00D753DB"/>
    <w:rsid w:val="00D754A5"/>
    <w:rsid w:val="00D75E0C"/>
    <w:rsid w:val="00D75FD5"/>
    <w:rsid w:val="00D767CE"/>
    <w:rsid w:val="00D767F4"/>
    <w:rsid w:val="00D76B9A"/>
    <w:rsid w:val="00D76D1F"/>
    <w:rsid w:val="00D77006"/>
    <w:rsid w:val="00D7708B"/>
    <w:rsid w:val="00D7713C"/>
    <w:rsid w:val="00D7737D"/>
    <w:rsid w:val="00D7758E"/>
    <w:rsid w:val="00D77816"/>
    <w:rsid w:val="00D778A5"/>
    <w:rsid w:val="00D77935"/>
    <w:rsid w:val="00D77A84"/>
    <w:rsid w:val="00D77B8C"/>
    <w:rsid w:val="00D77F2F"/>
    <w:rsid w:val="00D77FE1"/>
    <w:rsid w:val="00D8023A"/>
    <w:rsid w:val="00D80250"/>
    <w:rsid w:val="00D80487"/>
    <w:rsid w:val="00D80542"/>
    <w:rsid w:val="00D8069C"/>
    <w:rsid w:val="00D807C6"/>
    <w:rsid w:val="00D80B77"/>
    <w:rsid w:val="00D80BE3"/>
    <w:rsid w:val="00D80C36"/>
    <w:rsid w:val="00D80EEA"/>
    <w:rsid w:val="00D80EF6"/>
    <w:rsid w:val="00D81120"/>
    <w:rsid w:val="00D812B4"/>
    <w:rsid w:val="00D813AD"/>
    <w:rsid w:val="00D8164D"/>
    <w:rsid w:val="00D816D2"/>
    <w:rsid w:val="00D82149"/>
    <w:rsid w:val="00D82235"/>
    <w:rsid w:val="00D824B8"/>
    <w:rsid w:val="00D8271F"/>
    <w:rsid w:val="00D8277D"/>
    <w:rsid w:val="00D82891"/>
    <w:rsid w:val="00D82928"/>
    <w:rsid w:val="00D82D03"/>
    <w:rsid w:val="00D831F0"/>
    <w:rsid w:val="00D8332F"/>
    <w:rsid w:val="00D83822"/>
    <w:rsid w:val="00D83B22"/>
    <w:rsid w:val="00D8485D"/>
    <w:rsid w:val="00D848C9"/>
    <w:rsid w:val="00D84DC5"/>
    <w:rsid w:val="00D84EBC"/>
    <w:rsid w:val="00D85226"/>
    <w:rsid w:val="00D85416"/>
    <w:rsid w:val="00D85678"/>
    <w:rsid w:val="00D856C8"/>
    <w:rsid w:val="00D8580C"/>
    <w:rsid w:val="00D85C95"/>
    <w:rsid w:val="00D86186"/>
    <w:rsid w:val="00D86386"/>
    <w:rsid w:val="00D8669C"/>
    <w:rsid w:val="00D867F1"/>
    <w:rsid w:val="00D86B61"/>
    <w:rsid w:val="00D87190"/>
    <w:rsid w:val="00D873A2"/>
    <w:rsid w:val="00D87632"/>
    <w:rsid w:val="00D87678"/>
    <w:rsid w:val="00D877A8"/>
    <w:rsid w:val="00D87865"/>
    <w:rsid w:val="00D878C3"/>
    <w:rsid w:val="00D8796D"/>
    <w:rsid w:val="00D87B0D"/>
    <w:rsid w:val="00D87B7A"/>
    <w:rsid w:val="00D87C2E"/>
    <w:rsid w:val="00D90657"/>
    <w:rsid w:val="00D90805"/>
    <w:rsid w:val="00D908B7"/>
    <w:rsid w:val="00D908FA"/>
    <w:rsid w:val="00D9093D"/>
    <w:rsid w:val="00D90CDE"/>
    <w:rsid w:val="00D90D8F"/>
    <w:rsid w:val="00D90F7A"/>
    <w:rsid w:val="00D90FF3"/>
    <w:rsid w:val="00D91046"/>
    <w:rsid w:val="00D914F5"/>
    <w:rsid w:val="00D91AF8"/>
    <w:rsid w:val="00D91C88"/>
    <w:rsid w:val="00D91D03"/>
    <w:rsid w:val="00D91DFB"/>
    <w:rsid w:val="00D91E79"/>
    <w:rsid w:val="00D921BA"/>
    <w:rsid w:val="00D9249F"/>
    <w:rsid w:val="00D92736"/>
    <w:rsid w:val="00D92AA3"/>
    <w:rsid w:val="00D92E95"/>
    <w:rsid w:val="00D92F1E"/>
    <w:rsid w:val="00D9302A"/>
    <w:rsid w:val="00D9383C"/>
    <w:rsid w:val="00D93DE7"/>
    <w:rsid w:val="00D94243"/>
    <w:rsid w:val="00D94432"/>
    <w:rsid w:val="00D9449B"/>
    <w:rsid w:val="00D94583"/>
    <w:rsid w:val="00D950B5"/>
    <w:rsid w:val="00D9569E"/>
    <w:rsid w:val="00D95A1D"/>
    <w:rsid w:val="00D95D95"/>
    <w:rsid w:val="00D95E1C"/>
    <w:rsid w:val="00D96172"/>
    <w:rsid w:val="00D962AA"/>
    <w:rsid w:val="00D962E7"/>
    <w:rsid w:val="00D96491"/>
    <w:rsid w:val="00D96D1A"/>
    <w:rsid w:val="00D96EAF"/>
    <w:rsid w:val="00D97115"/>
    <w:rsid w:val="00D972D0"/>
    <w:rsid w:val="00D9745C"/>
    <w:rsid w:val="00D9780F"/>
    <w:rsid w:val="00D97A70"/>
    <w:rsid w:val="00D97DDD"/>
    <w:rsid w:val="00DA018F"/>
    <w:rsid w:val="00DA04E4"/>
    <w:rsid w:val="00DA0658"/>
    <w:rsid w:val="00DA0E80"/>
    <w:rsid w:val="00DA10EB"/>
    <w:rsid w:val="00DA153C"/>
    <w:rsid w:val="00DA1767"/>
    <w:rsid w:val="00DA1C8F"/>
    <w:rsid w:val="00DA22B0"/>
    <w:rsid w:val="00DA249C"/>
    <w:rsid w:val="00DA2722"/>
    <w:rsid w:val="00DA2A11"/>
    <w:rsid w:val="00DA2B19"/>
    <w:rsid w:val="00DA2FE4"/>
    <w:rsid w:val="00DA319E"/>
    <w:rsid w:val="00DA3320"/>
    <w:rsid w:val="00DA38D7"/>
    <w:rsid w:val="00DA397C"/>
    <w:rsid w:val="00DA3BCE"/>
    <w:rsid w:val="00DA3BE4"/>
    <w:rsid w:val="00DA3CAB"/>
    <w:rsid w:val="00DA423F"/>
    <w:rsid w:val="00DA4323"/>
    <w:rsid w:val="00DA4634"/>
    <w:rsid w:val="00DA495E"/>
    <w:rsid w:val="00DA505F"/>
    <w:rsid w:val="00DA52B8"/>
    <w:rsid w:val="00DA5629"/>
    <w:rsid w:val="00DA57CC"/>
    <w:rsid w:val="00DA58CC"/>
    <w:rsid w:val="00DA616F"/>
    <w:rsid w:val="00DA6547"/>
    <w:rsid w:val="00DA65D2"/>
    <w:rsid w:val="00DA6640"/>
    <w:rsid w:val="00DA668F"/>
    <w:rsid w:val="00DA6B21"/>
    <w:rsid w:val="00DA7494"/>
    <w:rsid w:val="00DA7815"/>
    <w:rsid w:val="00DA7834"/>
    <w:rsid w:val="00DA78DE"/>
    <w:rsid w:val="00DA7BA9"/>
    <w:rsid w:val="00DA7C7A"/>
    <w:rsid w:val="00DA7D79"/>
    <w:rsid w:val="00DB0240"/>
    <w:rsid w:val="00DB0377"/>
    <w:rsid w:val="00DB0392"/>
    <w:rsid w:val="00DB06B0"/>
    <w:rsid w:val="00DB0825"/>
    <w:rsid w:val="00DB086A"/>
    <w:rsid w:val="00DB0BD2"/>
    <w:rsid w:val="00DB109D"/>
    <w:rsid w:val="00DB162F"/>
    <w:rsid w:val="00DB2045"/>
    <w:rsid w:val="00DB204E"/>
    <w:rsid w:val="00DB20D1"/>
    <w:rsid w:val="00DB232D"/>
    <w:rsid w:val="00DB2454"/>
    <w:rsid w:val="00DB2A5D"/>
    <w:rsid w:val="00DB2BE9"/>
    <w:rsid w:val="00DB2D11"/>
    <w:rsid w:val="00DB2E9F"/>
    <w:rsid w:val="00DB37A8"/>
    <w:rsid w:val="00DB37BD"/>
    <w:rsid w:val="00DB381D"/>
    <w:rsid w:val="00DB384A"/>
    <w:rsid w:val="00DB38AF"/>
    <w:rsid w:val="00DB38B2"/>
    <w:rsid w:val="00DB39C6"/>
    <w:rsid w:val="00DB3A21"/>
    <w:rsid w:val="00DB3C43"/>
    <w:rsid w:val="00DB466A"/>
    <w:rsid w:val="00DB48BF"/>
    <w:rsid w:val="00DB4969"/>
    <w:rsid w:val="00DB4ADF"/>
    <w:rsid w:val="00DB4C5C"/>
    <w:rsid w:val="00DB5BAA"/>
    <w:rsid w:val="00DB61C2"/>
    <w:rsid w:val="00DB6319"/>
    <w:rsid w:val="00DB6423"/>
    <w:rsid w:val="00DB6491"/>
    <w:rsid w:val="00DB69C6"/>
    <w:rsid w:val="00DB750C"/>
    <w:rsid w:val="00DB766C"/>
    <w:rsid w:val="00DB7740"/>
    <w:rsid w:val="00DB784B"/>
    <w:rsid w:val="00DB7921"/>
    <w:rsid w:val="00DB7BB3"/>
    <w:rsid w:val="00DB7DDC"/>
    <w:rsid w:val="00DC027F"/>
    <w:rsid w:val="00DC057F"/>
    <w:rsid w:val="00DC06C1"/>
    <w:rsid w:val="00DC0F5F"/>
    <w:rsid w:val="00DC1845"/>
    <w:rsid w:val="00DC1FB5"/>
    <w:rsid w:val="00DC23C8"/>
    <w:rsid w:val="00DC24FA"/>
    <w:rsid w:val="00DC258F"/>
    <w:rsid w:val="00DC2708"/>
    <w:rsid w:val="00DC2831"/>
    <w:rsid w:val="00DC2BCD"/>
    <w:rsid w:val="00DC32AA"/>
    <w:rsid w:val="00DC356B"/>
    <w:rsid w:val="00DC3E57"/>
    <w:rsid w:val="00DC40A7"/>
    <w:rsid w:val="00DC44DF"/>
    <w:rsid w:val="00DC4607"/>
    <w:rsid w:val="00DC4907"/>
    <w:rsid w:val="00DC4926"/>
    <w:rsid w:val="00DC4E8C"/>
    <w:rsid w:val="00DC4FA8"/>
    <w:rsid w:val="00DC52DD"/>
    <w:rsid w:val="00DC52FC"/>
    <w:rsid w:val="00DC53F2"/>
    <w:rsid w:val="00DC5A92"/>
    <w:rsid w:val="00DC5E33"/>
    <w:rsid w:val="00DC6306"/>
    <w:rsid w:val="00DC63A5"/>
    <w:rsid w:val="00DC6849"/>
    <w:rsid w:val="00DC7192"/>
    <w:rsid w:val="00DC731F"/>
    <w:rsid w:val="00DC7967"/>
    <w:rsid w:val="00DD00D7"/>
    <w:rsid w:val="00DD0125"/>
    <w:rsid w:val="00DD071D"/>
    <w:rsid w:val="00DD0844"/>
    <w:rsid w:val="00DD0886"/>
    <w:rsid w:val="00DD0A13"/>
    <w:rsid w:val="00DD0C76"/>
    <w:rsid w:val="00DD0D67"/>
    <w:rsid w:val="00DD0DDD"/>
    <w:rsid w:val="00DD0E53"/>
    <w:rsid w:val="00DD0F43"/>
    <w:rsid w:val="00DD1251"/>
    <w:rsid w:val="00DD1524"/>
    <w:rsid w:val="00DD15D0"/>
    <w:rsid w:val="00DD1CA0"/>
    <w:rsid w:val="00DD1CD7"/>
    <w:rsid w:val="00DD2158"/>
    <w:rsid w:val="00DD24D9"/>
    <w:rsid w:val="00DD2AA2"/>
    <w:rsid w:val="00DD2C1A"/>
    <w:rsid w:val="00DD31CD"/>
    <w:rsid w:val="00DD35E8"/>
    <w:rsid w:val="00DD4025"/>
    <w:rsid w:val="00DD40E3"/>
    <w:rsid w:val="00DD413C"/>
    <w:rsid w:val="00DD4709"/>
    <w:rsid w:val="00DD4944"/>
    <w:rsid w:val="00DD4F0F"/>
    <w:rsid w:val="00DD5025"/>
    <w:rsid w:val="00DD5317"/>
    <w:rsid w:val="00DD5366"/>
    <w:rsid w:val="00DD5489"/>
    <w:rsid w:val="00DD567E"/>
    <w:rsid w:val="00DD59CD"/>
    <w:rsid w:val="00DD5A3B"/>
    <w:rsid w:val="00DD5E39"/>
    <w:rsid w:val="00DD622C"/>
    <w:rsid w:val="00DD6600"/>
    <w:rsid w:val="00DD6780"/>
    <w:rsid w:val="00DD6D4C"/>
    <w:rsid w:val="00DD7128"/>
    <w:rsid w:val="00DD722C"/>
    <w:rsid w:val="00DD72D6"/>
    <w:rsid w:val="00DD7DFC"/>
    <w:rsid w:val="00DD7E44"/>
    <w:rsid w:val="00DE03BF"/>
    <w:rsid w:val="00DE0429"/>
    <w:rsid w:val="00DE072D"/>
    <w:rsid w:val="00DE0AE4"/>
    <w:rsid w:val="00DE0C23"/>
    <w:rsid w:val="00DE0D05"/>
    <w:rsid w:val="00DE0D7C"/>
    <w:rsid w:val="00DE1331"/>
    <w:rsid w:val="00DE1526"/>
    <w:rsid w:val="00DE1F0C"/>
    <w:rsid w:val="00DE2116"/>
    <w:rsid w:val="00DE22B4"/>
    <w:rsid w:val="00DE27C6"/>
    <w:rsid w:val="00DE2B99"/>
    <w:rsid w:val="00DE2DB7"/>
    <w:rsid w:val="00DE3665"/>
    <w:rsid w:val="00DE3E7E"/>
    <w:rsid w:val="00DE3FEA"/>
    <w:rsid w:val="00DE43B7"/>
    <w:rsid w:val="00DE466A"/>
    <w:rsid w:val="00DE4F8E"/>
    <w:rsid w:val="00DE50D4"/>
    <w:rsid w:val="00DE520F"/>
    <w:rsid w:val="00DE53B2"/>
    <w:rsid w:val="00DE55F5"/>
    <w:rsid w:val="00DE5785"/>
    <w:rsid w:val="00DE5B16"/>
    <w:rsid w:val="00DE5B5C"/>
    <w:rsid w:val="00DE5CE7"/>
    <w:rsid w:val="00DE6564"/>
    <w:rsid w:val="00DE66A0"/>
    <w:rsid w:val="00DE678B"/>
    <w:rsid w:val="00DE68CB"/>
    <w:rsid w:val="00DE6AF3"/>
    <w:rsid w:val="00DE6BC7"/>
    <w:rsid w:val="00DE6F8E"/>
    <w:rsid w:val="00DE7134"/>
    <w:rsid w:val="00DE7824"/>
    <w:rsid w:val="00DE78F3"/>
    <w:rsid w:val="00DE79E5"/>
    <w:rsid w:val="00DE79EA"/>
    <w:rsid w:val="00DE7B25"/>
    <w:rsid w:val="00DE7F02"/>
    <w:rsid w:val="00DF04A6"/>
    <w:rsid w:val="00DF0512"/>
    <w:rsid w:val="00DF05FF"/>
    <w:rsid w:val="00DF0AF0"/>
    <w:rsid w:val="00DF109C"/>
    <w:rsid w:val="00DF1402"/>
    <w:rsid w:val="00DF1751"/>
    <w:rsid w:val="00DF1758"/>
    <w:rsid w:val="00DF18F1"/>
    <w:rsid w:val="00DF1C92"/>
    <w:rsid w:val="00DF1CBC"/>
    <w:rsid w:val="00DF1E9C"/>
    <w:rsid w:val="00DF1F64"/>
    <w:rsid w:val="00DF24C8"/>
    <w:rsid w:val="00DF25C7"/>
    <w:rsid w:val="00DF2700"/>
    <w:rsid w:val="00DF29ED"/>
    <w:rsid w:val="00DF2AD6"/>
    <w:rsid w:val="00DF2BB4"/>
    <w:rsid w:val="00DF308A"/>
    <w:rsid w:val="00DF315C"/>
    <w:rsid w:val="00DF3766"/>
    <w:rsid w:val="00DF3AC2"/>
    <w:rsid w:val="00DF4063"/>
    <w:rsid w:val="00DF4657"/>
    <w:rsid w:val="00DF47C3"/>
    <w:rsid w:val="00DF4BFA"/>
    <w:rsid w:val="00DF4F57"/>
    <w:rsid w:val="00DF50A5"/>
    <w:rsid w:val="00DF56E6"/>
    <w:rsid w:val="00DF56F4"/>
    <w:rsid w:val="00DF5762"/>
    <w:rsid w:val="00DF588D"/>
    <w:rsid w:val="00DF59E6"/>
    <w:rsid w:val="00DF5C73"/>
    <w:rsid w:val="00DF5ED8"/>
    <w:rsid w:val="00DF5F26"/>
    <w:rsid w:val="00DF6228"/>
    <w:rsid w:val="00DF636F"/>
    <w:rsid w:val="00DF65FF"/>
    <w:rsid w:val="00DF6895"/>
    <w:rsid w:val="00DF689A"/>
    <w:rsid w:val="00DF6A30"/>
    <w:rsid w:val="00DF6F6F"/>
    <w:rsid w:val="00DF736F"/>
    <w:rsid w:val="00DF7B96"/>
    <w:rsid w:val="00DF7E1A"/>
    <w:rsid w:val="00DF7F0D"/>
    <w:rsid w:val="00E006A0"/>
    <w:rsid w:val="00E00900"/>
    <w:rsid w:val="00E009BE"/>
    <w:rsid w:val="00E00BE4"/>
    <w:rsid w:val="00E00D37"/>
    <w:rsid w:val="00E015D9"/>
    <w:rsid w:val="00E017F9"/>
    <w:rsid w:val="00E01874"/>
    <w:rsid w:val="00E01A15"/>
    <w:rsid w:val="00E01C53"/>
    <w:rsid w:val="00E01D00"/>
    <w:rsid w:val="00E01FA2"/>
    <w:rsid w:val="00E0233F"/>
    <w:rsid w:val="00E024C1"/>
    <w:rsid w:val="00E025BD"/>
    <w:rsid w:val="00E026B8"/>
    <w:rsid w:val="00E028EE"/>
    <w:rsid w:val="00E0296C"/>
    <w:rsid w:val="00E02B93"/>
    <w:rsid w:val="00E02D02"/>
    <w:rsid w:val="00E02E56"/>
    <w:rsid w:val="00E037EC"/>
    <w:rsid w:val="00E037F4"/>
    <w:rsid w:val="00E03858"/>
    <w:rsid w:val="00E03CD7"/>
    <w:rsid w:val="00E03FFD"/>
    <w:rsid w:val="00E0436E"/>
    <w:rsid w:val="00E04626"/>
    <w:rsid w:val="00E04924"/>
    <w:rsid w:val="00E05085"/>
    <w:rsid w:val="00E0522B"/>
    <w:rsid w:val="00E053E3"/>
    <w:rsid w:val="00E05D34"/>
    <w:rsid w:val="00E05EE8"/>
    <w:rsid w:val="00E06209"/>
    <w:rsid w:val="00E065CD"/>
    <w:rsid w:val="00E07328"/>
    <w:rsid w:val="00E07C3C"/>
    <w:rsid w:val="00E07EB1"/>
    <w:rsid w:val="00E10035"/>
    <w:rsid w:val="00E1069F"/>
    <w:rsid w:val="00E106AB"/>
    <w:rsid w:val="00E10C8C"/>
    <w:rsid w:val="00E114E1"/>
    <w:rsid w:val="00E1165C"/>
    <w:rsid w:val="00E1169A"/>
    <w:rsid w:val="00E117A4"/>
    <w:rsid w:val="00E119DB"/>
    <w:rsid w:val="00E11A98"/>
    <w:rsid w:val="00E11BD4"/>
    <w:rsid w:val="00E11C4A"/>
    <w:rsid w:val="00E11DBC"/>
    <w:rsid w:val="00E11FB5"/>
    <w:rsid w:val="00E12051"/>
    <w:rsid w:val="00E12093"/>
    <w:rsid w:val="00E12455"/>
    <w:rsid w:val="00E124EB"/>
    <w:rsid w:val="00E12E99"/>
    <w:rsid w:val="00E134B8"/>
    <w:rsid w:val="00E135E3"/>
    <w:rsid w:val="00E137CA"/>
    <w:rsid w:val="00E13966"/>
    <w:rsid w:val="00E13E6E"/>
    <w:rsid w:val="00E13EF5"/>
    <w:rsid w:val="00E142C5"/>
    <w:rsid w:val="00E14BE6"/>
    <w:rsid w:val="00E14C8C"/>
    <w:rsid w:val="00E14DA0"/>
    <w:rsid w:val="00E14DE9"/>
    <w:rsid w:val="00E1525D"/>
    <w:rsid w:val="00E1544A"/>
    <w:rsid w:val="00E15601"/>
    <w:rsid w:val="00E15B02"/>
    <w:rsid w:val="00E15B9B"/>
    <w:rsid w:val="00E15D02"/>
    <w:rsid w:val="00E16022"/>
    <w:rsid w:val="00E1615D"/>
    <w:rsid w:val="00E16321"/>
    <w:rsid w:val="00E166ED"/>
    <w:rsid w:val="00E167D9"/>
    <w:rsid w:val="00E169D4"/>
    <w:rsid w:val="00E16A89"/>
    <w:rsid w:val="00E16B65"/>
    <w:rsid w:val="00E1702C"/>
    <w:rsid w:val="00E172DC"/>
    <w:rsid w:val="00E1739B"/>
    <w:rsid w:val="00E1768F"/>
    <w:rsid w:val="00E1775C"/>
    <w:rsid w:val="00E17867"/>
    <w:rsid w:val="00E178C9"/>
    <w:rsid w:val="00E201BB"/>
    <w:rsid w:val="00E206B5"/>
    <w:rsid w:val="00E20830"/>
    <w:rsid w:val="00E2094C"/>
    <w:rsid w:val="00E21105"/>
    <w:rsid w:val="00E219D8"/>
    <w:rsid w:val="00E21C76"/>
    <w:rsid w:val="00E21D19"/>
    <w:rsid w:val="00E21D51"/>
    <w:rsid w:val="00E21D71"/>
    <w:rsid w:val="00E21E80"/>
    <w:rsid w:val="00E2251D"/>
    <w:rsid w:val="00E226CB"/>
    <w:rsid w:val="00E22760"/>
    <w:rsid w:val="00E22A5A"/>
    <w:rsid w:val="00E22B1D"/>
    <w:rsid w:val="00E22CFB"/>
    <w:rsid w:val="00E22F1E"/>
    <w:rsid w:val="00E234F4"/>
    <w:rsid w:val="00E23633"/>
    <w:rsid w:val="00E238B6"/>
    <w:rsid w:val="00E239D7"/>
    <w:rsid w:val="00E23C18"/>
    <w:rsid w:val="00E23D1C"/>
    <w:rsid w:val="00E245D2"/>
    <w:rsid w:val="00E246E0"/>
    <w:rsid w:val="00E2475A"/>
    <w:rsid w:val="00E2477A"/>
    <w:rsid w:val="00E24ACA"/>
    <w:rsid w:val="00E24F6F"/>
    <w:rsid w:val="00E2511A"/>
    <w:rsid w:val="00E2518C"/>
    <w:rsid w:val="00E25A63"/>
    <w:rsid w:val="00E25A74"/>
    <w:rsid w:val="00E25FEF"/>
    <w:rsid w:val="00E2644E"/>
    <w:rsid w:val="00E2681B"/>
    <w:rsid w:val="00E26E68"/>
    <w:rsid w:val="00E27153"/>
    <w:rsid w:val="00E27176"/>
    <w:rsid w:val="00E27509"/>
    <w:rsid w:val="00E27DFE"/>
    <w:rsid w:val="00E27FEB"/>
    <w:rsid w:val="00E309CA"/>
    <w:rsid w:val="00E309EC"/>
    <w:rsid w:val="00E30A9F"/>
    <w:rsid w:val="00E30EE4"/>
    <w:rsid w:val="00E30F7C"/>
    <w:rsid w:val="00E30F82"/>
    <w:rsid w:val="00E31081"/>
    <w:rsid w:val="00E311F7"/>
    <w:rsid w:val="00E316C7"/>
    <w:rsid w:val="00E3175C"/>
    <w:rsid w:val="00E317B5"/>
    <w:rsid w:val="00E318C3"/>
    <w:rsid w:val="00E31A4B"/>
    <w:rsid w:val="00E31F39"/>
    <w:rsid w:val="00E31F7D"/>
    <w:rsid w:val="00E32349"/>
    <w:rsid w:val="00E3234A"/>
    <w:rsid w:val="00E32BD6"/>
    <w:rsid w:val="00E32C84"/>
    <w:rsid w:val="00E32DE7"/>
    <w:rsid w:val="00E33169"/>
    <w:rsid w:val="00E33BA5"/>
    <w:rsid w:val="00E3405D"/>
    <w:rsid w:val="00E347CC"/>
    <w:rsid w:val="00E34970"/>
    <w:rsid w:val="00E34ACD"/>
    <w:rsid w:val="00E34BE2"/>
    <w:rsid w:val="00E34D97"/>
    <w:rsid w:val="00E34E4E"/>
    <w:rsid w:val="00E35173"/>
    <w:rsid w:val="00E35199"/>
    <w:rsid w:val="00E351C8"/>
    <w:rsid w:val="00E3531A"/>
    <w:rsid w:val="00E353F6"/>
    <w:rsid w:val="00E35449"/>
    <w:rsid w:val="00E35457"/>
    <w:rsid w:val="00E355BB"/>
    <w:rsid w:val="00E356CB"/>
    <w:rsid w:val="00E358AF"/>
    <w:rsid w:val="00E36102"/>
    <w:rsid w:val="00E36290"/>
    <w:rsid w:val="00E36339"/>
    <w:rsid w:val="00E36651"/>
    <w:rsid w:val="00E37002"/>
    <w:rsid w:val="00E373DB"/>
    <w:rsid w:val="00E37602"/>
    <w:rsid w:val="00E3794A"/>
    <w:rsid w:val="00E37A11"/>
    <w:rsid w:val="00E37C46"/>
    <w:rsid w:val="00E37D06"/>
    <w:rsid w:val="00E37D1E"/>
    <w:rsid w:val="00E37F61"/>
    <w:rsid w:val="00E40624"/>
    <w:rsid w:val="00E40667"/>
    <w:rsid w:val="00E40731"/>
    <w:rsid w:val="00E40E7C"/>
    <w:rsid w:val="00E40EE5"/>
    <w:rsid w:val="00E4111C"/>
    <w:rsid w:val="00E41448"/>
    <w:rsid w:val="00E41469"/>
    <w:rsid w:val="00E41F1D"/>
    <w:rsid w:val="00E43BAD"/>
    <w:rsid w:val="00E43C19"/>
    <w:rsid w:val="00E43DE0"/>
    <w:rsid w:val="00E44BAB"/>
    <w:rsid w:val="00E44E1A"/>
    <w:rsid w:val="00E44F04"/>
    <w:rsid w:val="00E44F5C"/>
    <w:rsid w:val="00E45134"/>
    <w:rsid w:val="00E4515D"/>
    <w:rsid w:val="00E452F2"/>
    <w:rsid w:val="00E45822"/>
    <w:rsid w:val="00E4590B"/>
    <w:rsid w:val="00E45989"/>
    <w:rsid w:val="00E459BB"/>
    <w:rsid w:val="00E45A7B"/>
    <w:rsid w:val="00E46101"/>
    <w:rsid w:val="00E465F7"/>
    <w:rsid w:val="00E46678"/>
    <w:rsid w:val="00E467EE"/>
    <w:rsid w:val="00E46A03"/>
    <w:rsid w:val="00E46AF9"/>
    <w:rsid w:val="00E46CE1"/>
    <w:rsid w:val="00E46D73"/>
    <w:rsid w:val="00E4706B"/>
    <w:rsid w:val="00E47513"/>
    <w:rsid w:val="00E478C6"/>
    <w:rsid w:val="00E4798F"/>
    <w:rsid w:val="00E479C8"/>
    <w:rsid w:val="00E47B9B"/>
    <w:rsid w:val="00E47DB3"/>
    <w:rsid w:val="00E5073F"/>
    <w:rsid w:val="00E50825"/>
    <w:rsid w:val="00E509E5"/>
    <w:rsid w:val="00E50AA6"/>
    <w:rsid w:val="00E50AAB"/>
    <w:rsid w:val="00E50B56"/>
    <w:rsid w:val="00E511CA"/>
    <w:rsid w:val="00E5142A"/>
    <w:rsid w:val="00E51AF8"/>
    <w:rsid w:val="00E51CB6"/>
    <w:rsid w:val="00E52221"/>
    <w:rsid w:val="00E52CB6"/>
    <w:rsid w:val="00E52CF2"/>
    <w:rsid w:val="00E52E65"/>
    <w:rsid w:val="00E53031"/>
    <w:rsid w:val="00E534DA"/>
    <w:rsid w:val="00E53572"/>
    <w:rsid w:val="00E53693"/>
    <w:rsid w:val="00E539E8"/>
    <w:rsid w:val="00E53F16"/>
    <w:rsid w:val="00E54135"/>
    <w:rsid w:val="00E54BC3"/>
    <w:rsid w:val="00E54D0E"/>
    <w:rsid w:val="00E5520C"/>
    <w:rsid w:val="00E554B3"/>
    <w:rsid w:val="00E55644"/>
    <w:rsid w:val="00E556F6"/>
    <w:rsid w:val="00E55814"/>
    <w:rsid w:val="00E558A0"/>
    <w:rsid w:val="00E55ECE"/>
    <w:rsid w:val="00E55EF5"/>
    <w:rsid w:val="00E56119"/>
    <w:rsid w:val="00E56756"/>
    <w:rsid w:val="00E568A9"/>
    <w:rsid w:val="00E56929"/>
    <w:rsid w:val="00E56C27"/>
    <w:rsid w:val="00E56D2C"/>
    <w:rsid w:val="00E57074"/>
    <w:rsid w:val="00E573EC"/>
    <w:rsid w:val="00E57507"/>
    <w:rsid w:val="00E57671"/>
    <w:rsid w:val="00E5795E"/>
    <w:rsid w:val="00E57A8A"/>
    <w:rsid w:val="00E57F89"/>
    <w:rsid w:val="00E6054D"/>
    <w:rsid w:val="00E61080"/>
    <w:rsid w:val="00E610A7"/>
    <w:rsid w:val="00E6143B"/>
    <w:rsid w:val="00E6190A"/>
    <w:rsid w:val="00E61BF1"/>
    <w:rsid w:val="00E61D22"/>
    <w:rsid w:val="00E62438"/>
    <w:rsid w:val="00E62567"/>
    <w:rsid w:val="00E62702"/>
    <w:rsid w:val="00E62D6A"/>
    <w:rsid w:val="00E62F9F"/>
    <w:rsid w:val="00E63A03"/>
    <w:rsid w:val="00E6421D"/>
    <w:rsid w:val="00E64988"/>
    <w:rsid w:val="00E64A3D"/>
    <w:rsid w:val="00E64C0B"/>
    <w:rsid w:val="00E64D8A"/>
    <w:rsid w:val="00E64ECB"/>
    <w:rsid w:val="00E64F6D"/>
    <w:rsid w:val="00E65217"/>
    <w:rsid w:val="00E65EB1"/>
    <w:rsid w:val="00E660DC"/>
    <w:rsid w:val="00E6766A"/>
    <w:rsid w:val="00E676A6"/>
    <w:rsid w:val="00E67937"/>
    <w:rsid w:val="00E67C66"/>
    <w:rsid w:val="00E67FEB"/>
    <w:rsid w:val="00E70093"/>
    <w:rsid w:val="00E703D5"/>
    <w:rsid w:val="00E7052D"/>
    <w:rsid w:val="00E70545"/>
    <w:rsid w:val="00E7066C"/>
    <w:rsid w:val="00E709E0"/>
    <w:rsid w:val="00E70B71"/>
    <w:rsid w:val="00E71214"/>
    <w:rsid w:val="00E717C8"/>
    <w:rsid w:val="00E71EF4"/>
    <w:rsid w:val="00E71F05"/>
    <w:rsid w:val="00E720C7"/>
    <w:rsid w:val="00E72198"/>
    <w:rsid w:val="00E72229"/>
    <w:rsid w:val="00E72726"/>
    <w:rsid w:val="00E72804"/>
    <w:rsid w:val="00E728E7"/>
    <w:rsid w:val="00E72DAD"/>
    <w:rsid w:val="00E72FCC"/>
    <w:rsid w:val="00E7304D"/>
    <w:rsid w:val="00E7312A"/>
    <w:rsid w:val="00E73398"/>
    <w:rsid w:val="00E7347A"/>
    <w:rsid w:val="00E736A3"/>
    <w:rsid w:val="00E73745"/>
    <w:rsid w:val="00E7385F"/>
    <w:rsid w:val="00E73AAF"/>
    <w:rsid w:val="00E73C45"/>
    <w:rsid w:val="00E73CDF"/>
    <w:rsid w:val="00E74169"/>
    <w:rsid w:val="00E748DE"/>
    <w:rsid w:val="00E74EB1"/>
    <w:rsid w:val="00E74F3D"/>
    <w:rsid w:val="00E75416"/>
    <w:rsid w:val="00E75482"/>
    <w:rsid w:val="00E754E1"/>
    <w:rsid w:val="00E7575A"/>
    <w:rsid w:val="00E75883"/>
    <w:rsid w:val="00E75B17"/>
    <w:rsid w:val="00E75B81"/>
    <w:rsid w:val="00E75E9A"/>
    <w:rsid w:val="00E7600D"/>
    <w:rsid w:val="00E762B4"/>
    <w:rsid w:val="00E764C7"/>
    <w:rsid w:val="00E76A16"/>
    <w:rsid w:val="00E76AFB"/>
    <w:rsid w:val="00E76BEE"/>
    <w:rsid w:val="00E76D59"/>
    <w:rsid w:val="00E7724D"/>
    <w:rsid w:val="00E772E4"/>
    <w:rsid w:val="00E7771E"/>
    <w:rsid w:val="00E80137"/>
    <w:rsid w:val="00E8024D"/>
    <w:rsid w:val="00E80331"/>
    <w:rsid w:val="00E80633"/>
    <w:rsid w:val="00E8068F"/>
    <w:rsid w:val="00E80749"/>
    <w:rsid w:val="00E80C00"/>
    <w:rsid w:val="00E80FB3"/>
    <w:rsid w:val="00E80FFD"/>
    <w:rsid w:val="00E81318"/>
    <w:rsid w:val="00E814D1"/>
    <w:rsid w:val="00E81906"/>
    <w:rsid w:val="00E819CF"/>
    <w:rsid w:val="00E81A09"/>
    <w:rsid w:val="00E81B70"/>
    <w:rsid w:val="00E823A6"/>
    <w:rsid w:val="00E8240F"/>
    <w:rsid w:val="00E825E2"/>
    <w:rsid w:val="00E82DE6"/>
    <w:rsid w:val="00E82F66"/>
    <w:rsid w:val="00E82F90"/>
    <w:rsid w:val="00E8333B"/>
    <w:rsid w:val="00E83943"/>
    <w:rsid w:val="00E84215"/>
    <w:rsid w:val="00E843F3"/>
    <w:rsid w:val="00E8479D"/>
    <w:rsid w:val="00E847C0"/>
    <w:rsid w:val="00E84A27"/>
    <w:rsid w:val="00E84D98"/>
    <w:rsid w:val="00E84FF3"/>
    <w:rsid w:val="00E852D0"/>
    <w:rsid w:val="00E854DD"/>
    <w:rsid w:val="00E85868"/>
    <w:rsid w:val="00E85BEE"/>
    <w:rsid w:val="00E85C04"/>
    <w:rsid w:val="00E85EEE"/>
    <w:rsid w:val="00E8633A"/>
    <w:rsid w:val="00E8648B"/>
    <w:rsid w:val="00E8667C"/>
    <w:rsid w:val="00E869EE"/>
    <w:rsid w:val="00E87817"/>
    <w:rsid w:val="00E87B20"/>
    <w:rsid w:val="00E87B25"/>
    <w:rsid w:val="00E9046F"/>
    <w:rsid w:val="00E90A62"/>
    <w:rsid w:val="00E91093"/>
    <w:rsid w:val="00E91239"/>
    <w:rsid w:val="00E916EB"/>
    <w:rsid w:val="00E9185C"/>
    <w:rsid w:val="00E91C5B"/>
    <w:rsid w:val="00E91F29"/>
    <w:rsid w:val="00E92563"/>
    <w:rsid w:val="00E92673"/>
    <w:rsid w:val="00E926D1"/>
    <w:rsid w:val="00E92D43"/>
    <w:rsid w:val="00E92DE8"/>
    <w:rsid w:val="00E931EF"/>
    <w:rsid w:val="00E93863"/>
    <w:rsid w:val="00E93AD2"/>
    <w:rsid w:val="00E93CF3"/>
    <w:rsid w:val="00E93F6A"/>
    <w:rsid w:val="00E93FEF"/>
    <w:rsid w:val="00E946BA"/>
    <w:rsid w:val="00E949B5"/>
    <w:rsid w:val="00E94A91"/>
    <w:rsid w:val="00E94EA3"/>
    <w:rsid w:val="00E94FFC"/>
    <w:rsid w:val="00E9542D"/>
    <w:rsid w:val="00E95791"/>
    <w:rsid w:val="00E9581E"/>
    <w:rsid w:val="00E95AE9"/>
    <w:rsid w:val="00E95BE0"/>
    <w:rsid w:val="00E96134"/>
    <w:rsid w:val="00E961B9"/>
    <w:rsid w:val="00E9628E"/>
    <w:rsid w:val="00E96A0D"/>
    <w:rsid w:val="00E96BBF"/>
    <w:rsid w:val="00E97058"/>
    <w:rsid w:val="00E97C2C"/>
    <w:rsid w:val="00E97F45"/>
    <w:rsid w:val="00EA0133"/>
    <w:rsid w:val="00EA02CF"/>
    <w:rsid w:val="00EA07E2"/>
    <w:rsid w:val="00EA0950"/>
    <w:rsid w:val="00EA0C42"/>
    <w:rsid w:val="00EA0F5B"/>
    <w:rsid w:val="00EA110F"/>
    <w:rsid w:val="00EA1130"/>
    <w:rsid w:val="00EA1401"/>
    <w:rsid w:val="00EA143B"/>
    <w:rsid w:val="00EA1802"/>
    <w:rsid w:val="00EA1984"/>
    <w:rsid w:val="00EA1A6C"/>
    <w:rsid w:val="00EA1D3B"/>
    <w:rsid w:val="00EA1DD9"/>
    <w:rsid w:val="00EA1DE5"/>
    <w:rsid w:val="00EA22C5"/>
    <w:rsid w:val="00EA2640"/>
    <w:rsid w:val="00EA2F32"/>
    <w:rsid w:val="00EA2FAF"/>
    <w:rsid w:val="00EA3247"/>
    <w:rsid w:val="00EA33DE"/>
    <w:rsid w:val="00EA37A1"/>
    <w:rsid w:val="00EA3C18"/>
    <w:rsid w:val="00EA3CAF"/>
    <w:rsid w:val="00EA3E33"/>
    <w:rsid w:val="00EA3ED0"/>
    <w:rsid w:val="00EA41A3"/>
    <w:rsid w:val="00EA449B"/>
    <w:rsid w:val="00EA461E"/>
    <w:rsid w:val="00EA49FE"/>
    <w:rsid w:val="00EA4B94"/>
    <w:rsid w:val="00EA4C79"/>
    <w:rsid w:val="00EA4D3E"/>
    <w:rsid w:val="00EA590E"/>
    <w:rsid w:val="00EA60E2"/>
    <w:rsid w:val="00EA616D"/>
    <w:rsid w:val="00EA61B5"/>
    <w:rsid w:val="00EA6578"/>
    <w:rsid w:val="00EA67AA"/>
    <w:rsid w:val="00EA6B39"/>
    <w:rsid w:val="00EA7137"/>
    <w:rsid w:val="00EA728C"/>
    <w:rsid w:val="00EA7410"/>
    <w:rsid w:val="00EA783C"/>
    <w:rsid w:val="00EA7A6E"/>
    <w:rsid w:val="00EA7B49"/>
    <w:rsid w:val="00EA7CF2"/>
    <w:rsid w:val="00EA7ED0"/>
    <w:rsid w:val="00EB00AC"/>
    <w:rsid w:val="00EB0426"/>
    <w:rsid w:val="00EB06F8"/>
    <w:rsid w:val="00EB0B96"/>
    <w:rsid w:val="00EB0BE1"/>
    <w:rsid w:val="00EB0D0D"/>
    <w:rsid w:val="00EB0DF3"/>
    <w:rsid w:val="00EB118A"/>
    <w:rsid w:val="00EB14A8"/>
    <w:rsid w:val="00EB1B55"/>
    <w:rsid w:val="00EB1E70"/>
    <w:rsid w:val="00EB238B"/>
    <w:rsid w:val="00EB2536"/>
    <w:rsid w:val="00EB2604"/>
    <w:rsid w:val="00EB2939"/>
    <w:rsid w:val="00EB29CC"/>
    <w:rsid w:val="00EB2A65"/>
    <w:rsid w:val="00EB2C49"/>
    <w:rsid w:val="00EB2D4B"/>
    <w:rsid w:val="00EB2E54"/>
    <w:rsid w:val="00EB319A"/>
    <w:rsid w:val="00EB32E8"/>
    <w:rsid w:val="00EB32EA"/>
    <w:rsid w:val="00EB348C"/>
    <w:rsid w:val="00EB36AC"/>
    <w:rsid w:val="00EB3921"/>
    <w:rsid w:val="00EB3A5B"/>
    <w:rsid w:val="00EB3A76"/>
    <w:rsid w:val="00EB3B93"/>
    <w:rsid w:val="00EB3FA6"/>
    <w:rsid w:val="00EB40DE"/>
    <w:rsid w:val="00EB4124"/>
    <w:rsid w:val="00EB43A2"/>
    <w:rsid w:val="00EB45CD"/>
    <w:rsid w:val="00EB4D65"/>
    <w:rsid w:val="00EB4DBB"/>
    <w:rsid w:val="00EB501A"/>
    <w:rsid w:val="00EB5266"/>
    <w:rsid w:val="00EB5559"/>
    <w:rsid w:val="00EB5632"/>
    <w:rsid w:val="00EB5960"/>
    <w:rsid w:val="00EB5C63"/>
    <w:rsid w:val="00EB6058"/>
    <w:rsid w:val="00EB614C"/>
    <w:rsid w:val="00EB61EF"/>
    <w:rsid w:val="00EB6260"/>
    <w:rsid w:val="00EB64ED"/>
    <w:rsid w:val="00EB6FBE"/>
    <w:rsid w:val="00EB7CA2"/>
    <w:rsid w:val="00EB7EA3"/>
    <w:rsid w:val="00EB7FB7"/>
    <w:rsid w:val="00EC013B"/>
    <w:rsid w:val="00EC03FC"/>
    <w:rsid w:val="00EC079F"/>
    <w:rsid w:val="00EC08BC"/>
    <w:rsid w:val="00EC0F3B"/>
    <w:rsid w:val="00EC0F5D"/>
    <w:rsid w:val="00EC11B0"/>
    <w:rsid w:val="00EC13CE"/>
    <w:rsid w:val="00EC15EA"/>
    <w:rsid w:val="00EC198C"/>
    <w:rsid w:val="00EC1AC6"/>
    <w:rsid w:val="00EC2223"/>
    <w:rsid w:val="00EC2B72"/>
    <w:rsid w:val="00EC2B95"/>
    <w:rsid w:val="00EC2CA3"/>
    <w:rsid w:val="00EC2F11"/>
    <w:rsid w:val="00EC31EC"/>
    <w:rsid w:val="00EC37A3"/>
    <w:rsid w:val="00EC391C"/>
    <w:rsid w:val="00EC3A56"/>
    <w:rsid w:val="00EC3CA5"/>
    <w:rsid w:val="00EC44C4"/>
    <w:rsid w:val="00EC4800"/>
    <w:rsid w:val="00EC4F94"/>
    <w:rsid w:val="00EC56C0"/>
    <w:rsid w:val="00EC5B20"/>
    <w:rsid w:val="00EC5CAD"/>
    <w:rsid w:val="00EC5E9E"/>
    <w:rsid w:val="00EC6212"/>
    <w:rsid w:val="00EC6678"/>
    <w:rsid w:val="00EC6FB0"/>
    <w:rsid w:val="00EC7147"/>
    <w:rsid w:val="00EC75C9"/>
    <w:rsid w:val="00EC7739"/>
    <w:rsid w:val="00EC78EC"/>
    <w:rsid w:val="00EC78FA"/>
    <w:rsid w:val="00EC79A6"/>
    <w:rsid w:val="00EC79AD"/>
    <w:rsid w:val="00EC7CCB"/>
    <w:rsid w:val="00EC7DEF"/>
    <w:rsid w:val="00ED0128"/>
    <w:rsid w:val="00ED0237"/>
    <w:rsid w:val="00ED050E"/>
    <w:rsid w:val="00ED0535"/>
    <w:rsid w:val="00ED0772"/>
    <w:rsid w:val="00ED08DF"/>
    <w:rsid w:val="00ED08E1"/>
    <w:rsid w:val="00ED092A"/>
    <w:rsid w:val="00ED0ED5"/>
    <w:rsid w:val="00ED10F8"/>
    <w:rsid w:val="00ED14C0"/>
    <w:rsid w:val="00ED1503"/>
    <w:rsid w:val="00ED1A26"/>
    <w:rsid w:val="00ED1A4B"/>
    <w:rsid w:val="00ED1D90"/>
    <w:rsid w:val="00ED1EDE"/>
    <w:rsid w:val="00ED20C2"/>
    <w:rsid w:val="00ED219B"/>
    <w:rsid w:val="00ED264B"/>
    <w:rsid w:val="00ED2C7D"/>
    <w:rsid w:val="00ED2E0D"/>
    <w:rsid w:val="00ED2F59"/>
    <w:rsid w:val="00ED3156"/>
    <w:rsid w:val="00ED323F"/>
    <w:rsid w:val="00ED3400"/>
    <w:rsid w:val="00ED3695"/>
    <w:rsid w:val="00ED3918"/>
    <w:rsid w:val="00ED3A0D"/>
    <w:rsid w:val="00ED3F5E"/>
    <w:rsid w:val="00ED3FD3"/>
    <w:rsid w:val="00ED40E4"/>
    <w:rsid w:val="00ED4504"/>
    <w:rsid w:val="00ED4EF5"/>
    <w:rsid w:val="00ED5134"/>
    <w:rsid w:val="00ED5262"/>
    <w:rsid w:val="00ED553C"/>
    <w:rsid w:val="00ED5554"/>
    <w:rsid w:val="00ED5869"/>
    <w:rsid w:val="00ED5BA8"/>
    <w:rsid w:val="00ED5BCB"/>
    <w:rsid w:val="00ED5C6A"/>
    <w:rsid w:val="00ED6166"/>
    <w:rsid w:val="00ED68CF"/>
    <w:rsid w:val="00ED6963"/>
    <w:rsid w:val="00ED6AC2"/>
    <w:rsid w:val="00ED6ED6"/>
    <w:rsid w:val="00ED7048"/>
    <w:rsid w:val="00ED714F"/>
    <w:rsid w:val="00ED72F5"/>
    <w:rsid w:val="00ED738D"/>
    <w:rsid w:val="00ED7640"/>
    <w:rsid w:val="00ED7BE9"/>
    <w:rsid w:val="00ED7C4F"/>
    <w:rsid w:val="00ED7D9B"/>
    <w:rsid w:val="00EE009B"/>
    <w:rsid w:val="00EE0546"/>
    <w:rsid w:val="00EE0565"/>
    <w:rsid w:val="00EE0702"/>
    <w:rsid w:val="00EE0724"/>
    <w:rsid w:val="00EE08D4"/>
    <w:rsid w:val="00EE16DC"/>
    <w:rsid w:val="00EE18AF"/>
    <w:rsid w:val="00EE1934"/>
    <w:rsid w:val="00EE1B66"/>
    <w:rsid w:val="00EE1BE1"/>
    <w:rsid w:val="00EE1F4C"/>
    <w:rsid w:val="00EE20F8"/>
    <w:rsid w:val="00EE2666"/>
    <w:rsid w:val="00EE2789"/>
    <w:rsid w:val="00EE29BA"/>
    <w:rsid w:val="00EE2A3E"/>
    <w:rsid w:val="00EE2CDD"/>
    <w:rsid w:val="00EE2D95"/>
    <w:rsid w:val="00EE313B"/>
    <w:rsid w:val="00EE32D9"/>
    <w:rsid w:val="00EE333E"/>
    <w:rsid w:val="00EE33A6"/>
    <w:rsid w:val="00EE348F"/>
    <w:rsid w:val="00EE40C5"/>
    <w:rsid w:val="00EE4259"/>
    <w:rsid w:val="00EE4743"/>
    <w:rsid w:val="00EE4C04"/>
    <w:rsid w:val="00EE4C0F"/>
    <w:rsid w:val="00EE4C6B"/>
    <w:rsid w:val="00EE4DF4"/>
    <w:rsid w:val="00EE56FF"/>
    <w:rsid w:val="00EE5777"/>
    <w:rsid w:val="00EE5CAE"/>
    <w:rsid w:val="00EE6118"/>
    <w:rsid w:val="00EE6440"/>
    <w:rsid w:val="00EE6C20"/>
    <w:rsid w:val="00EE77C4"/>
    <w:rsid w:val="00EE782C"/>
    <w:rsid w:val="00EE7B59"/>
    <w:rsid w:val="00EE7FCA"/>
    <w:rsid w:val="00EF0273"/>
    <w:rsid w:val="00EF03B5"/>
    <w:rsid w:val="00EF09E6"/>
    <w:rsid w:val="00EF0C75"/>
    <w:rsid w:val="00EF0CF6"/>
    <w:rsid w:val="00EF15C2"/>
    <w:rsid w:val="00EF1E7F"/>
    <w:rsid w:val="00EF21AA"/>
    <w:rsid w:val="00EF24D0"/>
    <w:rsid w:val="00EF2514"/>
    <w:rsid w:val="00EF280A"/>
    <w:rsid w:val="00EF31DF"/>
    <w:rsid w:val="00EF32FA"/>
    <w:rsid w:val="00EF35C8"/>
    <w:rsid w:val="00EF3707"/>
    <w:rsid w:val="00EF3A15"/>
    <w:rsid w:val="00EF3BD4"/>
    <w:rsid w:val="00EF3EC7"/>
    <w:rsid w:val="00EF4825"/>
    <w:rsid w:val="00EF4AC3"/>
    <w:rsid w:val="00EF4B41"/>
    <w:rsid w:val="00EF4B94"/>
    <w:rsid w:val="00EF4D1F"/>
    <w:rsid w:val="00EF4E2D"/>
    <w:rsid w:val="00EF4FA0"/>
    <w:rsid w:val="00EF5274"/>
    <w:rsid w:val="00EF5397"/>
    <w:rsid w:val="00EF566B"/>
    <w:rsid w:val="00EF5833"/>
    <w:rsid w:val="00EF597D"/>
    <w:rsid w:val="00EF5B23"/>
    <w:rsid w:val="00EF5B9B"/>
    <w:rsid w:val="00EF6009"/>
    <w:rsid w:val="00EF61F4"/>
    <w:rsid w:val="00EF624D"/>
    <w:rsid w:val="00EF63BC"/>
    <w:rsid w:val="00EF64FE"/>
    <w:rsid w:val="00EF6792"/>
    <w:rsid w:val="00EF6B43"/>
    <w:rsid w:val="00EF6C21"/>
    <w:rsid w:val="00EF7560"/>
    <w:rsid w:val="00EF7862"/>
    <w:rsid w:val="00EF799F"/>
    <w:rsid w:val="00EF7FFC"/>
    <w:rsid w:val="00F0010C"/>
    <w:rsid w:val="00F00247"/>
    <w:rsid w:val="00F00356"/>
    <w:rsid w:val="00F003EA"/>
    <w:rsid w:val="00F004A7"/>
    <w:rsid w:val="00F004D3"/>
    <w:rsid w:val="00F00F8F"/>
    <w:rsid w:val="00F01241"/>
    <w:rsid w:val="00F013F1"/>
    <w:rsid w:val="00F01673"/>
    <w:rsid w:val="00F01876"/>
    <w:rsid w:val="00F018E4"/>
    <w:rsid w:val="00F01ECC"/>
    <w:rsid w:val="00F01FCA"/>
    <w:rsid w:val="00F02654"/>
    <w:rsid w:val="00F0291C"/>
    <w:rsid w:val="00F02A74"/>
    <w:rsid w:val="00F02EFD"/>
    <w:rsid w:val="00F02FF2"/>
    <w:rsid w:val="00F03728"/>
    <w:rsid w:val="00F0379F"/>
    <w:rsid w:val="00F04064"/>
    <w:rsid w:val="00F04C2A"/>
    <w:rsid w:val="00F04F7A"/>
    <w:rsid w:val="00F059EE"/>
    <w:rsid w:val="00F05DC6"/>
    <w:rsid w:val="00F05F62"/>
    <w:rsid w:val="00F05F70"/>
    <w:rsid w:val="00F05FEA"/>
    <w:rsid w:val="00F0617F"/>
    <w:rsid w:val="00F065D3"/>
    <w:rsid w:val="00F066A2"/>
    <w:rsid w:val="00F06B0B"/>
    <w:rsid w:val="00F06C41"/>
    <w:rsid w:val="00F06EFE"/>
    <w:rsid w:val="00F06F8B"/>
    <w:rsid w:val="00F07687"/>
    <w:rsid w:val="00F078BF"/>
    <w:rsid w:val="00F07AC6"/>
    <w:rsid w:val="00F07B27"/>
    <w:rsid w:val="00F07B4F"/>
    <w:rsid w:val="00F07E91"/>
    <w:rsid w:val="00F10394"/>
    <w:rsid w:val="00F10450"/>
    <w:rsid w:val="00F10BF3"/>
    <w:rsid w:val="00F10EBA"/>
    <w:rsid w:val="00F119AF"/>
    <w:rsid w:val="00F11B6E"/>
    <w:rsid w:val="00F11C66"/>
    <w:rsid w:val="00F11F79"/>
    <w:rsid w:val="00F121BE"/>
    <w:rsid w:val="00F12CBF"/>
    <w:rsid w:val="00F13134"/>
    <w:rsid w:val="00F1389F"/>
    <w:rsid w:val="00F138BD"/>
    <w:rsid w:val="00F140C5"/>
    <w:rsid w:val="00F141CD"/>
    <w:rsid w:val="00F14310"/>
    <w:rsid w:val="00F143CB"/>
    <w:rsid w:val="00F14D60"/>
    <w:rsid w:val="00F1540A"/>
    <w:rsid w:val="00F15BF0"/>
    <w:rsid w:val="00F160D1"/>
    <w:rsid w:val="00F16167"/>
    <w:rsid w:val="00F16303"/>
    <w:rsid w:val="00F169A1"/>
    <w:rsid w:val="00F16A9E"/>
    <w:rsid w:val="00F16AEA"/>
    <w:rsid w:val="00F17193"/>
    <w:rsid w:val="00F17E0A"/>
    <w:rsid w:val="00F17EA5"/>
    <w:rsid w:val="00F20694"/>
    <w:rsid w:val="00F208A3"/>
    <w:rsid w:val="00F20A6A"/>
    <w:rsid w:val="00F20CC7"/>
    <w:rsid w:val="00F21558"/>
    <w:rsid w:val="00F21A3B"/>
    <w:rsid w:val="00F21EF9"/>
    <w:rsid w:val="00F2205B"/>
    <w:rsid w:val="00F22175"/>
    <w:rsid w:val="00F22544"/>
    <w:rsid w:val="00F2295A"/>
    <w:rsid w:val="00F230DB"/>
    <w:rsid w:val="00F2335B"/>
    <w:rsid w:val="00F2336F"/>
    <w:rsid w:val="00F233C6"/>
    <w:rsid w:val="00F23587"/>
    <w:rsid w:val="00F23E34"/>
    <w:rsid w:val="00F2402A"/>
    <w:rsid w:val="00F2403D"/>
    <w:rsid w:val="00F2442D"/>
    <w:rsid w:val="00F2447B"/>
    <w:rsid w:val="00F24610"/>
    <w:rsid w:val="00F248D0"/>
    <w:rsid w:val="00F2494D"/>
    <w:rsid w:val="00F249B7"/>
    <w:rsid w:val="00F24B9D"/>
    <w:rsid w:val="00F24BB2"/>
    <w:rsid w:val="00F24FF4"/>
    <w:rsid w:val="00F25208"/>
    <w:rsid w:val="00F257EF"/>
    <w:rsid w:val="00F25FD0"/>
    <w:rsid w:val="00F26352"/>
    <w:rsid w:val="00F26745"/>
    <w:rsid w:val="00F2687E"/>
    <w:rsid w:val="00F26990"/>
    <w:rsid w:val="00F26E2F"/>
    <w:rsid w:val="00F2745A"/>
    <w:rsid w:val="00F27B38"/>
    <w:rsid w:val="00F27DD8"/>
    <w:rsid w:val="00F27EA3"/>
    <w:rsid w:val="00F301C2"/>
    <w:rsid w:val="00F30363"/>
    <w:rsid w:val="00F303A6"/>
    <w:rsid w:val="00F307A1"/>
    <w:rsid w:val="00F30B0D"/>
    <w:rsid w:val="00F30CE1"/>
    <w:rsid w:val="00F314B6"/>
    <w:rsid w:val="00F314FE"/>
    <w:rsid w:val="00F315F3"/>
    <w:rsid w:val="00F31925"/>
    <w:rsid w:val="00F31D8E"/>
    <w:rsid w:val="00F320AD"/>
    <w:rsid w:val="00F32374"/>
    <w:rsid w:val="00F33017"/>
    <w:rsid w:val="00F330A0"/>
    <w:rsid w:val="00F330D6"/>
    <w:rsid w:val="00F33437"/>
    <w:rsid w:val="00F346BD"/>
    <w:rsid w:val="00F34A2E"/>
    <w:rsid w:val="00F34BA2"/>
    <w:rsid w:val="00F35012"/>
    <w:rsid w:val="00F35A80"/>
    <w:rsid w:val="00F3630B"/>
    <w:rsid w:val="00F363A0"/>
    <w:rsid w:val="00F364DB"/>
    <w:rsid w:val="00F36771"/>
    <w:rsid w:val="00F369C0"/>
    <w:rsid w:val="00F36D82"/>
    <w:rsid w:val="00F36D87"/>
    <w:rsid w:val="00F36DB6"/>
    <w:rsid w:val="00F3755F"/>
    <w:rsid w:val="00F37F05"/>
    <w:rsid w:val="00F404D2"/>
    <w:rsid w:val="00F40764"/>
    <w:rsid w:val="00F407DC"/>
    <w:rsid w:val="00F407FA"/>
    <w:rsid w:val="00F40A8B"/>
    <w:rsid w:val="00F40BC7"/>
    <w:rsid w:val="00F41231"/>
    <w:rsid w:val="00F412BC"/>
    <w:rsid w:val="00F41487"/>
    <w:rsid w:val="00F41AB8"/>
    <w:rsid w:val="00F41C52"/>
    <w:rsid w:val="00F41C89"/>
    <w:rsid w:val="00F4224B"/>
    <w:rsid w:val="00F42292"/>
    <w:rsid w:val="00F425BA"/>
    <w:rsid w:val="00F428D4"/>
    <w:rsid w:val="00F42D3D"/>
    <w:rsid w:val="00F42FF4"/>
    <w:rsid w:val="00F4301F"/>
    <w:rsid w:val="00F43095"/>
    <w:rsid w:val="00F4322C"/>
    <w:rsid w:val="00F43237"/>
    <w:rsid w:val="00F43254"/>
    <w:rsid w:val="00F437FB"/>
    <w:rsid w:val="00F449A7"/>
    <w:rsid w:val="00F44BC5"/>
    <w:rsid w:val="00F45B23"/>
    <w:rsid w:val="00F45CEE"/>
    <w:rsid w:val="00F4607D"/>
    <w:rsid w:val="00F462B0"/>
    <w:rsid w:val="00F4658A"/>
    <w:rsid w:val="00F46DD0"/>
    <w:rsid w:val="00F46E03"/>
    <w:rsid w:val="00F470A0"/>
    <w:rsid w:val="00F470C3"/>
    <w:rsid w:val="00F475F1"/>
    <w:rsid w:val="00F47878"/>
    <w:rsid w:val="00F478CE"/>
    <w:rsid w:val="00F47A23"/>
    <w:rsid w:val="00F5016C"/>
    <w:rsid w:val="00F5041A"/>
    <w:rsid w:val="00F5044A"/>
    <w:rsid w:val="00F505C2"/>
    <w:rsid w:val="00F50732"/>
    <w:rsid w:val="00F50760"/>
    <w:rsid w:val="00F507B7"/>
    <w:rsid w:val="00F50A05"/>
    <w:rsid w:val="00F50D20"/>
    <w:rsid w:val="00F5102D"/>
    <w:rsid w:val="00F5107E"/>
    <w:rsid w:val="00F5107F"/>
    <w:rsid w:val="00F511EE"/>
    <w:rsid w:val="00F517ED"/>
    <w:rsid w:val="00F51BBB"/>
    <w:rsid w:val="00F51DA9"/>
    <w:rsid w:val="00F5228B"/>
    <w:rsid w:val="00F5275B"/>
    <w:rsid w:val="00F527C5"/>
    <w:rsid w:val="00F529C9"/>
    <w:rsid w:val="00F52AC8"/>
    <w:rsid w:val="00F534ED"/>
    <w:rsid w:val="00F538BB"/>
    <w:rsid w:val="00F539B5"/>
    <w:rsid w:val="00F53E08"/>
    <w:rsid w:val="00F5444D"/>
    <w:rsid w:val="00F54702"/>
    <w:rsid w:val="00F548D5"/>
    <w:rsid w:val="00F5497A"/>
    <w:rsid w:val="00F549B2"/>
    <w:rsid w:val="00F54ABD"/>
    <w:rsid w:val="00F54DAB"/>
    <w:rsid w:val="00F55177"/>
    <w:rsid w:val="00F5526E"/>
    <w:rsid w:val="00F55275"/>
    <w:rsid w:val="00F55965"/>
    <w:rsid w:val="00F55A05"/>
    <w:rsid w:val="00F55B81"/>
    <w:rsid w:val="00F55C76"/>
    <w:rsid w:val="00F55D69"/>
    <w:rsid w:val="00F55DA7"/>
    <w:rsid w:val="00F55E6D"/>
    <w:rsid w:val="00F56338"/>
    <w:rsid w:val="00F5646A"/>
    <w:rsid w:val="00F564D1"/>
    <w:rsid w:val="00F56551"/>
    <w:rsid w:val="00F56AB2"/>
    <w:rsid w:val="00F57036"/>
    <w:rsid w:val="00F57052"/>
    <w:rsid w:val="00F57333"/>
    <w:rsid w:val="00F573B0"/>
    <w:rsid w:val="00F573B5"/>
    <w:rsid w:val="00F57586"/>
    <w:rsid w:val="00F575B8"/>
    <w:rsid w:val="00F577FD"/>
    <w:rsid w:val="00F57A23"/>
    <w:rsid w:val="00F57AD8"/>
    <w:rsid w:val="00F57C48"/>
    <w:rsid w:val="00F57CA0"/>
    <w:rsid w:val="00F57D12"/>
    <w:rsid w:val="00F57EDE"/>
    <w:rsid w:val="00F57F8E"/>
    <w:rsid w:val="00F605AA"/>
    <w:rsid w:val="00F609E7"/>
    <w:rsid w:val="00F60BF9"/>
    <w:rsid w:val="00F61319"/>
    <w:rsid w:val="00F6146D"/>
    <w:rsid w:val="00F6151E"/>
    <w:rsid w:val="00F61896"/>
    <w:rsid w:val="00F6189D"/>
    <w:rsid w:val="00F619B4"/>
    <w:rsid w:val="00F620A8"/>
    <w:rsid w:val="00F622C2"/>
    <w:rsid w:val="00F62956"/>
    <w:rsid w:val="00F62C2F"/>
    <w:rsid w:val="00F62D45"/>
    <w:rsid w:val="00F63E45"/>
    <w:rsid w:val="00F63F74"/>
    <w:rsid w:val="00F6423E"/>
    <w:rsid w:val="00F64433"/>
    <w:rsid w:val="00F64655"/>
    <w:rsid w:val="00F64998"/>
    <w:rsid w:val="00F64C5B"/>
    <w:rsid w:val="00F64D2A"/>
    <w:rsid w:val="00F65263"/>
    <w:rsid w:val="00F652FB"/>
    <w:rsid w:val="00F653E6"/>
    <w:rsid w:val="00F6586A"/>
    <w:rsid w:val="00F65EAE"/>
    <w:rsid w:val="00F661EF"/>
    <w:rsid w:val="00F67571"/>
    <w:rsid w:val="00F6766E"/>
    <w:rsid w:val="00F6771C"/>
    <w:rsid w:val="00F6783D"/>
    <w:rsid w:val="00F67C30"/>
    <w:rsid w:val="00F67E27"/>
    <w:rsid w:val="00F67ED1"/>
    <w:rsid w:val="00F70AEE"/>
    <w:rsid w:val="00F70BC2"/>
    <w:rsid w:val="00F70C4B"/>
    <w:rsid w:val="00F70DD8"/>
    <w:rsid w:val="00F71108"/>
    <w:rsid w:val="00F71348"/>
    <w:rsid w:val="00F714DA"/>
    <w:rsid w:val="00F71CFD"/>
    <w:rsid w:val="00F71E86"/>
    <w:rsid w:val="00F72024"/>
    <w:rsid w:val="00F7220B"/>
    <w:rsid w:val="00F72BAF"/>
    <w:rsid w:val="00F72D5A"/>
    <w:rsid w:val="00F7311E"/>
    <w:rsid w:val="00F7313C"/>
    <w:rsid w:val="00F73161"/>
    <w:rsid w:val="00F73696"/>
    <w:rsid w:val="00F73755"/>
    <w:rsid w:val="00F738E0"/>
    <w:rsid w:val="00F73B9C"/>
    <w:rsid w:val="00F73E57"/>
    <w:rsid w:val="00F73FD1"/>
    <w:rsid w:val="00F75263"/>
    <w:rsid w:val="00F75290"/>
    <w:rsid w:val="00F75325"/>
    <w:rsid w:val="00F75A24"/>
    <w:rsid w:val="00F75ACE"/>
    <w:rsid w:val="00F75B4A"/>
    <w:rsid w:val="00F76645"/>
    <w:rsid w:val="00F76688"/>
    <w:rsid w:val="00F76C66"/>
    <w:rsid w:val="00F76DAA"/>
    <w:rsid w:val="00F76DC8"/>
    <w:rsid w:val="00F77238"/>
    <w:rsid w:val="00F7737D"/>
    <w:rsid w:val="00F774EB"/>
    <w:rsid w:val="00F77C6B"/>
    <w:rsid w:val="00F77F59"/>
    <w:rsid w:val="00F77F79"/>
    <w:rsid w:val="00F77FF0"/>
    <w:rsid w:val="00F800A4"/>
    <w:rsid w:val="00F800F3"/>
    <w:rsid w:val="00F80283"/>
    <w:rsid w:val="00F804D1"/>
    <w:rsid w:val="00F804E6"/>
    <w:rsid w:val="00F8053D"/>
    <w:rsid w:val="00F80697"/>
    <w:rsid w:val="00F813A4"/>
    <w:rsid w:val="00F813AB"/>
    <w:rsid w:val="00F817D7"/>
    <w:rsid w:val="00F817E4"/>
    <w:rsid w:val="00F81A84"/>
    <w:rsid w:val="00F81C88"/>
    <w:rsid w:val="00F82157"/>
    <w:rsid w:val="00F82219"/>
    <w:rsid w:val="00F8276A"/>
    <w:rsid w:val="00F827B2"/>
    <w:rsid w:val="00F82986"/>
    <w:rsid w:val="00F82C21"/>
    <w:rsid w:val="00F82E7A"/>
    <w:rsid w:val="00F83F5D"/>
    <w:rsid w:val="00F841F3"/>
    <w:rsid w:val="00F843AD"/>
    <w:rsid w:val="00F84504"/>
    <w:rsid w:val="00F8487E"/>
    <w:rsid w:val="00F84D35"/>
    <w:rsid w:val="00F85496"/>
    <w:rsid w:val="00F855D7"/>
    <w:rsid w:val="00F86684"/>
    <w:rsid w:val="00F86767"/>
    <w:rsid w:val="00F871D0"/>
    <w:rsid w:val="00F8739F"/>
    <w:rsid w:val="00F87C3B"/>
    <w:rsid w:val="00F9011A"/>
    <w:rsid w:val="00F903A3"/>
    <w:rsid w:val="00F9074D"/>
    <w:rsid w:val="00F909AE"/>
    <w:rsid w:val="00F90BFD"/>
    <w:rsid w:val="00F90E69"/>
    <w:rsid w:val="00F90EB3"/>
    <w:rsid w:val="00F9167B"/>
    <w:rsid w:val="00F91697"/>
    <w:rsid w:val="00F91710"/>
    <w:rsid w:val="00F919D0"/>
    <w:rsid w:val="00F9256B"/>
    <w:rsid w:val="00F92B04"/>
    <w:rsid w:val="00F92FF2"/>
    <w:rsid w:val="00F93107"/>
    <w:rsid w:val="00F9339E"/>
    <w:rsid w:val="00F934EF"/>
    <w:rsid w:val="00F93A7D"/>
    <w:rsid w:val="00F93BC5"/>
    <w:rsid w:val="00F93F64"/>
    <w:rsid w:val="00F946B6"/>
    <w:rsid w:val="00F94BCD"/>
    <w:rsid w:val="00F94CE4"/>
    <w:rsid w:val="00F94F63"/>
    <w:rsid w:val="00F9519B"/>
    <w:rsid w:val="00F9594E"/>
    <w:rsid w:val="00F95CFC"/>
    <w:rsid w:val="00F95E24"/>
    <w:rsid w:val="00F96486"/>
    <w:rsid w:val="00F96579"/>
    <w:rsid w:val="00F96743"/>
    <w:rsid w:val="00F9681A"/>
    <w:rsid w:val="00F968CA"/>
    <w:rsid w:val="00F96999"/>
    <w:rsid w:val="00F96C4F"/>
    <w:rsid w:val="00F96EAE"/>
    <w:rsid w:val="00F97273"/>
    <w:rsid w:val="00F9736A"/>
    <w:rsid w:val="00F979D2"/>
    <w:rsid w:val="00F97AAD"/>
    <w:rsid w:val="00F97D50"/>
    <w:rsid w:val="00FA0208"/>
    <w:rsid w:val="00FA034D"/>
    <w:rsid w:val="00FA051F"/>
    <w:rsid w:val="00FA082A"/>
    <w:rsid w:val="00FA082B"/>
    <w:rsid w:val="00FA0BE8"/>
    <w:rsid w:val="00FA0F31"/>
    <w:rsid w:val="00FA12E1"/>
    <w:rsid w:val="00FA1AC4"/>
    <w:rsid w:val="00FA2059"/>
    <w:rsid w:val="00FA2084"/>
    <w:rsid w:val="00FA2139"/>
    <w:rsid w:val="00FA24B4"/>
    <w:rsid w:val="00FA259B"/>
    <w:rsid w:val="00FA296C"/>
    <w:rsid w:val="00FA2A2D"/>
    <w:rsid w:val="00FA2EA7"/>
    <w:rsid w:val="00FA308A"/>
    <w:rsid w:val="00FA3259"/>
    <w:rsid w:val="00FA33FB"/>
    <w:rsid w:val="00FA33FE"/>
    <w:rsid w:val="00FA3974"/>
    <w:rsid w:val="00FA3A61"/>
    <w:rsid w:val="00FA3AFB"/>
    <w:rsid w:val="00FA3D57"/>
    <w:rsid w:val="00FA41AE"/>
    <w:rsid w:val="00FA41DD"/>
    <w:rsid w:val="00FA440E"/>
    <w:rsid w:val="00FA4460"/>
    <w:rsid w:val="00FA46DC"/>
    <w:rsid w:val="00FA4C0A"/>
    <w:rsid w:val="00FA4D96"/>
    <w:rsid w:val="00FA52EE"/>
    <w:rsid w:val="00FA5BB1"/>
    <w:rsid w:val="00FA5D29"/>
    <w:rsid w:val="00FA66CB"/>
    <w:rsid w:val="00FA6901"/>
    <w:rsid w:val="00FA6A01"/>
    <w:rsid w:val="00FA6D38"/>
    <w:rsid w:val="00FA6EBE"/>
    <w:rsid w:val="00FA72C7"/>
    <w:rsid w:val="00FA74B5"/>
    <w:rsid w:val="00FA7908"/>
    <w:rsid w:val="00FA7C3E"/>
    <w:rsid w:val="00FA7E3B"/>
    <w:rsid w:val="00FA7E59"/>
    <w:rsid w:val="00FB01D2"/>
    <w:rsid w:val="00FB0249"/>
    <w:rsid w:val="00FB03F8"/>
    <w:rsid w:val="00FB05B4"/>
    <w:rsid w:val="00FB0E8B"/>
    <w:rsid w:val="00FB17B8"/>
    <w:rsid w:val="00FB1A6A"/>
    <w:rsid w:val="00FB1AB2"/>
    <w:rsid w:val="00FB1E4E"/>
    <w:rsid w:val="00FB1F0D"/>
    <w:rsid w:val="00FB2137"/>
    <w:rsid w:val="00FB21D9"/>
    <w:rsid w:val="00FB24DB"/>
    <w:rsid w:val="00FB2662"/>
    <w:rsid w:val="00FB2898"/>
    <w:rsid w:val="00FB28B5"/>
    <w:rsid w:val="00FB2A80"/>
    <w:rsid w:val="00FB2B74"/>
    <w:rsid w:val="00FB2BF4"/>
    <w:rsid w:val="00FB2CF9"/>
    <w:rsid w:val="00FB2DBD"/>
    <w:rsid w:val="00FB2E7E"/>
    <w:rsid w:val="00FB3066"/>
    <w:rsid w:val="00FB327A"/>
    <w:rsid w:val="00FB3632"/>
    <w:rsid w:val="00FB3721"/>
    <w:rsid w:val="00FB3A2F"/>
    <w:rsid w:val="00FB3A55"/>
    <w:rsid w:val="00FB3E76"/>
    <w:rsid w:val="00FB3F61"/>
    <w:rsid w:val="00FB410B"/>
    <w:rsid w:val="00FB461C"/>
    <w:rsid w:val="00FB4BDE"/>
    <w:rsid w:val="00FB4C20"/>
    <w:rsid w:val="00FB4C3D"/>
    <w:rsid w:val="00FB4C40"/>
    <w:rsid w:val="00FB54ED"/>
    <w:rsid w:val="00FB5518"/>
    <w:rsid w:val="00FB5580"/>
    <w:rsid w:val="00FB5AED"/>
    <w:rsid w:val="00FB5B40"/>
    <w:rsid w:val="00FB5E87"/>
    <w:rsid w:val="00FB5FC7"/>
    <w:rsid w:val="00FB6056"/>
    <w:rsid w:val="00FB61C1"/>
    <w:rsid w:val="00FB635D"/>
    <w:rsid w:val="00FB6545"/>
    <w:rsid w:val="00FB692B"/>
    <w:rsid w:val="00FB6AE6"/>
    <w:rsid w:val="00FB72AF"/>
    <w:rsid w:val="00FB7ACB"/>
    <w:rsid w:val="00FB7B21"/>
    <w:rsid w:val="00FB7D7C"/>
    <w:rsid w:val="00FB7EBF"/>
    <w:rsid w:val="00FC063C"/>
    <w:rsid w:val="00FC0691"/>
    <w:rsid w:val="00FC09B1"/>
    <w:rsid w:val="00FC0A3C"/>
    <w:rsid w:val="00FC1102"/>
    <w:rsid w:val="00FC1105"/>
    <w:rsid w:val="00FC115D"/>
    <w:rsid w:val="00FC11A4"/>
    <w:rsid w:val="00FC19FD"/>
    <w:rsid w:val="00FC1CD1"/>
    <w:rsid w:val="00FC2302"/>
    <w:rsid w:val="00FC2414"/>
    <w:rsid w:val="00FC2538"/>
    <w:rsid w:val="00FC265C"/>
    <w:rsid w:val="00FC26CC"/>
    <w:rsid w:val="00FC2AD7"/>
    <w:rsid w:val="00FC33ED"/>
    <w:rsid w:val="00FC34A5"/>
    <w:rsid w:val="00FC35DE"/>
    <w:rsid w:val="00FC37C5"/>
    <w:rsid w:val="00FC3956"/>
    <w:rsid w:val="00FC39AC"/>
    <w:rsid w:val="00FC3A2D"/>
    <w:rsid w:val="00FC3DBA"/>
    <w:rsid w:val="00FC3FA9"/>
    <w:rsid w:val="00FC43AA"/>
    <w:rsid w:val="00FC4F66"/>
    <w:rsid w:val="00FC504B"/>
    <w:rsid w:val="00FC55B9"/>
    <w:rsid w:val="00FC57C3"/>
    <w:rsid w:val="00FC5802"/>
    <w:rsid w:val="00FC58AA"/>
    <w:rsid w:val="00FC5BB1"/>
    <w:rsid w:val="00FC633C"/>
    <w:rsid w:val="00FC65E2"/>
    <w:rsid w:val="00FC6A6D"/>
    <w:rsid w:val="00FC6AA0"/>
    <w:rsid w:val="00FC6C75"/>
    <w:rsid w:val="00FC6F21"/>
    <w:rsid w:val="00FC76EC"/>
    <w:rsid w:val="00FC796E"/>
    <w:rsid w:val="00FC7EC3"/>
    <w:rsid w:val="00FC7ECE"/>
    <w:rsid w:val="00FD0083"/>
    <w:rsid w:val="00FD028B"/>
    <w:rsid w:val="00FD04B6"/>
    <w:rsid w:val="00FD0501"/>
    <w:rsid w:val="00FD0D60"/>
    <w:rsid w:val="00FD1134"/>
    <w:rsid w:val="00FD179C"/>
    <w:rsid w:val="00FD17CA"/>
    <w:rsid w:val="00FD1CBA"/>
    <w:rsid w:val="00FD1D30"/>
    <w:rsid w:val="00FD2140"/>
    <w:rsid w:val="00FD22FE"/>
    <w:rsid w:val="00FD271F"/>
    <w:rsid w:val="00FD2F35"/>
    <w:rsid w:val="00FD312D"/>
    <w:rsid w:val="00FD328B"/>
    <w:rsid w:val="00FD368D"/>
    <w:rsid w:val="00FD3784"/>
    <w:rsid w:val="00FD37FF"/>
    <w:rsid w:val="00FD3B35"/>
    <w:rsid w:val="00FD3C4A"/>
    <w:rsid w:val="00FD3EB9"/>
    <w:rsid w:val="00FD3F8D"/>
    <w:rsid w:val="00FD4208"/>
    <w:rsid w:val="00FD47FB"/>
    <w:rsid w:val="00FD4A6C"/>
    <w:rsid w:val="00FD4B7A"/>
    <w:rsid w:val="00FD4DF7"/>
    <w:rsid w:val="00FD56BB"/>
    <w:rsid w:val="00FD5ED4"/>
    <w:rsid w:val="00FD5FE0"/>
    <w:rsid w:val="00FD6A80"/>
    <w:rsid w:val="00FD6E2B"/>
    <w:rsid w:val="00FD71BD"/>
    <w:rsid w:val="00FD7239"/>
    <w:rsid w:val="00FD731E"/>
    <w:rsid w:val="00FD791A"/>
    <w:rsid w:val="00FD7A3A"/>
    <w:rsid w:val="00FD7A5F"/>
    <w:rsid w:val="00FD7B09"/>
    <w:rsid w:val="00FD7B15"/>
    <w:rsid w:val="00FE06D0"/>
    <w:rsid w:val="00FE0D12"/>
    <w:rsid w:val="00FE17C7"/>
    <w:rsid w:val="00FE19EA"/>
    <w:rsid w:val="00FE23A2"/>
    <w:rsid w:val="00FE2951"/>
    <w:rsid w:val="00FE3104"/>
    <w:rsid w:val="00FE324E"/>
    <w:rsid w:val="00FE34E5"/>
    <w:rsid w:val="00FE3853"/>
    <w:rsid w:val="00FE3D21"/>
    <w:rsid w:val="00FE3F00"/>
    <w:rsid w:val="00FE40F1"/>
    <w:rsid w:val="00FE415E"/>
    <w:rsid w:val="00FE42C9"/>
    <w:rsid w:val="00FE45D6"/>
    <w:rsid w:val="00FE477F"/>
    <w:rsid w:val="00FE48B0"/>
    <w:rsid w:val="00FE4DE7"/>
    <w:rsid w:val="00FE4F56"/>
    <w:rsid w:val="00FE52E2"/>
    <w:rsid w:val="00FE5672"/>
    <w:rsid w:val="00FE575D"/>
    <w:rsid w:val="00FE5E31"/>
    <w:rsid w:val="00FE621C"/>
    <w:rsid w:val="00FE62CA"/>
    <w:rsid w:val="00FE681D"/>
    <w:rsid w:val="00FE6A55"/>
    <w:rsid w:val="00FE6B59"/>
    <w:rsid w:val="00FE6BFB"/>
    <w:rsid w:val="00FE6EFF"/>
    <w:rsid w:val="00FE717E"/>
    <w:rsid w:val="00FE71CE"/>
    <w:rsid w:val="00FE7313"/>
    <w:rsid w:val="00FE7663"/>
    <w:rsid w:val="00FE77C0"/>
    <w:rsid w:val="00FE79C0"/>
    <w:rsid w:val="00FF04CC"/>
    <w:rsid w:val="00FF0739"/>
    <w:rsid w:val="00FF0791"/>
    <w:rsid w:val="00FF0891"/>
    <w:rsid w:val="00FF0AF7"/>
    <w:rsid w:val="00FF0E57"/>
    <w:rsid w:val="00FF11AB"/>
    <w:rsid w:val="00FF1295"/>
    <w:rsid w:val="00FF17E5"/>
    <w:rsid w:val="00FF1A05"/>
    <w:rsid w:val="00FF1BB5"/>
    <w:rsid w:val="00FF1C09"/>
    <w:rsid w:val="00FF1D26"/>
    <w:rsid w:val="00FF22EA"/>
    <w:rsid w:val="00FF2339"/>
    <w:rsid w:val="00FF2399"/>
    <w:rsid w:val="00FF2A34"/>
    <w:rsid w:val="00FF2E94"/>
    <w:rsid w:val="00FF3425"/>
    <w:rsid w:val="00FF36BD"/>
    <w:rsid w:val="00FF3716"/>
    <w:rsid w:val="00FF3800"/>
    <w:rsid w:val="00FF396B"/>
    <w:rsid w:val="00FF3BC1"/>
    <w:rsid w:val="00FF3BEB"/>
    <w:rsid w:val="00FF3CCE"/>
    <w:rsid w:val="00FF3F82"/>
    <w:rsid w:val="00FF3FC9"/>
    <w:rsid w:val="00FF4027"/>
    <w:rsid w:val="00FF4CDF"/>
    <w:rsid w:val="00FF51AC"/>
    <w:rsid w:val="00FF5742"/>
    <w:rsid w:val="00FF5A39"/>
    <w:rsid w:val="00FF5B4B"/>
    <w:rsid w:val="00FF6263"/>
    <w:rsid w:val="00FF6A58"/>
    <w:rsid w:val="00FF6D66"/>
    <w:rsid w:val="00FF703B"/>
    <w:rsid w:val="00FF7133"/>
    <w:rsid w:val="00FF75D8"/>
    <w:rsid w:val="00FF7963"/>
    <w:rsid w:val="00FF7AC4"/>
    <w:rsid w:val="1A9D0C58"/>
    <w:rsid w:val="22771809"/>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8E05D"/>
  <w15:chartTrackingRefBased/>
  <w15:docId w15:val="{EBF7F71D-C46A-46C8-A6A2-8185F075B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B22"/>
  </w:style>
  <w:style w:type="paragraph" w:styleId="Ttulo1">
    <w:name w:val="heading 1"/>
    <w:basedOn w:val="Normal"/>
    <w:next w:val="Normal"/>
    <w:link w:val="Ttulo1Car"/>
    <w:uiPriority w:val="9"/>
    <w:qFormat/>
    <w:rsid w:val="00F430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7750D"/>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B70EDE"/>
    <w:pPr>
      <w:keepNext/>
      <w:keepLines/>
      <w:spacing w:before="80" w:after="40"/>
      <w:outlineLvl w:val="3"/>
    </w:pPr>
    <w:rPr>
      <w:rFonts w:eastAsiaTheme="majorEastAsia"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link w:val="corte1datosCar"/>
    <w:uiPriority w:val="99"/>
    <w:qFormat/>
    <w:rsid w:val="00F06EFE"/>
    <w:pPr>
      <w:ind w:left="2552"/>
    </w:pPr>
    <w:rPr>
      <w:rFonts w:ascii="Arial" w:eastAsia="Times New Roman" w:hAnsi="Arial" w:cs="Times New Roman"/>
      <w:b/>
      <w:caps/>
      <w:sz w:val="30"/>
      <w:szCs w:val="20"/>
      <w:lang w:val="es-ES_tradnl" w:eastAsia="es-MX"/>
    </w:rPr>
  </w:style>
  <w:style w:type="paragraph" w:customStyle="1" w:styleId="corte2ponente">
    <w:name w:val="corte2 ponente"/>
    <w:basedOn w:val="Normal"/>
    <w:link w:val="corte2ponenteCar"/>
    <w:uiPriority w:val="99"/>
    <w:qFormat/>
    <w:rsid w:val="00F06EFE"/>
    <w:rPr>
      <w:rFonts w:ascii="Arial" w:eastAsia="Times New Roman" w:hAnsi="Arial" w:cs="Times New Roman"/>
      <w:b/>
      <w:caps/>
      <w:sz w:val="30"/>
      <w:szCs w:val="20"/>
      <w:lang w:val="es-ES_tradnl" w:eastAsia="es-MX"/>
    </w:rPr>
  </w:style>
  <w:style w:type="paragraph" w:customStyle="1" w:styleId="corte3centro">
    <w:name w:val="corte3 centro"/>
    <w:basedOn w:val="Normal"/>
    <w:link w:val="corte3centroCar"/>
    <w:qFormat/>
    <w:rsid w:val="00F06EFE"/>
    <w:pPr>
      <w:spacing w:line="360" w:lineRule="auto"/>
      <w:jc w:val="center"/>
    </w:pPr>
    <w:rPr>
      <w:rFonts w:ascii="Arial" w:eastAsia="Times New Roman" w:hAnsi="Arial" w:cs="Times New Roman"/>
      <w:b/>
      <w:sz w:val="30"/>
      <w:szCs w:val="20"/>
      <w:lang w:val="es-ES_tradnl" w:eastAsia="x-none"/>
    </w:rPr>
  </w:style>
  <w:style w:type="paragraph" w:customStyle="1" w:styleId="corte4fondo">
    <w:name w:val="corte4 fondo"/>
    <w:basedOn w:val="Normal"/>
    <w:link w:val="corte4fondoCar1"/>
    <w:qFormat/>
    <w:rsid w:val="00F06EFE"/>
    <w:pPr>
      <w:spacing w:line="360" w:lineRule="auto"/>
      <w:ind w:firstLine="709"/>
      <w:jc w:val="both"/>
    </w:pPr>
    <w:rPr>
      <w:rFonts w:ascii="Arial" w:eastAsia="Times New Roman" w:hAnsi="Arial" w:cs="Times New Roman"/>
      <w:sz w:val="30"/>
      <w:szCs w:val="20"/>
      <w:lang w:val="es-ES_tradnl" w:eastAsia="es-MX"/>
    </w:rPr>
  </w:style>
  <w:style w:type="character" w:customStyle="1" w:styleId="corte4fondoCar1">
    <w:name w:val="corte4 fondo Car1"/>
    <w:link w:val="corte4fondo"/>
    <w:qFormat/>
    <w:rsid w:val="00F06EFE"/>
    <w:rPr>
      <w:rFonts w:ascii="Arial" w:eastAsia="Times New Roman" w:hAnsi="Arial" w:cs="Times New Roman"/>
      <w:sz w:val="30"/>
      <w:szCs w:val="20"/>
      <w:lang w:val="es-ES_tradnl" w:eastAsia="es-MX"/>
    </w:rPr>
  </w:style>
  <w:style w:type="character" w:customStyle="1" w:styleId="corte1datosCar">
    <w:name w:val="corte1 datos Car"/>
    <w:link w:val="corte1datos"/>
    <w:uiPriority w:val="99"/>
    <w:rsid w:val="00F06EFE"/>
    <w:rPr>
      <w:rFonts w:ascii="Arial" w:eastAsia="Times New Roman" w:hAnsi="Arial" w:cs="Times New Roman"/>
      <w:b/>
      <w:caps/>
      <w:sz w:val="30"/>
      <w:szCs w:val="20"/>
      <w:lang w:val="es-ES_tradnl" w:eastAsia="es-MX"/>
    </w:rPr>
  </w:style>
  <w:style w:type="character" w:customStyle="1" w:styleId="corte2ponenteCar">
    <w:name w:val="corte2 ponente Car"/>
    <w:link w:val="corte2ponente"/>
    <w:uiPriority w:val="99"/>
    <w:rsid w:val="00F06EFE"/>
    <w:rPr>
      <w:rFonts w:ascii="Arial" w:eastAsia="Times New Roman" w:hAnsi="Arial" w:cs="Times New Roman"/>
      <w:b/>
      <w:caps/>
      <w:sz w:val="30"/>
      <w:szCs w:val="20"/>
      <w:lang w:val="es-ES_tradnl" w:eastAsia="es-MX"/>
    </w:rPr>
  </w:style>
  <w:style w:type="character" w:customStyle="1" w:styleId="corte3centroCar">
    <w:name w:val="corte3 centro Car"/>
    <w:link w:val="corte3centro"/>
    <w:rsid w:val="00F06EFE"/>
    <w:rPr>
      <w:rFonts w:ascii="Arial" w:eastAsia="Times New Roman" w:hAnsi="Arial" w:cs="Times New Roman"/>
      <w:b/>
      <w:sz w:val="30"/>
      <w:szCs w:val="20"/>
      <w:lang w:val="es-ES_tradnl" w:eastAsia="x-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C"/>
    <w:basedOn w:val="Normal"/>
    <w:link w:val="TextonotapieCar"/>
    <w:qFormat/>
    <w:rsid w:val="00E728E7"/>
    <w:rPr>
      <w:rFonts w:ascii="Times New Roman" w:eastAsia="Times New Roman" w:hAnsi="Times New Roman" w:cs="Times New Roman"/>
      <w:sz w:val="20"/>
      <w:szCs w:val="20"/>
      <w:lang w:eastAsia="es-MX"/>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qFormat/>
    <w:rsid w:val="00E728E7"/>
    <w:rPr>
      <w:rFonts w:ascii="Times New Roman" w:eastAsia="Times New Roman" w:hAnsi="Times New Roman" w:cs="Times New Roman"/>
      <w:sz w:val="20"/>
      <w:szCs w:val="20"/>
      <w:lang w:eastAsia="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link w:val="4GChar"/>
    <w:qFormat/>
    <w:rsid w:val="00E728E7"/>
    <w:rPr>
      <w:vertAlign w:val="superscript"/>
    </w:rPr>
  </w:style>
  <w:style w:type="paragraph" w:styleId="Prrafodelista">
    <w:name w:val="List Paragraph"/>
    <w:aliases w:val="Cita texto,Footnote,TEXTO GENERAL SENTENCIAS,List Paragraph1,Lista multicolor - Énfasis 11,Párrafo de lista1,Cuadrícula clara - Énfasis 31,Párrafo de lista2,CNBV Parrafo1,Parrafo 1,Colorful List - Accent 11,Trascripción,Dot pt,lp1,PARRA"/>
    <w:basedOn w:val="Normal"/>
    <w:link w:val="PrrafodelistaCar"/>
    <w:uiPriority w:val="34"/>
    <w:qFormat/>
    <w:rsid w:val="00E728E7"/>
    <w:pPr>
      <w:ind w:left="708"/>
    </w:pPr>
    <w:rPr>
      <w:rFonts w:ascii="Times New Roman" w:eastAsia="Times New Roman" w:hAnsi="Times New Roman" w:cs="Times New Roman"/>
      <w:sz w:val="20"/>
      <w:szCs w:val="20"/>
      <w:lang w:val="es-ES_tradnl" w:eastAsia="es-MX"/>
    </w:rPr>
  </w:style>
  <w:style w:type="character" w:customStyle="1" w:styleId="PrrafodelistaCar">
    <w:name w:val="Párrafo de lista Car"/>
    <w:aliases w:val="Cita texto Car,Footnote Car,TEXTO GENERAL SENTENCIAS Car,List Paragraph1 Car,Lista multicolor - Énfasis 11 Car,Párrafo de lista1 Car,Cuadrícula clara - Énfasis 31 Car,Párrafo de lista2 Car,CNBV Parrafo1 Car,Parrafo 1 Car,Dot pt Car"/>
    <w:link w:val="Prrafodelista"/>
    <w:uiPriority w:val="34"/>
    <w:qFormat/>
    <w:locked/>
    <w:rsid w:val="00E728E7"/>
    <w:rPr>
      <w:rFonts w:ascii="Times New Roman" w:eastAsia="Times New Roman" w:hAnsi="Times New Roman" w:cs="Times New Roman"/>
      <w:sz w:val="20"/>
      <w:szCs w:val="20"/>
      <w:lang w:val="es-ES_tradnl"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E728E7"/>
    <w:pPr>
      <w:jc w:val="both"/>
    </w:pPr>
    <w:rPr>
      <w:vertAlign w:val="superscript"/>
    </w:rPr>
  </w:style>
  <w:style w:type="table" w:styleId="Tablaconcuadrcula">
    <w:name w:val="Table Grid"/>
    <w:basedOn w:val="Tablanormal"/>
    <w:uiPriority w:val="39"/>
    <w:rsid w:val="00916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te4fondoCar">
    <w:name w:val="corte 4 fondo Car"/>
    <w:link w:val="corte4fondo0"/>
    <w:locked/>
    <w:rsid w:val="004B16E6"/>
    <w:rPr>
      <w:rFonts w:ascii="Arial" w:hAnsi="Arial" w:cs="Arial"/>
      <w:sz w:val="30"/>
      <w:lang w:val="es-ES_tradnl"/>
    </w:rPr>
  </w:style>
  <w:style w:type="paragraph" w:customStyle="1" w:styleId="corte4fondo0">
    <w:name w:val="corte 4 fondo"/>
    <w:basedOn w:val="Normal"/>
    <w:link w:val="corte4fondoCar"/>
    <w:qFormat/>
    <w:rsid w:val="004B16E6"/>
    <w:pPr>
      <w:spacing w:line="360" w:lineRule="auto"/>
      <w:ind w:firstLine="709"/>
      <w:jc w:val="both"/>
    </w:pPr>
    <w:rPr>
      <w:rFonts w:ascii="Arial" w:hAnsi="Arial" w:cs="Arial"/>
      <w:sz w:val="30"/>
      <w:lang w:val="es-ES_tradnl"/>
    </w:rPr>
  </w:style>
  <w:style w:type="paragraph" w:styleId="Encabezado">
    <w:name w:val="header"/>
    <w:basedOn w:val="Normal"/>
    <w:link w:val="EncabezadoCar"/>
    <w:uiPriority w:val="99"/>
    <w:unhideWhenUsed/>
    <w:rsid w:val="000B5907"/>
    <w:pPr>
      <w:tabs>
        <w:tab w:val="center" w:pos="4419"/>
        <w:tab w:val="right" w:pos="8838"/>
      </w:tabs>
    </w:pPr>
  </w:style>
  <w:style w:type="character" w:customStyle="1" w:styleId="EncabezadoCar">
    <w:name w:val="Encabezado Car"/>
    <w:basedOn w:val="Fuentedeprrafopredeter"/>
    <w:link w:val="Encabezado"/>
    <w:uiPriority w:val="99"/>
    <w:rsid w:val="000B5907"/>
  </w:style>
  <w:style w:type="paragraph" w:styleId="Piedepgina">
    <w:name w:val="footer"/>
    <w:basedOn w:val="Normal"/>
    <w:link w:val="PiedepginaCar"/>
    <w:uiPriority w:val="99"/>
    <w:unhideWhenUsed/>
    <w:rsid w:val="000B5907"/>
    <w:pPr>
      <w:tabs>
        <w:tab w:val="center" w:pos="4419"/>
        <w:tab w:val="right" w:pos="8838"/>
      </w:tabs>
    </w:pPr>
  </w:style>
  <w:style w:type="character" w:customStyle="1" w:styleId="PiedepginaCar">
    <w:name w:val="Pie de página Car"/>
    <w:basedOn w:val="Fuentedeprrafopredeter"/>
    <w:link w:val="Piedepgina"/>
    <w:uiPriority w:val="99"/>
    <w:rsid w:val="000B5907"/>
  </w:style>
  <w:style w:type="paragraph" w:customStyle="1" w:styleId="corte6cintilloypie">
    <w:name w:val="corte6 cintillo y pie"/>
    <w:basedOn w:val="Normal"/>
    <w:uiPriority w:val="99"/>
    <w:rsid w:val="000B5907"/>
    <w:pPr>
      <w:jc w:val="right"/>
    </w:pPr>
    <w:rPr>
      <w:rFonts w:ascii="Arial" w:eastAsia="Times New Roman" w:hAnsi="Arial" w:cs="Times New Roman"/>
      <w:b/>
      <w:caps/>
      <w:szCs w:val="20"/>
      <w:lang w:val="es-ES_tradnl" w:eastAsia="es-MX"/>
    </w:rPr>
  </w:style>
  <w:style w:type="paragraph" w:styleId="NormalWeb">
    <w:name w:val="Normal (Web)"/>
    <w:basedOn w:val="Normal"/>
    <w:uiPriority w:val="99"/>
    <w:unhideWhenUsed/>
    <w:rsid w:val="00E015D9"/>
    <w:pPr>
      <w:spacing w:before="100" w:beforeAutospacing="1" w:after="100" w:afterAutospacing="1"/>
    </w:pPr>
    <w:rPr>
      <w:rFonts w:ascii="Times New Roman" w:eastAsia="Times New Roman" w:hAnsi="Times New Roman" w:cs="Times New Roman"/>
      <w:lang w:eastAsia="es-MX"/>
    </w:rPr>
  </w:style>
  <w:style w:type="character" w:styleId="Hipervnculo">
    <w:name w:val="Hyperlink"/>
    <w:basedOn w:val="Fuentedeprrafopredeter"/>
    <w:uiPriority w:val="99"/>
    <w:unhideWhenUsed/>
    <w:rsid w:val="008C53DB"/>
    <w:rPr>
      <w:color w:val="0563C1" w:themeColor="hyperlink"/>
      <w:u w:val="single"/>
    </w:rPr>
  </w:style>
  <w:style w:type="character" w:styleId="Mencinsinresolver">
    <w:name w:val="Unresolved Mention"/>
    <w:basedOn w:val="Fuentedeprrafopredeter"/>
    <w:uiPriority w:val="99"/>
    <w:semiHidden/>
    <w:unhideWhenUsed/>
    <w:rsid w:val="008C53DB"/>
    <w:rPr>
      <w:color w:val="605E5C"/>
      <w:shd w:val="clear" w:color="auto" w:fill="E1DFDD"/>
    </w:rPr>
  </w:style>
  <w:style w:type="character" w:customStyle="1" w:styleId="corte4fondoCar3">
    <w:name w:val="corte4 fondo Car3"/>
    <w:locked/>
    <w:rsid w:val="005B2912"/>
    <w:rPr>
      <w:rFonts w:ascii="Arial" w:eastAsia="Times New Roman" w:hAnsi="Arial" w:cs="Times New Roman"/>
      <w:sz w:val="30"/>
      <w:szCs w:val="20"/>
      <w:lang w:val="es-ES_tradnl" w:eastAsia="es-MX"/>
    </w:rPr>
  </w:style>
  <w:style w:type="character" w:styleId="Refdecomentario">
    <w:name w:val="annotation reference"/>
    <w:basedOn w:val="Fuentedeprrafopredeter"/>
    <w:uiPriority w:val="99"/>
    <w:semiHidden/>
    <w:unhideWhenUsed/>
    <w:rsid w:val="00F5646A"/>
    <w:rPr>
      <w:sz w:val="16"/>
      <w:szCs w:val="16"/>
    </w:rPr>
  </w:style>
  <w:style w:type="paragraph" w:styleId="Textocomentario">
    <w:name w:val="annotation text"/>
    <w:basedOn w:val="Normal"/>
    <w:link w:val="TextocomentarioCar"/>
    <w:uiPriority w:val="99"/>
    <w:unhideWhenUsed/>
    <w:rsid w:val="00F5646A"/>
    <w:rPr>
      <w:sz w:val="20"/>
      <w:szCs w:val="20"/>
    </w:rPr>
  </w:style>
  <w:style w:type="character" w:customStyle="1" w:styleId="TextocomentarioCar">
    <w:name w:val="Texto comentario Car"/>
    <w:basedOn w:val="Fuentedeprrafopredeter"/>
    <w:link w:val="Textocomentario"/>
    <w:uiPriority w:val="99"/>
    <w:rsid w:val="00F5646A"/>
    <w:rPr>
      <w:sz w:val="20"/>
      <w:szCs w:val="20"/>
    </w:rPr>
  </w:style>
  <w:style w:type="paragraph" w:styleId="Asuntodelcomentario">
    <w:name w:val="annotation subject"/>
    <w:basedOn w:val="Textocomentario"/>
    <w:next w:val="Textocomentario"/>
    <w:link w:val="AsuntodelcomentarioCar"/>
    <w:uiPriority w:val="99"/>
    <w:semiHidden/>
    <w:unhideWhenUsed/>
    <w:rsid w:val="00F5646A"/>
    <w:rPr>
      <w:b/>
      <w:bCs/>
    </w:rPr>
  </w:style>
  <w:style w:type="character" w:customStyle="1" w:styleId="AsuntodelcomentarioCar">
    <w:name w:val="Asunto del comentario Car"/>
    <w:basedOn w:val="TextocomentarioCar"/>
    <w:link w:val="Asuntodelcomentario"/>
    <w:uiPriority w:val="99"/>
    <w:semiHidden/>
    <w:rsid w:val="00F5646A"/>
    <w:rPr>
      <w:b/>
      <w:bCs/>
      <w:sz w:val="20"/>
      <w:szCs w:val="20"/>
    </w:rPr>
  </w:style>
  <w:style w:type="character" w:customStyle="1" w:styleId="EstiloCar">
    <w:name w:val="Estilo Car"/>
    <w:link w:val="Estilo"/>
    <w:locked/>
    <w:rsid w:val="001737B4"/>
    <w:rPr>
      <w:rFonts w:ascii="Arial" w:hAnsi="Arial" w:cs="Arial"/>
    </w:rPr>
  </w:style>
  <w:style w:type="paragraph" w:customStyle="1" w:styleId="Estilo">
    <w:name w:val="Estilo"/>
    <w:basedOn w:val="Sinespaciado"/>
    <w:link w:val="EstiloCar"/>
    <w:qFormat/>
    <w:rsid w:val="001737B4"/>
    <w:pPr>
      <w:jc w:val="both"/>
    </w:pPr>
    <w:rPr>
      <w:rFonts w:ascii="Arial" w:hAnsi="Arial" w:cs="Arial"/>
    </w:rPr>
  </w:style>
  <w:style w:type="paragraph" w:customStyle="1" w:styleId="Piedepagina">
    <w:name w:val="Pie de pagina"/>
    <w:basedOn w:val="Normal"/>
    <w:rsid w:val="001737B4"/>
    <w:pPr>
      <w:spacing w:after="160" w:line="240" w:lineRule="exact"/>
    </w:pPr>
    <w:rPr>
      <w:vertAlign w:val="superscript"/>
    </w:rPr>
  </w:style>
  <w:style w:type="paragraph" w:styleId="Sinespaciado">
    <w:name w:val="No Spacing"/>
    <w:uiPriority w:val="1"/>
    <w:qFormat/>
    <w:rsid w:val="001737B4"/>
  </w:style>
  <w:style w:type="character" w:customStyle="1" w:styleId="Ttulo4Car">
    <w:name w:val="Título 4 Car"/>
    <w:basedOn w:val="Fuentedeprrafopredeter"/>
    <w:link w:val="Ttulo4"/>
    <w:uiPriority w:val="9"/>
    <w:semiHidden/>
    <w:rsid w:val="00B70EDE"/>
    <w:rPr>
      <w:rFonts w:eastAsiaTheme="majorEastAsia" w:cstheme="majorBidi"/>
      <w:i/>
      <w:iCs/>
      <w:color w:val="2F5496" w:themeColor="accent1" w:themeShade="BF"/>
    </w:rPr>
  </w:style>
  <w:style w:type="paragraph" w:styleId="Revisin">
    <w:name w:val="Revision"/>
    <w:hidden/>
    <w:uiPriority w:val="99"/>
    <w:semiHidden/>
    <w:rsid w:val="00B72071"/>
  </w:style>
  <w:style w:type="numbering" w:customStyle="1" w:styleId="Estiloimportado2">
    <w:name w:val="Estilo importado 2"/>
    <w:rsid w:val="00A6500A"/>
    <w:pPr>
      <w:numPr>
        <w:numId w:val="25"/>
      </w:numPr>
    </w:pPr>
  </w:style>
  <w:style w:type="character" w:customStyle="1" w:styleId="corte4fondoCar4">
    <w:name w:val="corte4 fondo Car4"/>
    <w:rsid w:val="00A13E3F"/>
    <w:rPr>
      <w:rFonts w:ascii="Arial" w:eastAsia="Times New Roman" w:hAnsi="Arial" w:cs="Times New Roman"/>
      <w:sz w:val="30"/>
      <w:szCs w:val="20"/>
      <w:lang w:eastAsia="es-MX"/>
    </w:rPr>
  </w:style>
  <w:style w:type="character" w:styleId="Hipervnculovisitado">
    <w:name w:val="FollowedHyperlink"/>
    <w:basedOn w:val="Fuentedeprrafopredeter"/>
    <w:uiPriority w:val="99"/>
    <w:semiHidden/>
    <w:unhideWhenUsed/>
    <w:rsid w:val="00DB7BB3"/>
    <w:rPr>
      <w:color w:val="954F72" w:themeColor="followedHyperlink"/>
      <w:u w:val="single"/>
    </w:rPr>
  </w:style>
  <w:style w:type="paragraph" w:styleId="Textoindependiente">
    <w:name w:val="Body Text"/>
    <w:basedOn w:val="Normal"/>
    <w:link w:val="TextoindependienteCar"/>
    <w:uiPriority w:val="1"/>
    <w:qFormat/>
    <w:rsid w:val="008E4A13"/>
    <w:pPr>
      <w:widowControl w:val="0"/>
      <w:ind w:left="540" w:hanging="427"/>
    </w:pPr>
    <w:rPr>
      <w:rFonts w:ascii="Arial" w:eastAsia="Arial" w:hAnsi="Arial"/>
      <w:sz w:val="26"/>
      <w:szCs w:val="26"/>
      <w:lang w:val="en-US"/>
    </w:rPr>
  </w:style>
  <w:style w:type="character" w:customStyle="1" w:styleId="TextoindependienteCar">
    <w:name w:val="Texto independiente Car"/>
    <w:basedOn w:val="Fuentedeprrafopredeter"/>
    <w:link w:val="Textoindependiente"/>
    <w:uiPriority w:val="1"/>
    <w:rsid w:val="008E4A13"/>
    <w:rPr>
      <w:rFonts w:ascii="Arial" w:eastAsia="Arial" w:hAnsi="Arial"/>
      <w:sz w:val="26"/>
      <w:szCs w:val="26"/>
      <w:lang w:val="en-US"/>
    </w:rPr>
  </w:style>
  <w:style w:type="character" w:customStyle="1" w:styleId="NingunoA">
    <w:name w:val="Ninguno A"/>
    <w:rsid w:val="001267E1"/>
  </w:style>
  <w:style w:type="character" w:customStyle="1" w:styleId="Ttulo1Car">
    <w:name w:val="Título 1 Car"/>
    <w:basedOn w:val="Fuentedeprrafopredeter"/>
    <w:link w:val="Ttulo1"/>
    <w:uiPriority w:val="9"/>
    <w:rsid w:val="00F4301F"/>
    <w:rPr>
      <w:rFonts w:asciiTheme="majorHAnsi" w:eastAsiaTheme="majorEastAsia" w:hAnsiTheme="majorHAnsi" w:cstheme="majorBidi"/>
      <w:color w:val="2F5496" w:themeColor="accent1" w:themeShade="BF"/>
      <w:sz w:val="32"/>
      <w:szCs w:val="32"/>
    </w:rPr>
  </w:style>
  <w:style w:type="character" w:customStyle="1" w:styleId="corte4fondoCarCar">
    <w:name w:val="corte4 fondo Car Car"/>
    <w:link w:val="corte4fondoCar0"/>
    <w:locked/>
    <w:rsid w:val="00D812B4"/>
    <w:rPr>
      <w:rFonts w:ascii="Arial" w:eastAsia="Times New Roman" w:hAnsi="Arial" w:cs="Times New Roman"/>
      <w:sz w:val="30"/>
      <w:szCs w:val="20"/>
      <w:lang w:val="es-ES_tradnl" w:eastAsia="es-MX"/>
    </w:rPr>
  </w:style>
  <w:style w:type="paragraph" w:customStyle="1" w:styleId="corte4fondoCar0">
    <w:name w:val="corte4 fondo Car"/>
    <w:basedOn w:val="Normal"/>
    <w:link w:val="corte4fondoCarCar"/>
    <w:rsid w:val="00D812B4"/>
    <w:pPr>
      <w:spacing w:line="360" w:lineRule="auto"/>
      <w:ind w:firstLine="709"/>
      <w:jc w:val="both"/>
    </w:pPr>
    <w:rPr>
      <w:rFonts w:ascii="Arial" w:eastAsia="Times New Roman" w:hAnsi="Arial" w:cs="Times New Roman"/>
      <w:sz w:val="30"/>
      <w:szCs w:val="20"/>
      <w:lang w:val="es-ES_tradnl" w:eastAsia="es-MX"/>
    </w:rPr>
  </w:style>
  <w:style w:type="character" w:customStyle="1" w:styleId="Ttulo3Car">
    <w:name w:val="Título 3 Car"/>
    <w:basedOn w:val="Fuentedeprrafopredeter"/>
    <w:link w:val="Ttulo3"/>
    <w:uiPriority w:val="9"/>
    <w:semiHidden/>
    <w:rsid w:val="00A7750D"/>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3562">
      <w:bodyDiv w:val="1"/>
      <w:marLeft w:val="0"/>
      <w:marRight w:val="0"/>
      <w:marTop w:val="0"/>
      <w:marBottom w:val="0"/>
      <w:divBdr>
        <w:top w:val="none" w:sz="0" w:space="0" w:color="auto"/>
        <w:left w:val="none" w:sz="0" w:space="0" w:color="auto"/>
        <w:bottom w:val="none" w:sz="0" w:space="0" w:color="auto"/>
        <w:right w:val="none" w:sz="0" w:space="0" w:color="auto"/>
      </w:divBdr>
    </w:div>
    <w:div w:id="51850947">
      <w:bodyDiv w:val="1"/>
      <w:marLeft w:val="0"/>
      <w:marRight w:val="0"/>
      <w:marTop w:val="0"/>
      <w:marBottom w:val="0"/>
      <w:divBdr>
        <w:top w:val="none" w:sz="0" w:space="0" w:color="auto"/>
        <w:left w:val="none" w:sz="0" w:space="0" w:color="auto"/>
        <w:bottom w:val="none" w:sz="0" w:space="0" w:color="auto"/>
        <w:right w:val="none" w:sz="0" w:space="0" w:color="auto"/>
      </w:divBdr>
    </w:div>
    <w:div w:id="59259415">
      <w:bodyDiv w:val="1"/>
      <w:marLeft w:val="0"/>
      <w:marRight w:val="0"/>
      <w:marTop w:val="0"/>
      <w:marBottom w:val="0"/>
      <w:divBdr>
        <w:top w:val="none" w:sz="0" w:space="0" w:color="auto"/>
        <w:left w:val="none" w:sz="0" w:space="0" w:color="auto"/>
        <w:bottom w:val="none" w:sz="0" w:space="0" w:color="auto"/>
        <w:right w:val="none" w:sz="0" w:space="0" w:color="auto"/>
      </w:divBdr>
    </w:div>
    <w:div w:id="217281353">
      <w:bodyDiv w:val="1"/>
      <w:marLeft w:val="0"/>
      <w:marRight w:val="0"/>
      <w:marTop w:val="0"/>
      <w:marBottom w:val="0"/>
      <w:divBdr>
        <w:top w:val="none" w:sz="0" w:space="0" w:color="auto"/>
        <w:left w:val="none" w:sz="0" w:space="0" w:color="auto"/>
        <w:bottom w:val="none" w:sz="0" w:space="0" w:color="auto"/>
        <w:right w:val="none" w:sz="0" w:space="0" w:color="auto"/>
      </w:divBdr>
    </w:div>
    <w:div w:id="237983427">
      <w:bodyDiv w:val="1"/>
      <w:marLeft w:val="0"/>
      <w:marRight w:val="0"/>
      <w:marTop w:val="0"/>
      <w:marBottom w:val="0"/>
      <w:divBdr>
        <w:top w:val="none" w:sz="0" w:space="0" w:color="auto"/>
        <w:left w:val="none" w:sz="0" w:space="0" w:color="auto"/>
        <w:bottom w:val="none" w:sz="0" w:space="0" w:color="auto"/>
        <w:right w:val="none" w:sz="0" w:space="0" w:color="auto"/>
      </w:divBdr>
    </w:div>
    <w:div w:id="276110416">
      <w:bodyDiv w:val="1"/>
      <w:marLeft w:val="0"/>
      <w:marRight w:val="0"/>
      <w:marTop w:val="0"/>
      <w:marBottom w:val="0"/>
      <w:divBdr>
        <w:top w:val="none" w:sz="0" w:space="0" w:color="auto"/>
        <w:left w:val="none" w:sz="0" w:space="0" w:color="auto"/>
        <w:bottom w:val="none" w:sz="0" w:space="0" w:color="auto"/>
        <w:right w:val="none" w:sz="0" w:space="0" w:color="auto"/>
      </w:divBdr>
    </w:div>
    <w:div w:id="288972236">
      <w:bodyDiv w:val="1"/>
      <w:marLeft w:val="0"/>
      <w:marRight w:val="0"/>
      <w:marTop w:val="0"/>
      <w:marBottom w:val="0"/>
      <w:divBdr>
        <w:top w:val="none" w:sz="0" w:space="0" w:color="auto"/>
        <w:left w:val="none" w:sz="0" w:space="0" w:color="auto"/>
        <w:bottom w:val="none" w:sz="0" w:space="0" w:color="auto"/>
        <w:right w:val="none" w:sz="0" w:space="0" w:color="auto"/>
      </w:divBdr>
      <w:divsChild>
        <w:div w:id="129058568">
          <w:marLeft w:val="0"/>
          <w:marRight w:val="0"/>
          <w:marTop w:val="0"/>
          <w:marBottom w:val="0"/>
          <w:divBdr>
            <w:top w:val="none" w:sz="0" w:space="0" w:color="auto"/>
            <w:left w:val="none" w:sz="0" w:space="0" w:color="auto"/>
            <w:bottom w:val="none" w:sz="0" w:space="0" w:color="auto"/>
            <w:right w:val="none" w:sz="0" w:space="0" w:color="auto"/>
          </w:divBdr>
          <w:divsChild>
            <w:div w:id="444619179">
              <w:marLeft w:val="0"/>
              <w:marRight w:val="0"/>
              <w:marTop w:val="0"/>
              <w:marBottom w:val="0"/>
              <w:divBdr>
                <w:top w:val="none" w:sz="0" w:space="0" w:color="auto"/>
                <w:left w:val="none" w:sz="0" w:space="0" w:color="auto"/>
                <w:bottom w:val="none" w:sz="0" w:space="0" w:color="auto"/>
                <w:right w:val="none" w:sz="0" w:space="0" w:color="auto"/>
              </w:divBdr>
              <w:divsChild>
                <w:div w:id="1944604768">
                  <w:marLeft w:val="0"/>
                  <w:marRight w:val="0"/>
                  <w:marTop w:val="0"/>
                  <w:marBottom w:val="0"/>
                  <w:divBdr>
                    <w:top w:val="none" w:sz="0" w:space="0" w:color="auto"/>
                    <w:left w:val="none" w:sz="0" w:space="0" w:color="auto"/>
                    <w:bottom w:val="none" w:sz="0" w:space="0" w:color="auto"/>
                    <w:right w:val="none" w:sz="0" w:space="0" w:color="auto"/>
                  </w:divBdr>
                  <w:divsChild>
                    <w:div w:id="2131897980">
                      <w:marLeft w:val="0"/>
                      <w:marRight w:val="0"/>
                      <w:marTop w:val="0"/>
                      <w:marBottom w:val="0"/>
                      <w:divBdr>
                        <w:top w:val="none" w:sz="0" w:space="0" w:color="auto"/>
                        <w:left w:val="none" w:sz="0" w:space="0" w:color="auto"/>
                        <w:bottom w:val="none" w:sz="0" w:space="0" w:color="auto"/>
                        <w:right w:val="none" w:sz="0" w:space="0" w:color="auto"/>
                      </w:divBdr>
                      <w:divsChild>
                        <w:div w:id="1946645949">
                          <w:marLeft w:val="0"/>
                          <w:marRight w:val="0"/>
                          <w:marTop w:val="0"/>
                          <w:marBottom w:val="0"/>
                          <w:divBdr>
                            <w:top w:val="none" w:sz="0" w:space="0" w:color="auto"/>
                            <w:left w:val="none" w:sz="0" w:space="0" w:color="auto"/>
                            <w:bottom w:val="none" w:sz="0" w:space="0" w:color="auto"/>
                            <w:right w:val="none" w:sz="0" w:space="0" w:color="auto"/>
                          </w:divBdr>
                          <w:divsChild>
                            <w:div w:id="135372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821956">
      <w:bodyDiv w:val="1"/>
      <w:marLeft w:val="0"/>
      <w:marRight w:val="0"/>
      <w:marTop w:val="0"/>
      <w:marBottom w:val="0"/>
      <w:divBdr>
        <w:top w:val="none" w:sz="0" w:space="0" w:color="auto"/>
        <w:left w:val="none" w:sz="0" w:space="0" w:color="auto"/>
        <w:bottom w:val="none" w:sz="0" w:space="0" w:color="auto"/>
        <w:right w:val="none" w:sz="0" w:space="0" w:color="auto"/>
      </w:divBdr>
    </w:div>
    <w:div w:id="309987826">
      <w:bodyDiv w:val="1"/>
      <w:marLeft w:val="0"/>
      <w:marRight w:val="0"/>
      <w:marTop w:val="0"/>
      <w:marBottom w:val="0"/>
      <w:divBdr>
        <w:top w:val="none" w:sz="0" w:space="0" w:color="auto"/>
        <w:left w:val="none" w:sz="0" w:space="0" w:color="auto"/>
        <w:bottom w:val="none" w:sz="0" w:space="0" w:color="auto"/>
        <w:right w:val="none" w:sz="0" w:space="0" w:color="auto"/>
      </w:divBdr>
    </w:div>
    <w:div w:id="312833920">
      <w:bodyDiv w:val="1"/>
      <w:marLeft w:val="0"/>
      <w:marRight w:val="0"/>
      <w:marTop w:val="0"/>
      <w:marBottom w:val="0"/>
      <w:divBdr>
        <w:top w:val="none" w:sz="0" w:space="0" w:color="auto"/>
        <w:left w:val="none" w:sz="0" w:space="0" w:color="auto"/>
        <w:bottom w:val="none" w:sz="0" w:space="0" w:color="auto"/>
        <w:right w:val="none" w:sz="0" w:space="0" w:color="auto"/>
      </w:divBdr>
      <w:divsChild>
        <w:div w:id="935671325">
          <w:marLeft w:val="0"/>
          <w:marRight w:val="0"/>
          <w:marTop w:val="0"/>
          <w:marBottom w:val="0"/>
          <w:divBdr>
            <w:top w:val="none" w:sz="0" w:space="0" w:color="auto"/>
            <w:left w:val="none" w:sz="0" w:space="0" w:color="auto"/>
            <w:bottom w:val="none" w:sz="0" w:space="0" w:color="auto"/>
            <w:right w:val="none" w:sz="0" w:space="0" w:color="auto"/>
          </w:divBdr>
          <w:divsChild>
            <w:div w:id="243801562">
              <w:marLeft w:val="0"/>
              <w:marRight w:val="0"/>
              <w:marTop w:val="0"/>
              <w:marBottom w:val="0"/>
              <w:divBdr>
                <w:top w:val="none" w:sz="0" w:space="0" w:color="auto"/>
                <w:left w:val="none" w:sz="0" w:space="0" w:color="auto"/>
                <w:bottom w:val="none" w:sz="0" w:space="0" w:color="auto"/>
                <w:right w:val="none" w:sz="0" w:space="0" w:color="auto"/>
              </w:divBdr>
              <w:divsChild>
                <w:div w:id="2586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172186">
      <w:bodyDiv w:val="1"/>
      <w:marLeft w:val="0"/>
      <w:marRight w:val="0"/>
      <w:marTop w:val="0"/>
      <w:marBottom w:val="0"/>
      <w:divBdr>
        <w:top w:val="none" w:sz="0" w:space="0" w:color="auto"/>
        <w:left w:val="none" w:sz="0" w:space="0" w:color="auto"/>
        <w:bottom w:val="none" w:sz="0" w:space="0" w:color="auto"/>
        <w:right w:val="none" w:sz="0" w:space="0" w:color="auto"/>
      </w:divBdr>
    </w:div>
    <w:div w:id="329023313">
      <w:bodyDiv w:val="1"/>
      <w:marLeft w:val="0"/>
      <w:marRight w:val="0"/>
      <w:marTop w:val="0"/>
      <w:marBottom w:val="0"/>
      <w:divBdr>
        <w:top w:val="none" w:sz="0" w:space="0" w:color="auto"/>
        <w:left w:val="none" w:sz="0" w:space="0" w:color="auto"/>
        <w:bottom w:val="none" w:sz="0" w:space="0" w:color="auto"/>
        <w:right w:val="none" w:sz="0" w:space="0" w:color="auto"/>
      </w:divBdr>
      <w:divsChild>
        <w:div w:id="1600219551">
          <w:marLeft w:val="0"/>
          <w:marRight w:val="0"/>
          <w:marTop w:val="0"/>
          <w:marBottom w:val="0"/>
          <w:divBdr>
            <w:top w:val="none" w:sz="0" w:space="0" w:color="auto"/>
            <w:left w:val="none" w:sz="0" w:space="0" w:color="auto"/>
            <w:bottom w:val="none" w:sz="0" w:space="0" w:color="auto"/>
            <w:right w:val="none" w:sz="0" w:space="0" w:color="auto"/>
          </w:divBdr>
          <w:divsChild>
            <w:div w:id="1756245414">
              <w:marLeft w:val="0"/>
              <w:marRight w:val="0"/>
              <w:marTop w:val="0"/>
              <w:marBottom w:val="0"/>
              <w:divBdr>
                <w:top w:val="none" w:sz="0" w:space="0" w:color="auto"/>
                <w:left w:val="none" w:sz="0" w:space="0" w:color="auto"/>
                <w:bottom w:val="none" w:sz="0" w:space="0" w:color="auto"/>
                <w:right w:val="none" w:sz="0" w:space="0" w:color="auto"/>
              </w:divBdr>
              <w:divsChild>
                <w:div w:id="1372420067">
                  <w:marLeft w:val="0"/>
                  <w:marRight w:val="0"/>
                  <w:marTop w:val="0"/>
                  <w:marBottom w:val="0"/>
                  <w:divBdr>
                    <w:top w:val="none" w:sz="0" w:space="0" w:color="auto"/>
                    <w:left w:val="none" w:sz="0" w:space="0" w:color="auto"/>
                    <w:bottom w:val="none" w:sz="0" w:space="0" w:color="auto"/>
                    <w:right w:val="none" w:sz="0" w:space="0" w:color="auto"/>
                  </w:divBdr>
                  <w:divsChild>
                    <w:div w:id="10461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09142">
          <w:marLeft w:val="0"/>
          <w:marRight w:val="0"/>
          <w:marTop w:val="0"/>
          <w:marBottom w:val="0"/>
          <w:divBdr>
            <w:top w:val="none" w:sz="0" w:space="0" w:color="auto"/>
            <w:left w:val="none" w:sz="0" w:space="0" w:color="auto"/>
            <w:bottom w:val="none" w:sz="0" w:space="0" w:color="auto"/>
            <w:right w:val="none" w:sz="0" w:space="0" w:color="auto"/>
          </w:divBdr>
          <w:divsChild>
            <w:div w:id="1505976376">
              <w:marLeft w:val="0"/>
              <w:marRight w:val="0"/>
              <w:marTop w:val="0"/>
              <w:marBottom w:val="0"/>
              <w:divBdr>
                <w:top w:val="none" w:sz="0" w:space="0" w:color="auto"/>
                <w:left w:val="none" w:sz="0" w:space="0" w:color="auto"/>
                <w:bottom w:val="none" w:sz="0" w:space="0" w:color="auto"/>
                <w:right w:val="none" w:sz="0" w:space="0" w:color="auto"/>
              </w:divBdr>
              <w:divsChild>
                <w:div w:id="1672021778">
                  <w:marLeft w:val="0"/>
                  <w:marRight w:val="0"/>
                  <w:marTop w:val="0"/>
                  <w:marBottom w:val="0"/>
                  <w:divBdr>
                    <w:top w:val="none" w:sz="0" w:space="0" w:color="auto"/>
                    <w:left w:val="none" w:sz="0" w:space="0" w:color="auto"/>
                    <w:bottom w:val="none" w:sz="0" w:space="0" w:color="auto"/>
                    <w:right w:val="none" w:sz="0" w:space="0" w:color="auto"/>
                  </w:divBdr>
                  <w:divsChild>
                    <w:div w:id="7746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221760">
      <w:bodyDiv w:val="1"/>
      <w:marLeft w:val="0"/>
      <w:marRight w:val="0"/>
      <w:marTop w:val="0"/>
      <w:marBottom w:val="0"/>
      <w:divBdr>
        <w:top w:val="none" w:sz="0" w:space="0" w:color="auto"/>
        <w:left w:val="none" w:sz="0" w:space="0" w:color="auto"/>
        <w:bottom w:val="none" w:sz="0" w:space="0" w:color="auto"/>
        <w:right w:val="none" w:sz="0" w:space="0" w:color="auto"/>
      </w:divBdr>
    </w:div>
    <w:div w:id="508103409">
      <w:bodyDiv w:val="1"/>
      <w:marLeft w:val="0"/>
      <w:marRight w:val="0"/>
      <w:marTop w:val="0"/>
      <w:marBottom w:val="0"/>
      <w:divBdr>
        <w:top w:val="none" w:sz="0" w:space="0" w:color="auto"/>
        <w:left w:val="none" w:sz="0" w:space="0" w:color="auto"/>
        <w:bottom w:val="none" w:sz="0" w:space="0" w:color="auto"/>
        <w:right w:val="none" w:sz="0" w:space="0" w:color="auto"/>
      </w:divBdr>
    </w:div>
    <w:div w:id="535511709">
      <w:bodyDiv w:val="1"/>
      <w:marLeft w:val="0"/>
      <w:marRight w:val="0"/>
      <w:marTop w:val="0"/>
      <w:marBottom w:val="0"/>
      <w:divBdr>
        <w:top w:val="none" w:sz="0" w:space="0" w:color="auto"/>
        <w:left w:val="none" w:sz="0" w:space="0" w:color="auto"/>
        <w:bottom w:val="none" w:sz="0" w:space="0" w:color="auto"/>
        <w:right w:val="none" w:sz="0" w:space="0" w:color="auto"/>
      </w:divBdr>
    </w:div>
    <w:div w:id="579483606">
      <w:bodyDiv w:val="1"/>
      <w:marLeft w:val="0"/>
      <w:marRight w:val="0"/>
      <w:marTop w:val="0"/>
      <w:marBottom w:val="0"/>
      <w:divBdr>
        <w:top w:val="none" w:sz="0" w:space="0" w:color="auto"/>
        <w:left w:val="none" w:sz="0" w:space="0" w:color="auto"/>
        <w:bottom w:val="none" w:sz="0" w:space="0" w:color="auto"/>
        <w:right w:val="none" w:sz="0" w:space="0" w:color="auto"/>
      </w:divBdr>
    </w:div>
    <w:div w:id="597253794">
      <w:bodyDiv w:val="1"/>
      <w:marLeft w:val="0"/>
      <w:marRight w:val="0"/>
      <w:marTop w:val="0"/>
      <w:marBottom w:val="0"/>
      <w:divBdr>
        <w:top w:val="none" w:sz="0" w:space="0" w:color="auto"/>
        <w:left w:val="none" w:sz="0" w:space="0" w:color="auto"/>
        <w:bottom w:val="none" w:sz="0" w:space="0" w:color="auto"/>
        <w:right w:val="none" w:sz="0" w:space="0" w:color="auto"/>
      </w:divBdr>
      <w:divsChild>
        <w:div w:id="965282824">
          <w:marLeft w:val="0"/>
          <w:marRight w:val="0"/>
          <w:marTop w:val="0"/>
          <w:marBottom w:val="0"/>
          <w:divBdr>
            <w:top w:val="none" w:sz="0" w:space="0" w:color="auto"/>
            <w:left w:val="none" w:sz="0" w:space="0" w:color="auto"/>
            <w:bottom w:val="none" w:sz="0" w:space="0" w:color="auto"/>
            <w:right w:val="none" w:sz="0" w:space="0" w:color="auto"/>
          </w:divBdr>
          <w:divsChild>
            <w:div w:id="22487244">
              <w:marLeft w:val="0"/>
              <w:marRight w:val="0"/>
              <w:marTop w:val="0"/>
              <w:marBottom w:val="0"/>
              <w:divBdr>
                <w:top w:val="none" w:sz="0" w:space="0" w:color="auto"/>
                <w:left w:val="none" w:sz="0" w:space="0" w:color="auto"/>
                <w:bottom w:val="none" w:sz="0" w:space="0" w:color="auto"/>
                <w:right w:val="none" w:sz="0" w:space="0" w:color="auto"/>
              </w:divBdr>
              <w:divsChild>
                <w:div w:id="185915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52432">
      <w:bodyDiv w:val="1"/>
      <w:marLeft w:val="0"/>
      <w:marRight w:val="0"/>
      <w:marTop w:val="0"/>
      <w:marBottom w:val="0"/>
      <w:divBdr>
        <w:top w:val="none" w:sz="0" w:space="0" w:color="auto"/>
        <w:left w:val="none" w:sz="0" w:space="0" w:color="auto"/>
        <w:bottom w:val="none" w:sz="0" w:space="0" w:color="auto"/>
        <w:right w:val="none" w:sz="0" w:space="0" w:color="auto"/>
      </w:divBdr>
    </w:div>
    <w:div w:id="646979634">
      <w:bodyDiv w:val="1"/>
      <w:marLeft w:val="0"/>
      <w:marRight w:val="0"/>
      <w:marTop w:val="0"/>
      <w:marBottom w:val="0"/>
      <w:divBdr>
        <w:top w:val="none" w:sz="0" w:space="0" w:color="auto"/>
        <w:left w:val="none" w:sz="0" w:space="0" w:color="auto"/>
        <w:bottom w:val="none" w:sz="0" w:space="0" w:color="auto"/>
        <w:right w:val="none" w:sz="0" w:space="0" w:color="auto"/>
      </w:divBdr>
      <w:divsChild>
        <w:div w:id="663164835">
          <w:marLeft w:val="0"/>
          <w:marRight w:val="0"/>
          <w:marTop w:val="0"/>
          <w:marBottom w:val="0"/>
          <w:divBdr>
            <w:top w:val="none" w:sz="0" w:space="0" w:color="auto"/>
            <w:left w:val="none" w:sz="0" w:space="0" w:color="auto"/>
            <w:bottom w:val="none" w:sz="0" w:space="0" w:color="auto"/>
            <w:right w:val="none" w:sz="0" w:space="0" w:color="auto"/>
          </w:divBdr>
        </w:div>
        <w:div w:id="1448305525">
          <w:marLeft w:val="0"/>
          <w:marRight w:val="0"/>
          <w:marTop w:val="0"/>
          <w:marBottom w:val="0"/>
          <w:divBdr>
            <w:top w:val="none" w:sz="0" w:space="0" w:color="auto"/>
            <w:left w:val="none" w:sz="0" w:space="0" w:color="auto"/>
            <w:bottom w:val="none" w:sz="0" w:space="0" w:color="auto"/>
            <w:right w:val="none" w:sz="0" w:space="0" w:color="auto"/>
          </w:divBdr>
          <w:divsChild>
            <w:div w:id="189878013">
              <w:marLeft w:val="0"/>
              <w:marRight w:val="0"/>
              <w:marTop w:val="0"/>
              <w:marBottom w:val="0"/>
              <w:divBdr>
                <w:top w:val="none" w:sz="0" w:space="0" w:color="auto"/>
                <w:left w:val="none" w:sz="0" w:space="0" w:color="auto"/>
                <w:bottom w:val="none" w:sz="0" w:space="0" w:color="auto"/>
                <w:right w:val="none" w:sz="0" w:space="0" w:color="auto"/>
              </w:divBdr>
              <w:divsChild>
                <w:div w:id="790829445">
                  <w:marLeft w:val="0"/>
                  <w:marRight w:val="0"/>
                  <w:marTop w:val="0"/>
                  <w:marBottom w:val="0"/>
                  <w:divBdr>
                    <w:top w:val="none" w:sz="0" w:space="0" w:color="auto"/>
                    <w:left w:val="none" w:sz="0" w:space="0" w:color="auto"/>
                    <w:bottom w:val="none" w:sz="0" w:space="0" w:color="auto"/>
                    <w:right w:val="none" w:sz="0" w:space="0" w:color="auto"/>
                  </w:divBdr>
                  <w:divsChild>
                    <w:div w:id="415367773">
                      <w:marLeft w:val="0"/>
                      <w:marRight w:val="0"/>
                      <w:marTop w:val="180"/>
                      <w:marBottom w:val="0"/>
                      <w:divBdr>
                        <w:top w:val="none" w:sz="0" w:space="0" w:color="auto"/>
                        <w:left w:val="none" w:sz="0" w:space="0" w:color="auto"/>
                        <w:bottom w:val="none" w:sz="0" w:space="0" w:color="auto"/>
                        <w:right w:val="none" w:sz="0" w:space="0" w:color="auto"/>
                      </w:divBdr>
                      <w:divsChild>
                        <w:div w:id="1212688722">
                          <w:marLeft w:val="0"/>
                          <w:marRight w:val="0"/>
                          <w:marTop w:val="0"/>
                          <w:marBottom w:val="0"/>
                          <w:divBdr>
                            <w:top w:val="none" w:sz="0" w:space="0" w:color="auto"/>
                            <w:left w:val="none" w:sz="0" w:space="0" w:color="auto"/>
                            <w:bottom w:val="none" w:sz="0" w:space="0" w:color="auto"/>
                            <w:right w:val="none" w:sz="0" w:space="0" w:color="auto"/>
                          </w:divBdr>
                        </w:div>
                        <w:div w:id="141486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271234">
      <w:bodyDiv w:val="1"/>
      <w:marLeft w:val="0"/>
      <w:marRight w:val="0"/>
      <w:marTop w:val="0"/>
      <w:marBottom w:val="0"/>
      <w:divBdr>
        <w:top w:val="none" w:sz="0" w:space="0" w:color="auto"/>
        <w:left w:val="none" w:sz="0" w:space="0" w:color="auto"/>
        <w:bottom w:val="none" w:sz="0" w:space="0" w:color="auto"/>
        <w:right w:val="none" w:sz="0" w:space="0" w:color="auto"/>
      </w:divBdr>
    </w:div>
    <w:div w:id="699860678">
      <w:bodyDiv w:val="1"/>
      <w:marLeft w:val="0"/>
      <w:marRight w:val="0"/>
      <w:marTop w:val="0"/>
      <w:marBottom w:val="0"/>
      <w:divBdr>
        <w:top w:val="none" w:sz="0" w:space="0" w:color="auto"/>
        <w:left w:val="none" w:sz="0" w:space="0" w:color="auto"/>
        <w:bottom w:val="none" w:sz="0" w:space="0" w:color="auto"/>
        <w:right w:val="none" w:sz="0" w:space="0" w:color="auto"/>
      </w:divBdr>
      <w:divsChild>
        <w:div w:id="1511287493">
          <w:marLeft w:val="0"/>
          <w:marRight w:val="0"/>
          <w:marTop w:val="0"/>
          <w:marBottom w:val="0"/>
          <w:divBdr>
            <w:top w:val="none" w:sz="0" w:space="0" w:color="auto"/>
            <w:left w:val="none" w:sz="0" w:space="0" w:color="auto"/>
            <w:bottom w:val="none" w:sz="0" w:space="0" w:color="auto"/>
            <w:right w:val="none" w:sz="0" w:space="0" w:color="auto"/>
          </w:divBdr>
          <w:divsChild>
            <w:div w:id="295258076">
              <w:marLeft w:val="0"/>
              <w:marRight w:val="0"/>
              <w:marTop w:val="0"/>
              <w:marBottom w:val="0"/>
              <w:divBdr>
                <w:top w:val="none" w:sz="0" w:space="0" w:color="auto"/>
                <w:left w:val="none" w:sz="0" w:space="0" w:color="auto"/>
                <w:bottom w:val="none" w:sz="0" w:space="0" w:color="auto"/>
                <w:right w:val="none" w:sz="0" w:space="0" w:color="auto"/>
              </w:divBdr>
              <w:divsChild>
                <w:div w:id="54043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740356">
      <w:bodyDiv w:val="1"/>
      <w:marLeft w:val="0"/>
      <w:marRight w:val="0"/>
      <w:marTop w:val="0"/>
      <w:marBottom w:val="0"/>
      <w:divBdr>
        <w:top w:val="none" w:sz="0" w:space="0" w:color="auto"/>
        <w:left w:val="none" w:sz="0" w:space="0" w:color="auto"/>
        <w:bottom w:val="none" w:sz="0" w:space="0" w:color="auto"/>
        <w:right w:val="none" w:sz="0" w:space="0" w:color="auto"/>
      </w:divBdr>
      <w:divsChild>
        <w:div w:id="1350907418">
          <w:marLeft w:val="0"/>
          <w:marRight w:val="0"/>
          <w:marTop w:val="0"/>
          <w:marBottom w:val="0"/>
          <w:divBdr>
            <w:top w:val="none" w:sz="0" w:space="0" w:color="auto"/>
            <w:left w:val="none" w:sz="0" w:space="0" w:color="auto"/>
            <w:bottom w:val="none" w:sz="0" w:space="0" w:color="auto"/>
            <w:right w:val="none" w:sz="0" w:space="0" w:color="auto"/>
          </w:divBdr>
          <w:divsChild>
            <w:div w:id="1824932904">
              <w:marLeft w:val="0"/>
              <w:marRight w:val="0"/>
              <w:marTop w:val="0"/>
              <w:marBottom w:val="0"/>
              <w:divBdr>
                <w:top w:val="none" w:sz="0" w:space="0" w:color="auto"/>
                <w:left w:val="none" w:sz="0" w:space="0" w:color="auto"/>
                <w:bottom w:val="none" w:sz="0" w:space="0" w:color="auto"/>
                <w:right w:val="none" w:sz="0" w:space="0" w:color="auto"/>
              </w:divBdr>
              <w:divsChild>
                <w:div w:id="42384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31073">
      <w:bodyDiv w:val="1"/>
      <w:marLeft w:val="0"/>
      <w:marRight w:val="0"/>
      <w:marTop w:val="0"/>
      <w:marBottom w:val="0"/>
      <w:divBdr>
        <w:top w:val="none" w:sz="0" w:space="0" w:color="auto"/>
        <w:left w:val="none" w:sz="0" w:space="0" w:color="auto"/>
        <w:bottom w:val="none" w:sz="0" w:space="0" w:color="auto"/>
        <w:right w:val="none" w:sz="0" w:space="0" w:color="auto"/>
      </w:divBdr>
    </w:div>
    <w:div w:id="827597429">
      <w:bodyDiv w:val="1"/>
      <w:marLeft w:val="0"/>
      <w:marRight w:val="0"/>
      <w:marTop w:val="0"/>
      <w:marBottom w:val="0"/>
      <w:divBdr>
        <w:top w:val="none" w:sz="0" w:space="0" w:color="auto"/>
        <w:left w:val="none" w:sz="0" w:space="0" w:color="auto"/>
        <w:bottom w:val="none" w:sz="0" w:space="0" w:color="auto"/>
        <w:right w:val="none" w:sz="0" w:space="0" w:color="auto"/>
      </w:divBdr>
    </w:div>
    <w:div w:id="850726293">
      <w:bodyDiv w:val="1"/>
      <w:marLeft w:val="0"/>
      <w:marRight w:val="0"/>
      <w:marTop w:val="0"/>
      <w:marBottom w:val="0"/>
      <w:divBdr>
        <w:top w:val="none" w:sz="0" w:space="0" w:color="auto"/>
        <w:left w:val="none" w:sz="0" w:space="0" w:color="auto"/>
        <w:bottom w:val="none" w:sz="0" w:space="0" w:color="auto"/>
        <w:right w:val="none" w:sz="0" w:space="0" w:color="auto"/>
      </w:divBdr>
    </w:div>
    <w:div w:id="878476192">
      <w:bodyDiv w:val="1"/>
      <w:marLeft w:val="0"/>
      <w:marRight w:val="0"/>
      <w:marTop w:val="0"/>
      <w:marBottom w:val="0"/>
      <w:divBdr>
        <w:top w:val="none" w:sz="0" w:space="0" w:color="auto"/>
        <w:left w:val="none" w:sz="0" w:space="0" w:color="auto"/>
        <w:bottom w:val="none" w:sz="0" w:space="0" w:color="auto"/>
        <w:right w:val="none" w:sz="0" w:space="0" w:color="auto"/>
      </w:divBdr>
      <w:divsChild>
        <w:div w:id="1096514390">
          <w:marLeft w:val="0"/>
          <w:marRight w:val="0"/>
          <w:marTop w:val="0"/>
          <w:marBottom w:val="0"/>
          <w:divBdr>
            <w:top w:val="none" w:sz="0" w:space="0" w:color="auto"/>
            <w:left w:val="none" w:sz="0" w:space="0" w:color="auto"/>
            <w:bottom w:val="none" w:sz="0" w:space="0" w:color="auto"/>
            <w:right w:val="none" w:sz="0" w:space="0" w:color="auto"/>
          </w:divBdr>
          <w:divsChild>
            <w:div w:id="1726951969">
              <w:marLeft w:val="0"/>
              <w:marRight w:val="0"/>
              <w:marTop w:val="0"/>
              <w:marBottom w:val="0"/>
              <w:divBdr>
                <w:top w:val="none" w:sz="0" w:space="0" w:color="auto"/>
                <w:left w:val="none" w:sz="0" w:space="0" w:color="auto"/>
                <w:bottom w:val="none" w:sz="0" w:space="0" w:color="auto"/>
                <w:right w:val="none" w:sz="0" w:space="0" w:color="auto"/>
              </w:divBdr>
              <w:divsChild>
                <w:div w:id="1080299437">
                  <w:marLeft w:val="0"/>
                  <w:marRight w:val="0"/>
                  <w:marTop w:val="0"/>
                  <w:marBottom w:val="0"/>
                  <w:divBdr>
                    <w:top w:val="none" w:sz="0" w:space="0" w:color="auto"/>
                    <w:left w:val="none" w:sz="0" w:space="0" w:color="auto"/>
                    <w:bottom w:val="none" w:sz="0" w:space="0" w:color="auto"/>
                    <w:right w:val="none" w:sz="0" w:space="0" w:color="auto"/>
                  </w:divBdr>
                  <w:divsChild>
                    <w:div w:id="1521315826">
                      <w:marLeft w:val="0"/>
                      <w:marRight w:val="0"/>
                      <w:marTop w:val="0"/>
                      <w:marBottom w:val="0"/>
                      <w:divBdr>
                        <w:top w:val="none" w:sz="0" w:space="0" w:color="auto"/>
                        <w:left w:val="none" w:sz="0" w:space="0" w:color="auto"/>
                        <w:bottom w:val="none" w:sz="0" w:space="0" w:color="auto"/>
                        <w:right w:val="none" w:sz="0" w:space="0" w:color="auto"/>
                      </w:divBdr>
                      <w:divsChild>
                        <w:div w:id="452672628">
                          <w:marLeft w:val="0"/>
                          <w:marRight w:val="0"/>
                          <w:marTop w:val="0"/>
                          <w:marBottom w:val="0"/>
                          <w:divBdr>
                            <w:top w:val="none" w:sz="0" w:space="0" w:color="auto"/>
                            <w:left w:val="none" w:sz="0" w:space="0" w:color="auto"/>
                            <w:bottom w:val="none" w:sz="0" w:space="0" w:color="auto"/>
                            <w:right w:val="none" w:sz="0" w:space="0" w:color="auto"/>
                          </w:divBdr>
                          <w:divsChild>
                            <w:div w:id="5932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898407">
      <w:bodyDiv w:val="1"/>
      <w:marLeft w:val="0"/>
      <w:marRight w:val="0"/>
      <w:marTop w:val="0"/>
      <w:marBottom w:val="0"/>
      <w:divBdr>
        <w:top w:val="none" w:sz="0" w:space="0" w:color="auto"/>
        <w:left w:val="none" w:sz="0" w:space="0" w:color="auto"/>
        <w:bottom w:val="none" w:sz="0" w:space="0" w:color="auto"/>
        <w:right w:val="none" w:sz="0" w:space="0" w:color="auto"/>
      </w:divBdr>
    </w:div>
    <w:div w:id="892082802">
      <w:bodyDiv w:val="1"/>
      <w:marLeft w:val="0"/>
      <w:marRight w:val="0"/>
      <w:marTop w:val="0"/>
      <w:marBottom w:val="0"/>
      <w:divBdr>
        <w:top w:val="none" w:sz="0" w:space="0" w:color="auto"/>
        <w:left w:val="none" w:sz="0" w:space="0" w:color="auto"/>
        <w:bottom w:val="none" w:sz="0" w:space="0" w:color="auto"/>
        <w:right w:val="none" w:sz="0" w:space="0" w:color="auto"/>
      </w:divBdr>
    </w:div>
    <w:div w:id="1046028140">
      <w:bodyDiv w:val="1"/>
      <w:marLeft w:val="0"/>
      <w:marRight w:val="0"/>
      <w:marTop w:val="0"/>
      <w:marBottom w:val="0"/>
      <w:divBdr>
        <w:top w:val="none" w:sz="0" w:space="0" w:color="auto"/>
        <w:left w:val="none" w:sz="0" w:space="0" w:color="auto"/>
        <w:bottom w:val="none" w:sz="0" w:space="0" w:color="auto"/>
        <w:right w:val="none" w:sz="0" w:space="0" w:color="auto"/>
      </w:divBdr>
    </w:div>
    <w:div w:id="1047876369">
      <w:bodyDiv w:val="1"/>
      <w:marLeft w:val="0"/>
      <w:marRight w:val="0"/>
      <w:marTop w:val="0"/>
      <w:marBottom w:val="0"/>
      <w:divBdr>
        <w:top w:val="none" w:sz="0" w:space="0" w:color="auto"/>
        <w:left w:val="none" w:sz="0" w:space="0" w:color="auto"/>
        <w:bottom w:val="none" w:sz="0" w:space="0" w:color="auto"/>
        <w:right w:val="none" w:sz="0" w:space="0" w:color="auto"/>
      </w:divBdr>
    </w:div>
    <w:div w:id="1059287201">
      <w:bodyDiv w:val="1"/>
      <w:marLeft w:val="0"/>
      <w:marRight w:val="0"/>
      <w:marTop w:val="0"/>
      <w:marBottom w:val="0"/>
      <w:divBdr>
        <w:top w:val="none" w:sz="0" w:space="0" w:color="auto"/>
        <w:left w:val="none" w:sz="0" w:space="0" w:color="auto"/>
        <w:bottom w:val="none" w:sz="0" w:space="0" w:color="auto"/>
        <w:right w:val="none" w:sz="0" w:space="0" w:color="auto"/>
      </w:divBdr>
    </w:div>
    <w:div w:id="1096830675">
      <w:bodyDiv w:val="1"/>
      <w:marLeft w:val="0"/>
      <w:marRight w:val="0"/>
      <w:marTop w:val="0"/>
      <w:marBottom w:val="0"/>
      <w:divBdr>
        <w:top w:val="none" w:sz="0" w:space="0" w:color="auto"/>
        <w:left w:val="none" w:sz="0" w:space="0" w:color="auto"/>
        <w:bottom w:val="none" w:sz="0" w:space="0" w:color="auto"/>
        <w:right w:val="none" w:sz="0" w:space="0" w:color="auto"/>
      </w:divBdr>
    </w:div>
    <w:div w:id="1173303352">
      <w:bodyDiv w:val="1"/>
      <w:marLeft w:val="0"/>
      <w:marRight w:val="0"/>
      <w:marTop w:val="0"/>
      <w:marBottom w:val="0"/>
      <w:divBdr>
        <w:top w:val="none" w:sz="0" w:space="0" w:color="auto"/>
        <w:left w:val="none" w:sz="0" w:space="0" w:color="auto"/>
        <w:bottom w:val="none" w:sz="0" w:space="0" w:color="auto"/>
        <w:right w:val="none" w:sz="0" w:space="0" w:color="auto"/>
      </w:divBdr>
      <w:divsChild>
        <w:div w:id="721517722">
          <w:marLeft w:val="0"/>
          <w:marRight w:val="0"/>
          <w:marTop w:val="0"/>
          <w:marBottom w:val="0"/>
          <w:divBdr>
            <w:top w:val="none" w:sz="0" w:space="0" w:color="auto"/>
            <w:left w:val="none" w:sz="0" w:space="0" w:color="auto"/>
            <w:bottom w:val="none" w:sz="0" w:space="0" w:color="auto"/>
            <w:right w:val="none" w:sz="0" w:space="0" w:color="auto"/>
          </w:divBdr>
          <w:divsChild>
            <w:div w:id="276720238">
              <w:marLeft w:val="0"/>
              <w:marRight w:val="0"/>
              <w:marTop w:val="0"/>
              <w:marBottom w:val="0"/>
              <w:divBdr>
                <w:top w:val="none" w:sz="0" w:space="0" w:color="auto"/>
                <w:left w:val="none" w:sz="0" w:space="0" w:color="auto"/>
                <w:bottom w:val="none" w:sz="0" w:space="0" w:color="auto"/>
                <w:right w:val="none" w:sz="0" w:space="0" w:color="auto"/>
              </w:divBdr>
              <w:divsChild>
                <w:div w:id="1082331751">
                  <w:marLeft w:val="0"/>
                  <w:marRight w:val="0"/>
                  <w:marTop w:val="0"/>
                  <w:marBottom w:val="0"/>
                  <w:divBdr>
                    <w:top w:val="none" w:sz="0" w:space="0" w:color="auto"/>
                    <w:left w:val="none" w:sz="0" w:space="0" w:color="auto"/>
                    <w:bottom w:val="none" w:sz="0" w:space="0" w:color="auto"/>
                    <w:right w:val="none" w:sz="0" w:space="0" w:color="auto"/>
                  </w:divBdr>
                  <w:divsChild>
                    <w:div w:id="610434709">
                      <w:marLeft w:val="0"/>
                      <w:marRight w:val="0"/>
                      <w:marTop w:val="0"/>
                      <w:marBottom w:val="0"/>
                      <w:divBdr>
                        <w:top w:val="none" w:sz="0" w:space="0" w:color="auto"/>
                        <w:left w:val="none" w:sz="0" w:space="0" w:color="auto"/>
                        <w:bottom w:val="none" w:sz="0" w:space="0" w:color="auto"/>
                        <w:right w:val="none" w:sz="0" w:space="0" w:color="auto"/>
                      </w:divBdr>
                      <w:divsChild>
                        <w:div w:id="475880956">
                          <w:marLeft w:val="0"/>
                          <w:marRight w:val="0"/>
                          <w:marTop w:val="0"/>
                          <w:marBottom w:val="0"/>
                          <w:divBdr>
                            <w:top w:val="none" w:sz="0" w:space="0" w:color="auto"/>
                            <w:left w:val="none" w:sz="0" w:space="0" w:color="auto"/>
                            <w:bottom w:val="none" w:sz="0" w:space="0" w:color="auto"/>
                            <w:right w:val="none" w:sz="0" w:space="0" w:color="auto"/>
                          </w:divBdr>
                          <w:divsChild>
                            <w:div w:id="17743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128282">
      <w:bodyDiv w:val="1"/>
      <w:marLeft w:val="0"/>
      <w:marRight w:val="0"/>
      <w:marTop w:val="0"/>
      <w:marBottom w:val="0"/>
      <w:divBdr>
        <w:top w:val="none" w:sz="0" w:space="0" w:color="auto"/>
        <w:left w:val="none" w:sz="0" w:space="0" w:color="auto"/>
        <w:bottom w:val="none" w:sz="0" w:space="0" w:color="auto"/>
        <w:right w:val="none" w:sz="0" w:space="0" w:color="auto"/>
      </w:divBdr>
      <w:divsChild>
        <w:div w:id="803809104">
          <w:marLeft w:val="0"/>
          <w:marRight w:val="0"/>
          <w:marTop w:val="0"/>
          <w:marBottom w:val="0"/>
          <w:divBdr>
            <w:top w:val="none" w:sz="0" w:space="0" w:color="auto"/>
            <w:left w:val="none" w:sz="0" w:space="0" w:color="auto"/>
            <w:bottom w:val="none" w:sz="0" w:space="0" w:color="auto"/>
            <w:right w:val="none" w:sz="0" w:space="0" w:color="auto"/>
          </w:divBdr>
        </w:div>
        <w:div w:id="1757480649">
          <w:marLeft w:val="0"/>
          <w:marRight w:val="0"/>
          <w:marTop w:val="0"/>
          <w:marBottom w:val="0"/>
          <w:divBdr>
            <w:top w:val="none" w:sz="0" w:space="0" w:color="auto"/>
            <w:left w:val="none" w:sz="0" w:space="0" w:color="auto"/>
            <w:bottom w:val="none" w:sz="0" w:space="0" w:color="auto"/>
            <w:right w:val="none" w:sz="0" w:space="0" w:color="auto"/>
          </w:divBdr>
          <w:divsChild>
            <w:div w:id="503473155">
              <w:marLeft w:val="0"/>
              <w:marRight w:val="0"/>
              <w:marTop w:val="0"/>
              <w:marBottom w:val="0"/>
              <w:divBdr>
                <w:top w:val="none" w:sz="0" w:space="0" w:color="auto"/>
                <w:left w:val="none" w:sz="0" w:space="0" w:color="auto"/>
                <w:bottom w:val="none" w:sz="0" w:space="0" w:color="auto"/>
                <w:right w:val="none" w:sz="0" w:space="0" w:color="auto"/>
              </w:divBdr>
              <w:divsChild>
                <w:div w:id="1434351742">
                  <w:marLeft w:val="0"/>
                  <w:marRight w:val="0"/>
                  <w:marTop w:val="0"/>
                  <w:marBottom w:val="0"/>
                  <w:divBdr>
                    <w:top w:val="none" w:sz="0" w:space="0" w:color="auto"/>
                    <w:left w:val="none" w:sz="0" w:space="0" w:color="auto"/>
                    <w:bottom w:val="none" w:sz="0" w:space="0" w:color="auto"/>
                    <w:right w:val="none" w:sz="0" w:space="0" w:color="auto"/>
                  </w:divBdr>
                  <w:divsChild>
                    <w:div w:id="1092967032">
                      <w:marLeft w:val="0"/>
                      <w:marRight w:val="0"/>
                      <w:marTop w:val="180"/>
                      <w:marBottom w:val="0"/>
                      <w:divBdr>
                        <w:top w:val="none" w:sz="0" w:space="0" w:color="auto"/>
                        <w:left w:val="none" w:sz="0" w:space="0" w:color="auto"/>
                        <w:bottom w:val="none" w:sz="0" w:space="0" w:color="auto"/>
                        <w:right w:val="none" w:sz="0" w:space="0" w:color="auto"/>
                      </w:divBdr>
                      <w:divsChild>
                        <w:div w:id="822821591">
                          <w:marLeft w:val="0"/>
                          <w:marRight w:val="0"/>
                          <w:marTop w:val="0"/>
                          <w:marBottom w:val="0"/>
                          <w:divBdr>
                            <w:top w:val="none" w:sz="0" w:space="0" w:color="auto"/>
                            <w:left w:val="none" w:sz="0" w:space="0" w:color="auto"/>
                            <w:bottom w:val="none" w:sz="0" w:space="0" w:color="auto"/>
                            <w:right w:val="none" w:sz="0" w:space="0" w:color="auto"/>
                          </w:divBdr>
                        </w:div>
                        <w:div w:id="157882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466705">
      <w:bodyDiv w:val="1"/>
      <w:marLeft w:val="0"/>
      <w:marRight w:val="0"/>
      <w:marTop w:val="0"/>
      <w:marBottom w:val="0"/>
      <w:divBdr>
        <w:top w:val="none" w:sz="0" w:space="0" w:color="auto"/>
        <w:left w:val="none" w:sz="0" w:space="0" w:color="auto"/>
        <w:bottom w:val="none" w:sz="0" w:space="0" w:color="auto"/>
        <w:right w:val="none" w:sz="0" w:space="0" w:color="auto"/>
      </w:divBdr>
    </w:div>
    <w:div w:id="1204102576">
      <w:bodyDiv w:val="1"/>
      <w:marLeft w:val="0"/>
      <w:marRight w:val="0"/>
      <w:marTop w:val="0"/>
      <w:marBottom w:val="0"/>
      <w:divBdr>
        <w:top w:val="none" w:sz="0" w:space="0" w:color="auto"/>
        <w:left w:val="none" w:sz="0" w:space="0" w:color="auto"/>
        <w:bottom w:val="none" w:sz="0" w:space="0" w:color="auto"/>
        <w:right w:val="none" w:sz="0" w:space="0" w:color="auto"/>
      </w:divBdr>
    </w:div>
    <w:div w:id="1240167970">
      <w:bodyDiv w:val="1"/>
      <w:marLeft w:val="0"/>
      <w:marRight w:val="0"/>
      <w:marTop w:val="0"/>
      <w:marBottom w:val="0"/>
      <w:divBdr>
        <w:top w:val="none" w:sz="0" w:space="0" w:color="auto"/>
        <w:left w:val="none" w:sz="0" w:space="0" w:color="auto"/>
        <w:bottom w:val="none" w:sz="0" w:space="0" w:color="auto"/>
        <w:right w:val="none" w:sz="0" w:space="0" w:color="auto"/>
      </w:divBdr>
    </w:div>
    <w:div w:id="1250500980">
      <w:bodyDiv w:val="1"/>
      <w:marLeft w:val="0"/>
      <w:marRight w:val="0"/>
      <w:marTop w:val="0"/>
      <w:marBottom w:val="0"/>
      <w:divBdr>
        <w:top w:val="none" w:sz="0" w:space="0" w:color="auto"/>
        <w:left w:val="none" w:sz="0" w:space="0" w:color="auto"/>
        <w:bottom w:val="none" w:sz="0" w:space="0" w:color="auto"/>
        <w:right w:val="none" w:sz="0" w:space="0" w:color="auto"/>
      </w:divBdr>
      <w:divsChild>
        <w:div w:id="1477918442">
          <w:marLeft w:val="0"/>
          <w:marRight w:val="0"/>
          <w:marTop w:val="0"/>
          <w:marBottom w:val="0"/>
          <w:divBdr>
            <w:top w:val="none" w:sz="0" w:space="0" w:color="auto"/>
            <w:left w:val="none" w:sz="0" w:space="0" w:color="auto"/>
            <w:bottom w:val="none" w:sz="0" w:space="0" w:color="auto"/>
            <w:right w:val="none" w:sz="0" w:space="0" w:color="auto"/>
          </w:divBdr>
          <w:divsChild>
            <w:div w:id="369577014">
              <w:marLeft w:val="0"/>
              <w:marRight w:val="0"/>
              <w:marTop w:val="0"/>
              <w:marBottom w:val="0"/>
              <w:divBdr>
                <w:top w:val="none" w:sz="0" w:space="0" w:color="auto"/>
                <w:left w:val="none" w:sz="0" w:space="0" w:color="auto"/>
                <w:bottom w:val="none" w:sz="0" w:space="0" w:color="auto"/>
                <w:right w:val="none" w:sz="0" w:space="0" w:color="auto"/>
              </w:divBdr>
              <w:divsChild>
                <w:div w:id="59015127">
                  <w:marLeft w:val="0"/>
                  <w:marRight w:val="0"/>
                  <w:marTop w:val="0"/>
                  <w:marBottom w:val="0"/>
                  <w:divBdr>
                    <w:top w:val="none" w:sz="0" w:space="0" w:color="auto"/>
                    <w:left w:val="none" w:sz="0" w:space="0" w:color="auto"/>
                    <w:bottom w:val="none" w:sz="0" w:space="0" w:color="auto"/>
                    <w:right w:val="none" w:sz="0" w:space="0" w:color="auto"/>
                  </w:divBdr>
                  <w:divsChild>
                    <w:div w:id="32132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731389">
          <w:marLeft w:val="0"/>
          <w:marRight w:val="0"/>
          <w:marTop w:val="0"/>
          <w:marBottom w:val="0"/>
          <w:divBdr>
            <w:top w:val="none" w:sz="0" w:space="0" w:color="auto"/>
            <w:left w:val="none" w:sz="0" w:space="0" w:color="auto"/>
            <w:bottom w:val="none" w:sz="0" w:space="0" w:color="auto"/>
            <w:right w:val="none" w:sz="0" w:space="0" w:color="auto"/>
          </w:divBdr>
          <w:divsChild>
            <w:div w:id="1539581300">
              <w:marLeft w:val="0"/>
              <w:marRight w:val="0"/>
              <w:marTop w:val="0"/>
              <w:marBottom w:val="0"/>
              <w:divBdr>
                <w:top w:val="none" w:sz="0" w:space="0" w:color="auto"/>
                <w:left w:val="none" w:sz="0" w:space="0" w:color="auto"/>
                <w:bottom w:val="none" w:sz="0" w:space="0" w:color="auto"/>
                <w:right w:val="none" w:sz="0" w:space="0" w:color="auto"/>
              </w:divBdr>
              <w:divsChild>
                <w:div w:id="1750495959">
                  <w:marLeft w:val="0"/>
                  <w:marRight w:val="0"/>
                  <w:marTop w:val="0"/>
                  <w:marBottom w:val="0"/>
                  <w:divBdr>
                    <w:top w:val="none" w:sz="0" w:space="0" w:color="auto"/>
                    <w:left w:val="none" w:sz="0" w:space="0" w:color="auto"/>
                    <w:bottom w:val="none" w:sz="0" w:space="0" w:color="auto"/>
                    <w:right w:val="none" w:sz="0" w:space="0" w:color="auto"/>
                  </w:divBdr>
                  <w:divsChild>
                    <w:div w:id="87191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14533">
      <w:bodyDiv w:val="1"/>
      <w:marLeft w:val="0"/>
      <w:marRight w:val="0"/>
      <w:marTop w:val="0"/>
      <w:marBottom w:val="0"/>
      <w:divBdr>
        <w:top w:val="none" w:sz="0" w:space="0" w:color="auto"/>
        <w:left w:val="none" w:sz="0" w:space="0" w:color="auto"/>
        <w:bottom w:val="none" w:sz="0" w:space="0" w:color="auto"/>
        <w:right w:val="none" w:sz="0" w:space="0" w:color="auto"/>
      </w:divBdr>
    </w:div>
    <w:div w:id="1317683754">
      <w:bodyDiv w:val="1"/>
      <w:marLeft w:val="0"/>
      <w:marRight w:val="0"/>
      <w:marTop w:val="0"/>
      <w:marBottom w:val="0"/>
      <w:divBdr>
        <w:top w:val="none" w:sz="0" w:space="0" w:color="auto"/>
        <w:left w:val="none" w:sz="0" w:space="0" w:color="auto"/>
        <w:bottom w:val="none" w:sz="0" w:space="0" w:color="auto"/>
        <w:right w:val="none" w:sz="0" w:space="0" w:color="auto"/>
      </w:divBdr>
    </w:div>
    <w:div w:id="1346663505">
      <w:bodyDiv w:val="1"/>
      <w:marLeft w:val="0"/>
      <w:marRight w:val="0"/>
      <w:marTop w:val="0"/>
      <w:marBottom w:val="0"/>
      <w:divBdr>
        <w:top w:val="none" w:sz="0" w:space="0" w:color="auto"/>
        <w:left w:val="none" w:sz="0" w:space="0" w:color="auto"/>
        <w:bottom w:val="none" w:sz="0" w:space="0" w:color="auto"/>
        <w:right w:val="none" w:sz="0" w:space="0" w:color="auto"/>
      </w:divBdr>
    </w:div>
    <w:div w:id="1396319991">
      <w:bodyDiv w:val="1"/>
      <w:marLeft w:val="0"/>
      <w:marRight w:val="0"/>
      <w:marTop w:val="0"/>
      <w:marBottom w:val="0"/>
      <w:divBdr>
        <w:top w:val="none" w:sz="0" w:space="0" w:color="auto"/>
        <w:left w:val="none" w:sz="0" w:space="0" w:color="auto"/>
        <w:bottom w:val="none" w:sz="0" w:space="0" w:color="auto"/>
        <w:right w:val="none" w:sz="0" w:space="0" w:color="auto"/>
      </w:divBdr>
    </w:div>
    <w:div w:id="1399206046">
      <w:bodyDiv w:val="1"/>
      <w:marLeft w:val="0"/>
      <w:marRight w:val="0"/>
      <w:marTop w:val="0"/>
      <w:marBottom w:val="0"/>
      <w:divBdr>
        <w:top w:val="none" w:sz="0" w:space="0" w:color="auto"/>
        <w:left w:val="none" w:sz="0" w:space="0" w:color="auto"/>
        <w:bottom w:val="none" w:sz="0" w:space="0" w:color="auto"/>
        <w:right w:val="none" w:sz="0" w:space="0" w:color="auto"/>
      </w:divBdr>
    </w:div>
    <w:div w:id="1417167052">
      <w:bodyDiv w:val="1"/>
      <w:marLeft w:val="0"/>
      <w:marRight w:val="0"/>
      <w:marTop w:val="0"/>
      <w:marBottom w:val="0"/>
      <w:divBdr>
        <w:top w:val="none" w:sz="0" w:space="0" w:color="auto"/>
        <w:left w:val="none" w:sz="0" w:space="0" w:color="auto"/>
        <w:bottom w:val="none" w:sz="0" w:space="0" w:color="auto"/>
        <w:right w:val="none" w:sz="0" w:space="0" w:color="auto"/>
      </w:divBdr>
      <w:divsChild>
        <w:div w:id="492183533">
          <w:marLeft w:val="0"/>
          <w:marRight w:val="0"/>
          <w:marTop w:val="0"/>
          <w:marBottom w:val="0"/>
          <w:divBdr>
            <w:top w:val="none" w:sz="0" w:space="0" w:color="auto"/>
            <w:left w:val="none" w:sz="0" w:space="0" w:color="auto"/>
            <w:bottom w:val="none" w:sz="0" w:space="0" w:color="auto"/>
            <w:right w:val="none" w:sz="0" w:space="0" w:color="auto"/>
          </w:divBdr>
        </w:div>
        <w:div w:id="1787305835">
          <w:marLeft w:val="0"/>
          <w:marRight w:val="0"/>
          <w:marTop w:val="0"/>
          <w:marBottom w:val="0"/>
          <w:divBdr>
            <w:top w:val="none" w:sz="0" w:space="0" w:color="auto"/>
            <w:left w:val="none" w:sz="0" w:space="0" w:color="auto"/>
            <w:bottom w:val="none" w:sz="0" w:space="0" w:color="auto"/>
            <w:right w:val="none" w:sz="0" w:space="0" w:color="auto"/>
          </w:divBdr>
        </w:div>
      </w:divsChild>
    </w:div>
    <w:div w:id="1419595016">
      <w:bodyDiv w:val="1"/>
      <w:marLeft w:val="0"/>
      <w:marRight w:val="0"/>
      <w:marTop w:val="0"/>
      <w:marBottom w:val="0"/>
      <w:divBdr>
        <w:top w:val="none" w:sz="0" w:space="0" w:color="auto"/>
        <w:left w:val="none" w:sz="0" w:space="0" w:color="auto"/>
        <w:bottom w:val="none" w:sz="0" w:space="0" w:color="auto"/>
        <w:right w:val="none" w:sz="0" w:space="0" w:color="auto"/>
      </w:divBdr>
      <w:divsChild>
        <w:div w:id="46997265">
          <w:marLeft w:val="0"/>
          <w:marRight w:val="0"/>
          <w:marTop w:val="0"/>
          <w:marBottom w:val="0"/>
          <w:divBdr>
            <w:top w:val="none" w:sz="0" w:space="0" w:color="auto"/>
            <w:left w:val="none" w:sz="0" w:space="0" w:color="auto"/>
            <w:bottom w:val="none" w:sz="0" w:space="0" w:color="auto"/>
            <w:right w:val="none" w:sz="0" w:space="0" w:color="auto"/>
          </w:divBdr>
          <w:divsChild>
            <w:div w:id="356465795">
              <w:marLeft w:val="0"/>
              <w:marRight w:val="0"/>
              <w:marTop w:val="0"/>
              <w:marBottom w:val="0"/>
              <w:divBdr>
                <w:top w:val="none" w:sz="0" w:space="0" w:color="auto"/>
                <w:left w:val="none" w:sz="0" w:space="0" w:color="auto"/>
                <w:bottom w:val="none" w:sz="0" w:space="0" w:color="auto"/>
                <w:right w:val="none" w:sz="0" w:space="0" w:color="auto"/>
              </w:divBdr>
              <w:divsChild>
                <w:div w:id="363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1518">
      <w:bodyDiv w:val="1"/>
      <w:marLeft w:val="0"/>
      <w:marRight w:val="0"/>
      <w:marTop w:val="0"/>
      <w:marBottom w:val="0"/>
      <w:divBdr>
        <w:top w:val="none" w:sz="0" w:space="0" w:color="auto"/>
        <w:left w:val="none" w:sz="0" w:space="0" w:color="auto"/>
        <w:bottom w:val="none" w:sz="0" w:space="0" w:color="auto"/>
        <w:right w:val="none" w:sz="0" w:space="0" w:color="auto"/>
      </w:divBdr>
    </w:div>
    <w:div w:id="1611278931">
      <w:bodyDiv w:val="1"/>
      <w:marLeft w:val="0"/>
      <w:marRight w:val="0"/>
      <w:marTop w:val="0"/>
      <w:marBottom w:val="0"/>
      <w:divBdr>
        <w:top w:val="none" w:sz="0" w:space="0" w:color="auto"/>
        <w:left w:val="none" w:sz="0" w:space="0" w:color="auto"/>
        <w:bottom w:val="none" w:sz="0" w:space="0" w:color="auto"/>
        <w:right w:val="none" w:sz="0" w:space="0" w:color="auto"/>
      </w:divBdr>
    </w:div>
    <w:div w:id="1615945278">
      <w:bodyDiv w:val="1"/>
      <w:marLeft w:val="0"/>
      <w:marRight w:val="0"/>
      <w:marTop w:val="0"/>
      <w:marBottom w:val="0"/>
      <w:divBdr>
        <w:top w:val="none" w:sz="0" w:space="0" w:color="auto"/>
        <w:left w:val="none" w:sz="0" w:space="0" w:color="auto"/>
        <w:bottom w:val="none" w:sz="0" w:space="0" w:color="auto"/>
        <w:right w:val="none" w:sz="0" w:space="0" w:color="auto"/>
      </w:divBdr>
    </w:div>
    <w:div w:id="1673877625">
      <w:bodyDiv w:val="1"/>
      <w:marLeft w:val="0"/>
      <w:marRight w:val="0"/>
      <w:marTop w:val="0"/>
      <w:marBottom w:val="0"/>
      <w:divBdr>
        <w:top w:val="none" w:sz="0" w:space="0" w:color="auto"/>
        <w:left w:val="none" w:sz="0" w:space="0" w:color="auto"/>
        <w:bottom w:val="none" w:sz="0" w:space="0" w:color="auto"/>
        <w:right w:val="none" w:sz="0" w:space="0" w:color="auto"/>
      </w:divBdr>
    </w:div>
    <w:div w:id="1686521411">
      <w:bodyDiv w:val="1"/>
      <w:marLeft w:val="0"/>
      <w:marRight w:val="0"/>
      <w:marTop w:val="0"/>
      <w:marBottom w:val="0"/>
      <w:divBdr>
        <w:top w:val="none" w:sz="0" w:space="0" w:color="auto"/>
        <w:left w:val="none" w:sz="0" w:space="0" w:color="auto"/>
        <w:bottom w:val="none" w:sz="0" w:space="0" w:color="auto"/>
        <w:right w:val="none" w:sz="0" w:space="0" w:color="auto"/>
      </w:divBdr>
    </w:div>
    <w:div w:id="1706250592">
      <w:bodyDiv w:val="1"/>
      <w:marLeft w:val="0"/>
      <w:marRight w:val="0"/>
      <w:marTop w:val="0"/>
      <w:marBottom w:val="0"/>
      <w:divBdr>
        <w:top w:val="none" w:sz="0" w:space="0" w:color="auto"/>
        <w:left w:val="none" w:sz="0" w:space="0" w:color="auto"/>
        <w:bottom w:val="none" w:sz="0" w:space="0" w:color="auto"/>
        <w:right w:val="none" w:sz="0" w:space="0" w:color="auto"/>
      </w:divBdr>
    </w:div>
    <w:div w:id="1749307002">
      <w:bodyDiv w:val="1"/>
      <w:marLeft w:val="0"/>
      <w:marRight w:val="0"/>
      <w:marTop w:val="0"/>
      <w:marBottom w:val="0"/>
      <w:divBdr>
        <w:top w:val="none" w:sz="0" w:space="0" w:color="auto"/>
        <w:left w:val="none" w:sz="0" w:space="0" w:color="auto"/>
        <w:bottom w:val="none" w:sz="0" w:space="0" w:color="auto"/>
        <w:right w:val="none" w:sz="0" w:space="0" w:color="auto"/>
      </w:divBdr>
    </w:div>
    <w:div w:id="1778599122">
      <w:bodyDiv w:val="1"/>
      <w:marLeft w:val="0"/>
      <w:marRight w:val="0"/>
      <w:marTop w:val="0"/>
      <w:marBottom w:val="0"/>
      <w:divBdr>
        <w:top w:val="none" w:sz="0" w:space="0" w:color="auto"/>
        <w:left w:val="none" w:sz="0" w:space="0" w:color="auto"/>
        <w:bottom w:val="none" w:sz="0" w:space="0" w:color="auto"/>
        <w:right w:val="none" w:sz="0" w:space="0" w:color="auto"/>
      </w:divBdr>
    </w:div>
    <w:div w:id="1843429315">
      <w:bodyDiv w:val="1"/>
      <w:marLeft w:val="0"/>
      <w:marRight w:val="0"/>
      <w:marTop w:val="0"/>
      <w:marBottom w:val="0"/>
      <w:divBdr>
        <w:top w:val="none" w:sz="0" w:space="0" w:color="auto"/>
        <w:left w:val="none" w:sz="0" w:space="0" w:color="auto"/>
        <w:bottom w:val="none" w:sz="0" w:space="0" w:color="auto"/>
        <w:right w:val="none" w:sz="0" w:space="0" w:color="auto"/>
      </w:divBdr>
    </w:div>
    <w:div w:id="1921865384">
      <w:bodyDiv w:val="1"/>
      <w:marLeft w:val="0"/>
      <w:marRight w:val="0"/>
      <w:marTop w:val="0"/>
      <w:marBottom w:val="0"/>
      <w:divBdr>
        <w:top w:val="none" w:sz="0" w:space="0" w:color="auto"/>
        <w:left w:val="none" w:sz="0" w:space="0" w:color="auto"/>
        <w:bottom w:val="none" w:sz="0" w:space="0" w:color="auto"/>
        <w:right w:val="none" w:sz="0" w:space="0" w:color="auto"/>
      </w:divBdr>
    </w:div>
    <w:div w:id="1925920575">
      <w:bodyDiv w:val="1"/>
      <w:marLeft w:val="0"/>
      <w:marRight w:val="0"/>
      <w:marTop w:val="0"/>
      <w:marBottom w:val="0"/>
      <w:divBdr>
        <w:top w:val="none" w:sz="0" w:space="0" w:color="auto"/>
        <w:left w:val="none" w:sz="0" w:space="0" w:color="auto"/>
        <w:bottom w:val="none" w:sz="0" w:space="0" w:color="auto"/>
        <w:right w:val="none" w:sz="0" w:space="0" w:color="auto"/>
      </w:divBdr>
      <w:divsChild>
        <w:div w:id="442112168">
          <w:marLeft w:val="0"/>
          <w:marRight w:val="0"/>
          <w:marTop w:val="0"/>
          <w:marBottom w:val="0"/>
          <w:divBdr>
            <w:top w:val="none" w:sz="0" w:space="0" w:color="auto"/>
            <w:left w:val="none" w:sz="0" w:space="0" w:color="auto"/>
            <w:bottom w:val="none" w:sz="0" w:space="0" w:color="auto"/>
            <w:right w:val="none" w:sz="0" w:space="0" w:color="auto"/>
          </w:divBdr>
          <w:divsChild>
            <w:div w:id="1561936921">
              <w:marLeft w:val="0"/>
              <w:marRight w:val="0"/>
              <w:marTop w:val="0"/>
              <w:marBottom w:val="0"/>
              <w:divBdr>
                <w:top w:val="none" w:sz="0" w:space="0" w:color="auto"/>
                <w:left w:val="none" w:sz="0" w:space="0" w:color="auto"/>
                <w:bottom w:val="none" w:sz="0" w:space="0" w:color="auto"/>
                <w:right w:val="none" w:sz="0" w:space="0" w:color="auto"/>
              </w:divBdr>
              <w:divsChild>
                <w:div w:id="649096432">
                  <w:marLeft w:val="0"/>
                  <w:marRight w:val="0"/>
                  <w:marTop w:val="0"/>
                  <w:marBottom w:val="0"/>
                  <w:divBdr>
                    <w:top w:val="none" w:sz="0" w:space="0" w:color="auto"/>
                    <w:left w:val="none" w:sz="0" w:space="0" w:color="auto"/>
                    <w:bottom w:val="none" w:sz="0" w:space="0" w:color="auto"/>
                    <w:right w:val="none" w:sz="0" w:space="0" w:color="auto"/>
                  </w:divBdr>
                  <w:divsChild>
                    <w:div w:id="909582186">
                      <w:marLeft w:val="0"/>
                      <w:marRight w:val="0"/>
                      <w:marTop w:val="0"/>
                      <w:marBottom w:val="0"/>
                      <w:divBdr>
                        <w:top w:val="none" w:sz="0" w:space="0" w:color="auto"/>
                        <w:left w:val="none" w:sz="0" w:space="0" w:color="auto"/>
                        <w:bottom w:val="none" w:sz="0" w:space="0" w:color="auto"/>
                        <w:right w:val="none" w:sz="0" w:space="0" w:color="auto"/>
                      </w:divBdr>
                      <w:divsChild>
                        <w:div w:id="444037123">
                          <w:marLeft w:val="0"/>
                          <w:marRight w:val="0"/>
                          <w:marTop w:val="0"/>
                          <w:marBottom w:val="0"/>
                          <w:divBdr>
                            <w:top w:val="none" w:sz="0" w:space="0" w:color="auto"/>
                            <w:left w:val="none" w:sz="0" w:space="0" w:color="auto"/>
                            <w:bottom w:val="none" w:sz="0" w:space="0" w:color="auto"/>
                            <w:right w:val="none" w:sz="0" w:space="0" w:color="auto"/>
                          </w:divBdr>
                          <w:divsChild>
                            <w:div w:id="11083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74898">
      <w:bodyDiv w:val="1"/>
      <w:marLeft w:val="0"/>
      <w:marRight w:val="0"/>
      <w:marTop w:val="0"/>
      <w:marBottom w:val="0"/>
      <w:divBdr>
        <w:top w:val="none" w:sz="0" w:space="0" w:color="auto"/>
        <w:left w:val="none" w:sz="0" w:space="0" w:color="auto"/>
        <w:bottom w:val="none" w:sz="0" w:space="0" w:color="auto"/>
        <w:right w:val="none" w:sz="0" w:space="0" w:color="auto"/>
      </w:divBdr>
    </w:div>
    <w:div w:id="1975214242">
      <w:bodyDiv w:val="1"/>
      <w:marLeft w:val="0"/>
      <w:marRight w:val="0"/>
      <w:marTop w:val="0"/>
      <w:marBottom w:val="0"/>
      <w:divBdr>
        <w:top w:val="none" w:sz="0" w:space="0" w:color="auto"/>
        <w:left w:val="none" w:sz="0" w:space="0" w:color="auto"/>
        <w:bottom w:val="none" w:sz="0" w:space="0" w:color="auto"/>
        <w:right w:val="none" w:sz="0" w:space="0" w:color="auto"/>
      </w:divBdr>
    </w:div>
    <w:div w:id="1991791235">
      <w:bodyDiv w:val="1"/>
      <w:marLeft w:val="0"/>
      <w:marRight w:val="0"/>
      <w:marTop w:val="0"/>
      <w:marBottom w:val="0"/>
      <w:divBdr>
        <w:top w:val="none" w:sz="0" w:space="0" w:color="auto"/>
        <w:left w:val="none" w:sz="0" w:space="0" w:color="auto"/>
        <w:bottom w:val="none" w:sz="0" w:space="0" w:color="auto"/>
        <w:right w:val="none" w:sz="0" w:space="0" w:color="auto"/>
      </w:divBdr>
      <w:divsChild>
        <w:div w:id="2093314196">
          <w:marLeft w:val="0"/>
          <w:marRight w:val="0"/>
          <w:marTop w:val="0"/>
          <w:marBottom w:val="0"/>
          <w:divBdr>
            <w:top w:val="none" w:sz="0" w:space="0" w:color="auto"/>
            <w:left w:val="none" w:sz="0" w:space="0" w:color="auto"/>
            <w:bottom w:val="none" w:sz="0" w:space="0" w:color="auto"/>
            <w:right w:val="none" w:sz="0" w:space="0" w:color="auto"/>
          </w:divBdr>
          <w:divsChild>
            <w:div w:id="1705249983">
              <w:marLeft w:val="0"/>
              <w:marRight w:val="0"/>
              <w:marTop w:val="0"/>
              <w:marBottom w:val="0"/>
              <w:divBdr>
                <w:top w:val="none" w:sz="0" w:space="0" w:color="auto"/>
                <w:left w:val="none" w:sz="0" w:space="0" w:color="auto"/>
                <w:bottom w:val="none" w:sz="0" w:space="0" w:color="auto"/>
                <w:right w:val="none" w:sz="0" w:space="0" w:color="auto"/>
              </w:divBdr>
              <w:divsChild>
                <w:div w:id="144461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nam04.safelinks.protection.outlook.com/?url=https%3A%2F%2Ftspace.library.utoronto.ca%2Fhandle%2F1807%2F9944&amp;data=05%7C02%7CConstanzaHC%40mail.scjn.gob.mx%7C7842b420e37944f097f508dd30d26ad3%7C0c06ec01e5aa4e548811bb99870b0c77%7C0%7C0%7C638720402488265135%7CUnknown%7CTWFpbGZsb3d8eyJFbXB0eU1hcGkiOnRydWUsIlYiOiIwLjAuMDAwMCIsIlAiOiJXaW4zMiIsIkFOIjoiTWFpbCIsIldUIjoyfQ%3D%3D%7C0%7C%7C%7C&amp;sdata=Y7DXTIgMrG4aSsT94yJ%2Fuu%2BunaXZn1%2BqqUz6AxVVYOY%3D&amp;reserved=0" TargetMode="External"/><Relationship Id="rId7" Type="http://schemas.openxmlformats.org/officeDocument/2006/relationships/hyperlink" Target="https://es-us.noticias.yahoo.com/reforma-222-y-el-orgullo-gay-que-solo-se-permite-se-se-paga-alquiler-021206126.html?guccounter=1&amp;guce_referrer=aHR0cHM6Ly93d3cuZ29vZ2xlLmNvbS8&amp;guce_referrer_sig=AQAAAMvV4oZ-u6Di8MatckWP_BVJVFlXHUDwiUS36c17dNSX0lzjhexmZsued3sya0WB8LVy1gIWvUjV8_nHOoeGKWSsH8YH1iGmr_2jvLULFcnfOnyxsR89RM_Ax4Nyp6wl4uOMByVJxQo-AM-_4-XfM-4kDdMpVmLzaJipI-x8TS8D" TargetMode="External"/><Relationship Id="rId2" Type="http://schemas.openxmlformats.org/officeDocument/2006/relationships/hyperlink" Target="https://copred.cdmx.gob.mx/storage/app/media/EDIS-2021-26Nov21.pdf" TargetMode="External"/><Relationship Id="rId1" Type="http://schemas.openxmlformats.org/officeDocument/2006/relationships/hyperlink" Target="https://copred.cdmx.gob.mx/storage/app/uploads/public/58f/920/529/58f9205295d1c227162062.pdf" TargetMode="External"/><Relationship Id="rId6" Type="http://schemas.openxmlformats.org/officeDocument/2006/relationships/hyperlink" Target="https://www.elfinanciero.com.mx/cdmx/2022/04/16/mujer-trans-denuncia-discriminacion-en-banos-de-cinemex-reforma-222/" TargetMode="External"/><Relationship Id="rId5" Type="http://schemas.openxmlformats.org/officeDocument/2006/relationships/hyperlink" Target="https://www.reforma.com/acusan-discriminacion-en-plaza-reforma-222/ar2422815" TargetMode="External"/><Relationship Id="rId4" Type="http://schemas.openxmlformats.org/officeDocument/2006/relationships/hyperlink" Target="https://nam04.safelinks.protection.outlook.com/?url=https%3A%2F%2Ftspace.library.utoronto.ca%2Fhandle%2F1807%2F9944&amp;data=05%7C02%7CConstanzaHC%40mail.scjn.gob.mx%7C7842b420e37944f097f508dd30d26ad3%7C0c06ec01e5aa4e548811bb99870b0c77%7C0%7C0%7C638720402488265135%7CUnknown%7CTWFpbGZsb3d8eyJFbXB0eU1hcGkiOnRydWUsIlYiOiIwLjAuMDAwMCIsIlAiOiJXaW4zMiIsIkFOIjoiTWFpbCIsIldUIjoyfQ%3D%3D%7C0%7C%7C%7C&amp;sdata=Y7DXTIgMrG4aSsT94yJ%2Fuu%2BunaXZn1%2BqqUz6AxVVYOY%3D&amp;reserved=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3BF8F-3158-4021-BB44-2A54AF5A4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98</Pages>
  <Words>29307</Words>
  <Characters>161189</Characters>
  <Application>Microsoft Office Word</Application>
  <DocSecurity>0</DocSecurity>
  <Lines>1343</Lines>
  <Paragraphs>380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190116</CharactersWithSpaces>
  <SharedDoc>false</SharedDoc>
  <HLinks>
    <vt:vector size="42" baseType="variant">
      <vt:variant>
        <vt:i4>589848</vt:i4>
      </vt:variant>
      <vt:variant>
        <vt:i4>18</vt:i4>
      </vt:variant>
      <vt:variant>
        <vt:i4>0</vt:i4>
      </vt:variant>
      <vt:variant>
        <vt:i4>5</vt:i4>
      </vt:variant>
      <vt:variant>
        <vt:lpwstr>https://es-us.noticias.yahoo.com/reforma-222-y-el-orgullo-gay-que-solo-se-permite-se-se-paga-alquiler-021206126.html?guccounter=1&amp;guce_referrer=aHR0cHM6Ly93d3cuZ29vZ2xlLmNvbS8&amp;guce_referrer_sig=AQAAAMvV4oZ-u6Di8MatckWP_BVJVFlXHUDwiUS36c17dNSX0lzjhexmZsued3sya0WB8LVy1gIWvUjV8_nHOoeGKWSsH8YH1iGmr_2jvLULFcnfOnyxsR89RM_Ax4Nyp6wl4uOMByVJxQo-AM-_4-XfM-4kDdMpVmLzaJipI-x8TS8D</vt:lpwstr>
      </vt:variant>
      <vt:variant>
        <vt:lpwstr/>
      </vt:variant>
      <vt:variant>
        <vt:i4>131083</vt:i4>
      </vt:variant>
      <vt:variant>
        <vt:i4>15</vt:i4>
      </vt:variant>
      <vt:variant>
        <vt:i4>0</vt:i4>
      </vt:variant>
      <vt:variant>
        <vt:i4>5</vt:i4>
      </vt:variant>
      <vt:variant>
        <vt:lpwstr>https://www.elfinanciero.com.mx/cdmx/2022/04/16/mujer-trans-denuncia-discriminacion-en-banos-de-cinemex-reforma-222/</vt:lpwstr>
      </vt:variant>
      <vt:variant>
        <vt:lpwstr/>
      </vt:variant>
      <vt:variant>
        <vt:i4>851996</vt:i4>
      </vt:variant>
      <vt:variant>
        <vt:i4>12</vt:i4>
      </vt:variant>
      <vt:variant>
        <vt:i4>0</vt:i4>
      </vt:variant>
      <vt:variant>
        <vt:i4>5</vt:i4>
      </vt:variant>
      <vt:variant>
        <vt:lpwstr>https://www.reforma.com/acusan-discriminacion-en-plaza-reforma-222/ar2422815</vt:lpwstr>
      </vt:variant>
      <vt:variant>
        <vt:lpwstr/>
      </vt:variant>
      <vt:variant>
        <vt:i4>7798828</vt:i4>
      </vt:variant>
      <vt:variant>
        <vt:i4>9</vt:i4>
      </vt:variant>
      <vt:variant>
        <vt:i4>0</vt:i4>
      </vt:variant>
      <vt:variant>
        <vt:i4>5</vt:i4>
      </vt:variant>
      <vt:variant>
        <vt:lpwstr>https://nam04.safelinks.protection.outlook.com/?url=https%3A%2F%2Ftspace.library.utoronto.ca%2Fhandle%2F1807%2F9944&amp;data=05%7C02%7CConstanzaHC%40mail.scjn.gob.mx%7C7842b420e37944f097f508dd30d26ad3%7C0c06ec01e5aa4e548811bb99870b0c77%7C0%7C0%7C638720402488265135%7CUnknown%7CTWFpbGZsb3d8eyJFbXB0eU1hcGkiOnRydWUsIlYiOiIwLjAuMDAwMCIsIlAiOiJXaW4zMiIsIkFOIjoiTWFpbCIsIldUIjoyfQ%3D%3D%7C0%7C%7C%7C&amp;sdata=Y7DXTIgMrG4aSsT94yJ%2Fuu%2BunaXZn1%2BqqUz6AxVVYOY%3D&amp;reserved=0</vt:lpwstr>
      </vt:variant>
      <vt:variant>
        <vt:lpwstr/>
      </vt:variant>
      <vt:variant>
        <vt:i4>7798828</vt:i4>
      </vt:variant>
      <vt:variant>
        <vt:i4>6</vt:i4>
      </vt:variant>
      <vt:variant>
        <vt:i4>0</vt:i4>
      </vt:variant>
      <vt:variant>
        <vt:i4>5</vt:i4>
      </vt:variant>
      <vt:variant>
        <vt:lpwstr>https://nam04.safelinks.protection.outlook.com/?url=https%3A%2F%2Ftspace.library.utoronto.ca%2Fhandle%2F1807%2F9944&amp;data=05%7C02%7CConstanzaHC%40mail.scjn.gob.mx%7C7842b420e37944f097f508dd30d26ad3%7C0c06ec01e5aa4e548811bb99870b0c77%7C0%7C0%7C638720402488265135%7CUnknown%7CTWFpbGZsb3d8eyJFbXB0eU1hcGkiOnRydWUsIlYiOiIwLjAuMDAwMCIsIlAiOiJXaW4zMiIsIkFOIjoiTWFpbCIsIldUIjoyfQ%3D%3D%7C0%7C%7C%7C&amp;sdata=Y7DXTIgMrG4aSsT94yJ%2Fuu%2BunaXZn1%2BqqUz6AxVVYOY%3D&amp;reserved=0</vt:lpwstr>
      </vt:variant>
      <vt:variant>
        <vt:lpwstr/>
      </vt:variant>
      <vt:variant>
        <vt:i4>3997802</vt:i4>
      </vt:variant>
      <vt:variant>
        <vt:i4>3</vt:i4>
      </vt:variant>
      <vt:variant>
        <vt:i4>0</vt:i4>
      </vt:variant>
      <vt:variant>
        <vt:i4>5</vt:i4>
      </vt:variant>
      <vt:variant>
        <vt:lpwstr>https://copred.cdmx.gob.mx/storage/app/media/EDIS-2021-26Nov21.pdf</vt:lpwstr>
      </vt:variant>
      <vt:variant>
        <vt:lpwstr/>
      </vt:variant>
      <vt:variant>
        <vt:i4>1048589</vt:i4>
      </vt:variant>
      <vt:variant>
        <vt:i4>0</vt:i4>
      </vt:variant>
      <vt:variant>
        <vt:i4>0</vt:i4>
      </vt:variant>
      <vt:variant>
        <vt:i4>5</vt:i4>
      </vt:variant>
      <vt:variant>
        <vt:lpwstr>https://copred.cdmx.gob.mx/storage/app/uploads/public/58f/920/529/58f9205295d1c227162062.pdf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Jaime Gonzalez Varas</dc:creator>
  <cp:keywords/>
  <dc:description/>
  <cp:lastModifiedBy>OVDULIA GARCIA PINEDA</cp:lastModifiedBy>
  <cp:revision>71</cp:revision>
  <cp:lastPrinted>2024-06-16T08:43:00Z</cp:lastPrinted>
  <dcterms:created xsi:type="dcterms:W3CDTF">2025-04-24T17:21:00Z</dcterms:created>
  <dcterms:modified xsi:type="dcterms:W3CDTF">2025-05-14T18:25:00Z</dcterms:modified>
</cp:coreProperties>
</file>