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3AD5B09C" w:rsidR="00EE029D" w:rsidRPr="00046D48" w:rsidRDefault="00EE6951"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LAS REFORMAS DE 2023 A LA LEY MINERA</w:t>
      </w:r>
      <w:r w:rsidR="000103E8">
        <w:rPr>
          <w:rFonts w:ascii="Arial Nova" w:hAnsi="Arial Nova" w:cs="Times New Roman"/>
          <w:b/>
          <w:bCs/>
          <w:smallCaps/>
          <w:color w:val="002060"/>
        </w:rPr>
        <w:t>, LEY DE AGUAS NACIONALES, LEY GENERAL DE EQUILIBRIO ECOLÓGICO Y LA PROTECCIÓN AL AMBIENTE Y LEY GENERAL PARA LA PREVENCIÓN Y GESTIÓN INTEGRAL DE LOS RESIDUOS, EN MATERIA DE CONCESIONES PARA MINERÍA Y AGUA, SON CONSTITUCIONALES</w:t>
      </w: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68E43B67" w:rsidR="00832148" w:rsidRPr="001624A8"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w:t>
      </w:r>
      <w:r w:rsidR="009F4797">
        <w:rPr>
          <w:rFonts w:ascii="Arial Nova" w:hAnsi="Arial Nova" w:cs="Times New Roman"/>
          <w:b/>
          <w:bCs/>
          <w:smallCaps/>
          <w:color w:val="002060"/>
        </w:rPr>
        <w:t>o</w:t>
      </w:r>
      <w:r w:rsidR="00914DF2">
        <w:rPr>
          <w:rFonts w:ascii="Arial Nova" w:hAnsi="Arial Nova" w:cs="Times New Roman"/>
          <w:b/>
          <w:bCs/>
          <w:smallCaps/>
          <w:color w:val="002060"/>
        </w:rPr>
        <w:t xml:space="preserve"> </w:t>
      </w:r>
      <w:r w:rsidR="004140CF">
        <w:rPr>
          <w:rFonts w:ascii="Arial Nova" w:hAnsi="Arial Nova" w:cs="Times New Roman"/>
          <w:b/>
          <w:bCs/>
          <w:smallCaps/>
          <w:color w:val="002060"/>
        </w:rPr>
        <w:t>Jorge Mario Pardo Rebolledo</w:t>
      </w:r>
      <w:r w:rsidR="00B92B45" w:rsidRPr="001624A8">
        <w:rPr>
          <w:rFonts w:ascii="Arial Nova" w:hAnsi="Arial Nova" w:cs="Times New Roman"/>
          <w:smallCaps/>
          <w:color w:val="002060"/>
        </w:rPr>
        <w:t>.</w:t>
      </w:r>
    </w:p>
    <w:p w14:paraId="12206212" w14:textId="77DF8789" w:rsidR="009C6C48"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165F0B">
        <w:rPr>
          <w:rFonts w:ascii="Arial Nova" w:hAnsi="Arial Nova" w:cs="Times New Roman"/>
          <w:smallCaps/>
          <w:color w:val="002060"/>
        </w:rPr>
        <w:t xml:space="preserve">o: </w:t>
      </w:r>
      <w:r w:rsidR="000103E8">
        <w:rPr>
          <w:rFonts w:ascii="Arial Nova" w:hAnsi="Arial Nova" w:cs="Times New Roman"/>
          <w:smallCaps/>
          <w:color w:val="002060"/>
        </w:rPr>
        <w:t>Alejandro Castañón Ramírez</w:t>
      </w:r>
      <w:r w:rsidR="000677FB">
        <w:rPr>
          <w:rFonts w:ascii="Arial Nova" w:hAnsi="Arial Nova" w:cs="Times New Roman"/>
          <w:smallCaps/>
          <w:color w:val="002060"/>
        </w:rPr>
        <w:t>.</w:t>
      </w:r>
      <w:r w:rsidR="00FF6E0D">
        <w:rPr>
          <w:rFonts w:ascii="Arial Nova" w:hAnsi="Arial Nova" w:cs="Times New Roman"/>
          <w:smallCaps/>
          <w:color w:val="002060"/>
        </w:rPr>
        <w:t xml:space="preserve"> </w:t>
      </w:r>
    </w:p>
    <w:p w14:paraId="1C0B4F90" w14:textId="636A63CB" w:rsidR="001C01EC" w:rsidRPr="004C2D17" w:rsidRDefault="001C01EC" w:rsidP="009F4797">
      <w:pPr>
        <w:shd w:val="clear" w:color="auto" w:fill="EDEDED" w:themeFill="accent3" w:themeFillTint="33"/>
        <w:spacing w:after="0" w:line="240" w:lineRule="auto"/>
        <w:ind w:left="2552"/>
        <w:jc w:val="right"/>
        <w:rPr>
          <w:rFonts w:ascii="Arial Nova" w:hAnsi="Arial Nova" w:cs="Times New Roman"/>
          <w:smallCaps/>
        </w:rPr>
      </w:pPr>
      <w:bookmarkStart w:id="3" w:name="_Hlk133506816"/>
      <w:bookmarkEnd w:id="2"/>
      <w:r w:rsidRPr="001624A8">
        <w:rPr>
          <w:rFonts w:ascii="Arial Nova" w:hAnsi="Arial Nova" w:cs="Times New Roman"/>
          <w:smallCaps/>
          <w:color w:val="002060"/>
        </w:rPr>
        <w:t>Expediente: Amparo</w:t>
      </w:r>
      <w:r w:rsidR="0003067F">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971B6B">
        <w:rPr>
          <w:rFonts w:ascii="Arial Nova" w:hAnsi="Arial Nova" w:cs="Times New Roman"/>
          <w:smallCaps/>
          <w:color w:val="002060"/>
        </w:rPr>
        <w:t xml:space="preserve"> </w:t>
      </w:r>
      <w:r w:rsidR="000103E8">
        <w:rPr>
          <w:rFonts w:ascii="Arial Nova" w:hAnsi="Arial Nova" w:cs="Times New Roman"/>
          <w:smallCaps/>
          <w:color w:val="002060"/>
        </w:rPr>
        <w:t>391</w:t>
      </w:r>
      <w:r w:rsidR="000677FB">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4140CF">
        <w:rPr>
          <w:rFonts w:ascii="Arial Nova" w:hAnsi="Arial Nova" w:cs="Times New Roman"/>
          <w:smallCaps/>
          <w:color w:val="002060"/>
        </w:rPr>
        <w:t>4</w:t>
      </w:r>
      <w:r w:rsidR="005A7962">
        <w:rPr>
          <w:rFonts w:ascii="Arial Nova" w:hAnsi="Arial Nova" w:cs="Times New Roman"/>
          <w:smallCaps/>
          <w:color w:val="002060"/>
        </w:rPr>
        <w:t>.</w:t>
      </w: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240C7ECC" w:rsidR="00E32435" w:rsidRPr="00046D48" w:rsidRDefault="00E32435" w:rsidP="007106FC">
            <w:pPr>
              <w:tabs>
                <w:tab w:val="left" w:pos="7253"/>
              </w:tabs>
              <w:jc w:val="both"/>
              <w:rPr>
                <w:rFonts w:ascii="Times New Roman" w:hAnsi="Times New Roman" w:cs="Times New Roman"/>
                <w:b/>
                <w:bCs/>
                <w:color w:val="002060"/>
                <w:sz w:val="20"/>
                <w:szCs w:val="20"/>
              </w:rPr>
            </w:pPr>
          </w:p>
          <w:p w14:paraId="213F2911" w14:textId="1B37FFC4" w:rsidR="00B65914" w:rsidRDefault="00B323DA" w:rsidP="00B65914">
            <w:pPr>
              <w:shd w:val="clear" w:color="auto" w:fill="FFFFFF" w:themeFill="background1"/>
              <w:spacing w:line="276" w:lineRule="auto"/>
              <w:rPr>
                <w:rFonts w:ascii="Arial Nova" w:hAnsi="Arial Nova" w:cs="Times New Roman"/>
                <w:b/>
                <w:bCs/>
                <w:smallCaps/>
                <w:color w:val="000F2E"/>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494BE2C7" w14:textId="77777777" w:rsidR="000F200D" w:rsidRDefault="000F200D" w:rsidP="000F200D">
            <w:pPr>
              <w:jc w:val="both"/>
              <w:rPr>
                <w:rFonts w:ascii="Arial Nova" w:eastAsia="Times New Roman" w:hAnsi="Arial Nova" w:cs="Arial"/>
                <w:bCs/>
                <w:lang w:eastAsia="es-MX"/>
              </w:rPr>
            </w:pPr>
          </w:p>
          <w:p w14:paraId="51391838" w14:textId="77777777" w:rsidR="00E74C42" w:rsidRPr="00697320" w:rsidRDefault="00E74C42" w:rsidP="00E74C42">
            <w:pPr>
              <w:ind w:right="70"/>
              <w:jc w:val="both"/>
              <w:rPr>
                <w:rFonts w:ascii="Arial Nova" w:hAnsi="Arial Nova" w:cs="Arial"/>
                <w:sz w:val="20"/>
                <w:szCs w:val="20"/>
              </w:rPr>
            </w:pPr>
            <w:r w:rsidRPr="00697320">
              <w:rPr>
                <w:rFonts w:ascii="Arial Nova" w:hAnsi="Arial Nova" w:cs="Arial"/>
                <w:sz w:val="20"/>
                <w:szCs w:val="20"/>
              </w:rPr>
              <w:t>En el caso, una empresa interpuso el 15 de junio de 2023 una demanda de amparo indirecto contra las Cámaras de Diputados y Senadores, impugnando todos los actos del proceso legislativo y la aprobación del decreto que reformó diversas leyes en materia de minería y agua, publicado el 8 de mayo de 2023 en el Diario Oficial de la Federación.</w:t>
            </w:r>
          </w:p>
          <w:p w14:paraId="1662FB0E" w14:textId="77777777" w:rsidR="00E74C42" w:rsidRPr="00697320" w:rsidRDefault="00E74C42" w:rsidP="00E74C42">
            <w:pPr>
              <w:ind w:right="70"/>
              <w:jc w:val="both"/>
              <w:rPr>
                <w:rFonts w:ascii="Arial Nova" w:hAnsi="Arial Nova" w:cs="Arial"/>
                <w:sz w:val="20"/>
                <w:szCs w:val="20"/>
              </w:rPr>
            </w:pPr>
          </w:p>
          <w:p w14:paraId="6B959298" w14:textId="1566D171" w:rsidR="00E74C42" w:rsidRPr="00697320" w:rsidRDefault="00E74C42" w:rsidP="00E74C42">
            <w:pPr>
              <w:ind w:right="70"/>
              <w:jc w:val="both"/>
              <w:rPr>
                <w:rFonts w:ascii="Arial Nova" w:hAnsi="Arial Nova" w:cs="Arial"/>
                <w:sz w:val="20"/>
                <w:szCs w:val="20"/>
              </w:rPr>
            </w:pPr>
            <w:r w:rsidRPr="00697320">
              <w:rPr>
                <w:rFonts w:ascii="Arial Nova" w:hAnsi="Arial Nova" w:cs="Arial"/>
                <w:sz w:val="20"/>
                <w:szCs w:val="20"/>
              </w:rPr>
              <w:t xml:space="preserve">La Primera Sala revocó la resolución </w:t>
            </w:r>
            <w:r w:rsidR="005A5B10" w:rsidRPr="00697320">
              <w:rPr>
                <w:rFonts w:ascii="Arial Nova" w:hAnsi="Arial Nova" w:cs="Arial"/>
                <w:sz w:val="20"/>
                <w:szCs w:val="20"/>
              </w:rPr>
              <w:t>impugnada, tras concluir que</w:t>
            </w:r>
            <w:r w:rsidRPr="00697320">
              <w:rPr>
                <w:rFonts w:ascii="Arial Nova" w:hAnsi="Arial Nova" w:cs="Arial"/>
                <w:sz w:val="20"/>
                <w:szCs w:val="20"/>
              </w:rPr>
              <w:t xml:space="preserve"> no toda alteración al procedimiento legislativo puede ser impugnable a través del juicio de amparo por parte de los particulares. </w:t>
            </w:r>
          </w:p>
          <w:p w14:paraId="6425BDA3" w14:textId="77777777" w:rsidR="00E74C42" w:rsidRPr="00697320" w:rsidRDefault="00E74C42" w:rsidP="00E74C42">
            <w:pPr>
              <w:ind w:right="70"/>
              <w:jc w:val="both"/>
              <w:rPr>
                <w:rFonts w:ascii="Arial Nova" w:hAnsi="Arial Nova" w:cs="Arial"/>
                <w:sz w:val="20"/>
                <w:szCs w:val="20"/>
              </w:rPr>
            </w:pPr>
          </w:p>
          <w:p w14:paraId="16E91020" w14:textId="654FFEE2" w:rsidR="00E74C42" w:rsidRPr="00697320" w:rsidRDefault="005A5B10" w:rsidP="00E74C42">
            <w:pPr>
              <w:ind w:right="70"/>
              <w:jc w:val="both"/>
              <w:rPr>
                <w:rFonts w:ascii="Arial Nova" w:hAnsi="Arial Nova" w:cs="Arial"/>
                <w:sz w:val="20"/>
                <w:szCs w:val="20"/>
              </w:rPr>
            </w:pPr>
            <w:r w:rsidRPr="00697320">
              <w:rPr>
                <w:rFonts w:ascii="Arial Nova" w:hAnsi="Arial Nova" w:cs="Arial"/>
                <w:sz w:val="20"/>
                <w:szCs w:val="20"/>
              </w:rPr>
              <w:t>Así</w:t>
            </w:r>
            <w:r w:rsidR="00E74C42" w:rsidRPr="00697320">
              <w:rPr>
                <w:rFonts w:ascii="Arial Nova" w:hAnsi="Arial Nova" w:cs="Arial"/>
                <w:sz w:val="20"/>
                <w:szCs w:val="20"/>
              </w:rPr>
              <w:t xml:space="preserve">, al analizar el resto de los argumentos planteados por empresa para reclamar la inconstitucionalidad del Decreto </w:t>
            </w:r>
            <w:r w:rsidRPr="00697320">
              <w:rPr>
                <w:rFonts w:ascii="Arial Nova" w:hAnsi="Arial Nova" w:cs="Arial"/>
                <w:sz w:val="20"/>
                <w:szCs w:val="20"/>
              </w:rPr>
              <w:t>impugnado</w:t>
            </w:r>
            <w:r w:rsidR="00E74C42" w:rsidRPr="00697320">
              <w:rPr>
                <w:rFonts w:ascii="Arial Nova" w:hAnsi="Arial Nova" w:cs="Arial"/>
                <w:sz w:val="20"/>
                <w:szCs w:val="20"/>
              </w:rPr>
              <w:t xml:space="preserve">, la </w:t>
            </w:r>
            <w:r w:rsidR="00EE0AC2" w:rsidRPr="00697320">
              <w:rPr>
                <w:rFonts w:ascii="Arial Nova" w:hAnsi="Arial Nova" w:cs="Arial"/>
                <w:sz w:val="20"/>
                <w:szCs w:val="20"/>
              </w:rPr>
              <w:t xml:space="preserve">Primea </w:t>
            </w:r>
            <w:r w:rsidR="00E74C42" w:rsidRPr="00697320">
              <w:rPr>
                <w:rFonts w:ascii="Arial Nova" w:hAnsi="Arial Nova" w:cs="Arial"/>
                <w:sz w:val="20"/>
                <w:szCs w:val="20"/>
              </w:rPr>
              <w:t>Sala resolvió</w:t>
            </w:r>
            <w:r w:rsidR="00EE0AC2" w:rsidRPr="00697320">
              <w:rPr>
                <w:rFonts w:ascii="Arial Nova" w:hAnsi="Arial Nova" w:cs="Arial"/>
                <w:sz w:val="20"/>
                <w:szCs w:val="20"/>
              </w:rPr>
              <w:t xml:space="preserve"> que las reformas son acordes al principio de seguridad jurídica, irretroactividad de la norma, libertad de trabajo y división de poderes. Lo anterior, ya que,</w:t>
            </w:r>
            <w:r w:rsidR="00E74C42" w:rsidRPr="00697320">
              <w:rPr>
                <w:rFonts w:ascii="Arial Nova" w:hAnsi="Arial Nova" w:cs="Arial"/>
                <w:sz w:val="20"/>
                <w:szCs w:val="20"/>
              </w:rPr>
              <w:t xml:space="preserve"> por una parte, </w:t>
            </w:r>
            <w:r w:rsidR="00EE0AC2" w:rsidRPr="00697320">
              <w:rPr>
                <w:rFonts w:ascii="Arial Nova" w:hAnsi="Arial Nova" w:cs="Arial"/>
                <w:sz w:val="20"/>
                <w:szCs w:val="20"/>
              </w:rPr>
              <w:t>éstas</w:t>
            </w:r>
            <w:r w:rsidR="00E74C42" w:rsidRPr="00697320">
              <w:rPr>
                <w:rFonts w:ascii="Arial Nova" w:hAnsi="Arial Nova" w:cs="Arial"/>
                <w:sz w:val="20"/>
                <w:szCs w:val="20"/>
              </w:rPr>
              <w:t xml:space="preserve"> no violenta</w:t>
            </w:r>
            <w:r w:rsidR="00EE0AC2" w:rsidRPr="00697320">
              <w:rPr>
                <w:rFonts w:ascii="Arial Nova" w:hAnsi="Arial Nova" w:cs="Arial"/>
                <w:sz w:val="20"/>
                <w:szCs w:val="20"/>
              </w:rPr>
              <w:t>n</w:t>
            </w:r>
            <w:r w:rsidR="00E74C42" w:rsidRPr="00697320">
              <w:rPr>
                <w:rFonts w:ascii="Arial Nova" w:hAnsi="Arial Nova" w:cs="Arial"/>
                <w:sz w:val="20"/>
                <w:szCs w:val="20"/>
              </w:rPr>
              <w:t xml:space="preserve"> el principio de irretroactividad ya que no se </w:t>
            </w:r>
            <w:r w:rsidRPr="00697320">
              <w:rPr>
                <w:rFonts w:ascii="Arial Nova" w:hAnsi="Arial Nova" w:cs="Arial"/>
                <w:sz w:val="20"/>
                <w:szCs w:val="20"/>
              </w:rPr>
              <w:t xml:space="preserve">refieren a </w:t>
            </w:r>
            <w:r w:rsidR="00E74C42" w:rsidRPr="00697320">
              <w:rPr>
                <w:rFonts w:ascii="Arial Nova" w:hAnsi="Arial Nova" w:cs="Arial"/>
                <w:sz w:val="20"/>
                <w:szCs w:val="20"/>
              </w:rPr>
              <w:t>derechos adquiridos a favor de la empresa quejosa, sino meras expectativas de derecho de realización futura, sujetas al cumplimiento de requisitos y autorización de la autoridad.</w:t>
            </w:r>
          </w:p>
          <w:p w14:paraId="6F72DDA2" w14:textId="77777777" w:rsidR="005A5B10" w:rsidRPr="00697320" w:rsidRDefault="005A5B10" w:rsidP="00E74C42">
            <w:pPr>
              <w:ind w:right="70"/>
              <w:jc w:val="both"/>
              <w:rPr>
                <w:rFonts w:ascii="Arial Nova" w:hAnsi="Arial Nova" w:cs="Arial"/>
                <w:sz w:val="20"/>
                <w:szCs w:val="20"/>
              </w:rPr>
            </w:pPr>
          </w:p>
          <w:p w14:paraId="42DB66A2" w14:textId="026968F0" w:rsidR="00EE0AC2" w:rsidRPr="00697320" w:rsidRDefault="00EE0AC2" w:rsidP="00EE0AC2">
            <w:pPr>
              <w:ind w:right="70"/>
              <w:jc w:val="both"/>
              <w:rPr>
                <w:rFonts w:ascii="Arial Nova" w:hAnsi="Arial Nova" w:cs="Arial"/>
                <w:sz w:val="20"/>
                <w:szCs w:val="20"/>
              </w:rPr>
            </w:pPr>
            <w:r w:rsidRPr="00697320">
              <w:rPr>
                <w:rFonts w:ascii="Arial Nova" w:hAnsi="Arial Nova" w:cs="Arial"/>
                <w:sz w:val="20"/>
                <w:szCs w:val="20"/>
              </w:rPr>
              <w:t xml:space="preserve">Por otro lado, la Sala reflexionó que, si bien pudieren existir modificaciones legales que impacten en la titularidad de las concesiones de la empresa minera, ya que se tratan de nuevas obligaciones y limitaciones relacionadas con su operatividad, éstas no modifican las condiciones esenciales de los títulos, sino las de naturaleza regulatoria cuyo contenido está determinado por el marco normativo vigente. </w:t>
            </w:r>
          </w:p>
          <w:p w14:paraId="75FD31D6" w14:textId="77777777" w:rsidR="00EE0AC2" w:rsidRPr="00697320" w:rsidRDefault="00EE0AC2" w:rsidP="00EE0AC2">
            <w:pPr>
              <w:ind w:right="70"/>
              <w:jc w:val="both"/>
              <w:rPr>
                <w:rFonts w:ascii="Arial Nova" w:hAnsi="Arial Nova" w:cs="Arial"/>
                <w:sz w:val="20"/>
                <w:szCs w:val="20"/>
              </w:rPr>
            </w:pPr>
          </w:p>
          <w:p w14:paraId="0D6DC88B" w14:textId="77777777" w:rsidR="00EE0AC2" w:rsidRPr="00697320" w:rsidRDefault="00EE0AC2" w:rsidP="00EE0AC2">
            <w:pPr>
              <w:ind w:right="70"/>
              <w:jc w:val="both"/>
              <w:rPr>
                <w:rFonts w:ascii="Arial Nova" w:hAnsi="Arial Nova" w:cs="Arial"/>
                <w:sz w:val="20"/>
                <w:szCs w:val="20"/>
              </w:rPr>
            </w:pPr>
            <w:r w:rsidRPr="00697320">
              <w:rPr>
                <w:rFonts w:ascii="Arial Nova" w:hAnsi="Arial Nova" w:cs="Arial"/>
                <w:sz w:val="20"/>
                <w:szCs w:val="20"/>
              </w:rPr>
              <w:t>Finalmente, la Primera Sala reconoció la constitucionalidad del artículo 27, fracción XVI de la Ley de Minería que impone la obligación de entregar a la Secretaría de Economía los minerales extraídos que no estén especificados en el título de concesión. Asimismo, reconoció que el legislador federal puede definir en la ley restricciones generales sobre las zonas en que se permite o prohíbe el desarrollo de actividades extractivas, o condiciones para el uso de aguas derivadas del laboreo, sin que ello implique una invasión a la facultad reglamentaria del Ejecutivo.</w:t>
            </w:r>
          </w:p>
          <w:p w14:paraId="47B34241" w14:textId="77777777" w:rsidR="00EE0AC2" w:rsidRPr="00697320" w:rsidRDefault="00EE0AC2" w:rsidP="00EE0AC2">
            <w:pPr>
              <w:ind w:right="70"/>
              <w:jc w:val="both"/>
              <w:rPr>
                <w:rFonts w:ascii="Arial Nova" w:hAnsi="Arial Nova" w:cs="Arial"/>
                <w:sz w:val="20"/>
                <w:szCs w:val="20"/>
              </w:rPr>
            </w:pPr>
          </w:p>
          <w:p w14:paraId="29C99ED3" w14:textId="43019593" w:rsidR="005A5B10" w:rsidRPr="00697320" w:rsidRDefault="00EE0AC2" w:rsidP="00EE0AC2">
            <w:pPr>
              <w:ind w:right="70"/>
              <w:jc w:val="both"/>
              <w:rPr>
                <w:rFonts w:ascii="Arial Nova" w:hAnsi="Arial Nova" w:cs="Arial"/>
                <w:sz w:val="20"/>
                <w:szCs w:val="20"/>
              </w:rPr>
            </w:pPr>
            <w:r w:rsidRPr="00697320">
              <w:rPr>
                <w:rFonts w:ascii="Arial Nova" w:hAnsi="Arial Nova" w:cs="Arial"/>
                <w:sz w:val="20"/>
                <w:szCs w:val="20"/>
              </w:rPr>
              <w:t>Con base en estas razones, la Primera Sala negó el amparo a la empresa quejosa.</w:t>
            </w:r>
          </w:p>
          <w:p w14:paraId="068A96B6" w14:textId="7E8A3E46" w:rsidR="00507880" w:rsidRPr="00650F1C" w:rsidRDefault="00507880" w:rsidP="00E74C42">
            <w:pPr>
              <w:jc w:val="both"/>
              <w:rPr>
                <w:rFonts w:ascii="Times New Roman" w:hAnsi="Times New Roman"/>
                <w:sz w:val="20"/>
              </w:rPr>
            </w:pPr>
          </w:p>
        </w:tc>
      </w:tr>
    </w:tbl>
    <w:p w14:paraId="47E55336" w14:textId="77777777" w:rsidR="000F200D" w:rsidRDefault="000F200D" w:rsidP="003F3A4A">
      <w:pPr>
        <w:spacing w:after="0" w:line="240" w:lineRule="auto"/>
        <w:jc w:val="both"/>
        <w:rPr>
          <w:rFonts w:ascii="Arial Nova" w:hAnsi="Arial Nova" w:cs="Times New Roman"/>
          <w:sz w:val="24"/>
          <w:szCs w:val="24"/>
        </w:rPr>
      </w:pPr>
    </w:p>
    <w:p w14:paraId="03DEA38B" w14:textId="48F20CA0" w:rsidR="0041308F" w:rsidRPr="00642B2A" w:rsidRDefault="007B3BE9" w:rsidP="00697320">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697320">
        <w:rPr>
          <w:rFonts w:ascii="Arial Nova" w:hAnsi="Arial Nova" w:cs="Times New Roman"/>
          <w:b/>
          <w:bCs/>
          <w:smallCaps/>
          <w:color w:val="000F2E"/>
          <w:sz w:val="28"/>
          <w:szCs w:val="28"/>
        </w:rPr>
        <w:lastRenderedPageBreak/>
        <w:t>A</w:t>
      </w:r>
      <w:r w:rsidR="0041308F" w:rsidRPr="00B323DA">
        <w:rPr>
          <w:rFonts w:ascii="Arial Nova" w:hAnsi="Arial Nova" w:cs="Times New Roman"/>
          <w:b/>
          <w:bCs/>
          <w:smallCaps/>
          <w:color w:val="000F2E"/>
          <w:sz w:val="24"/>
          <w:szCs w:val="24"/>
        </w:rPr>
        <w:t>ntecedentes:</w:t>
      </w:r>
    </w:p>
    <w:p w14:paraId="6184D90D" w14:textId="77777777" w:rsidR="000F200D" w:rsidRDefault="000F200D" w:rsidP="00811FF1">
      <w:pPr>
        <w:spacing w:after="0" w:line="240" w:lineRule="auto"/>
        <w:jc w:val="both"/>
        <w:rPr>
          <w:rFonts w:ascii="Arial Nova" w:hAnsi="Arial Nova" w:cs="Arial"/>
          <w:sz w:val="24"/>
          <w:szCs w:val="24"/>
        </w:rPr>
      </w:pPr>
    </w:p>
    <w:p w14:paraId="326BA4FB" w14:textId="6DC9980F" w:rsidR="005A5B10" w:rsidRPr="005A5B10" w:rsidRDefault="005A5B10" w:rsidP="005A5B10">
      <w:pPr>
        <w:spacing w:after="0" w:line="240" w:lineRule="auto"/>
        <w:jc w:val="both"/>
        <w:rPr>
          <w:rFonts w:ascii="Arial Nova" w:hAnsi="Arial Nova" w:cs="Arial"/>
          <w:sz w:val="24"/>
          <w:szCs w:val="24"/>
        </w:rPr>
      </w:pPr>
      <w:r>
        <w:rPr>
          <w:rFonts w:ascii="Arial Nova" w:hAnsi="Arial Nova" w:cs="Arial"/>
          <w:sz w:val="24"/>
          <w:szCs w:val="24"/>
        </w:rPr>
        <w:t xml:space="preserve">Una </w:t>
      </w:r>
      <w:r w:rsidRPr="005A5B10">
        <w:rPr>
          <w:rFonts w:ascii="Arial Nova" w:hAnsi="Arial Nova" w:cs="Arial"/>
          <w:sz w:val="24"/>
          <w:szCs w:val="24"/>
        </w:rPr>
        <w:t xml:space="preserve">empresa titular de una concesión para explotación minera, </w:t>
      </w:r>
      <w:r>
        <w:rPr>
          <w:rFonts w:ascii="Arial Nova" w:hAnsi="Arial Nova" w:cs="Arial"/>
          <w:sz w:val="24"/>
          <w:szCs w:val="24"/>
        </w:rPr>
        <w:t xml:space="preserve">promovió juicio de amparo indirecto </w:t>
      </w:r>
      <w:r w:rsidRPr="005A5B10">
        <w:rPr>
          <w:rFonts w:ascii="Arial Nova" w:hAnsi="Arial Nova" w:cs="Arial"/>
          <w:sz w:val="24"/>
          <w:szCs w:val="24"/>
        </w:rPr>
        <w:t xml:space="preserve">en contra del 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 publicado en el Diario Oficial de la Federación el 8 de mayo de 2023. </w:t>
      </w:r>
    </w:p>
    <w:p w14:paraId="66A4F823" w14:textId="77777777" w:rsidR="005A5B10" w:rsidRPr="005A5B10" w:rsidRDefault="005A5B10" w:rsidP="005A5B10">
      <w:pPr>
        <w:spacing w:after="0" w:line="240" w:lineRule="auto"/>
        <w:jc w:val="both"/>
        <w:rPr>
          <w:rFonts w:ascii="Arial Nova" w:hAnsi="Arial Nova" w:cs="Arial"/>
          <w:sz w:val="24"/>
          <w:szCs w:val="24"/>
        </w:rPr>
      </w:pPr>
    </w:p>
    <w:p w14:paraId="6864A191" w14:textId="7E376525" w:rsidR="002B1B37" w:rsidRDefault="005A5B10" w:rsidP="005A5B10">
      <w:pPr>
        <w:spacing w:after="0" w:line="240" w:lineRule="auto"/>
        <w:jc w:val="both"/>
        <w:rPr>
          <w:rFonts w:ascii="Arial" w:eastAsia="Arial" w:hAnsi="Arial" w:cs="Arial"/>
          <w:sz w:val="23"/>
          <w:szCs w:val="23"/>
        </w:rPr>
      </w:pPr>
      <w:r w:rsidRPr="005A5B10">
        <w:rPr>
          <w:rFonts w:ascii="Arial Nova" w:hAnsi="Arial Nova" w:cs="Arial"/>
          <w:sz w:val="24"/>
          <w:szCs w:val="24"/>
        </w:rPr>
        <w:t>El Juzgado de Distrito concedió el amparo debido a la existencia de violaciones al proceso legislativo derivadas del principio de deliberación democrática, ya que la Cámara de Diputados sometió a votación la dispensa del trámite legislativo ordinario por urgencia cuando se había omitido por completo motivarla, aunado a que no publicó ni distribuyó la iniciativa sometida a discusión del Pleno de ese ente legislativo, con la anticipación requerida por su propio reglamento. En desacuerdo con esta decisión, la Presidencia de la República, las Cámaras de Diputados y Senadores del Congreso de la Unión, interpusieron recursos de revisión, al cual se adhirió la empresa quejosa, los cuales fueron atraídos por la Suprema Corte para su resolución.</w:t>
      </w:r>
    </w:p>
    <w:p w14:paraId="385F8464" w14:textId="77777777" w:rsidR="005A5B10" w:rsidRPr="0027390A" w:rsidRDefault="005A5B10" w:rsidP="005A5B10">
      <w:pPr>
        <w:spacing w:after="0" w:line="240" w:lineRule="auto"/>
        <w:jc w:val="both"/>
        <w:rPr>
          <w:rFonts w:ascii="Arial" w:eastAsia="Arial" w:hAnsi="Arial" w:cs="Arial"/>
          <w:sz w:val="23"/>
          <w:szCs w:val="23"/>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47A951AD" w14:textId="77777777" w:rsidR="000677FB" w:rsidRDefault="000677FB" w:rsidP="000677FB">
      <w:pPr>
        <w:spacing w:after="0" w:line="240" w:lineRule="auto"/>
        <w:jc w:val="both"/>
        <w:rPr>
          <w:rFonts w:ascii="Arial" w:hAnsi="Arial" w:cs="Arial"/>
          <w:sz w:val="23"/>
          <w:szCs w:val="23"/>
        </w:rPr>
      </w:pPr>
    </w:p>
    <w:p w14:paraId="7C2F382A" w14:textId="58A788E1" w:rsidR="00C92AD9" w:rsidRPr="00C92AD9" w:rsidRDefault="00C92AD9" w:rsidP="00C92AD9">
      <w:pPr>
        <w:spacing w:after="0" w:line="240" w:lineRule="auto"/>
        <w:ind w:right="-93"/>
        <w:jc w:val="both"/>
        <w:rPr>
          <w:rFonts w:ascii="Arial Nova" w:hAnsi="Arial Nova" w:cs="Arial"/>
          <w:sz w:val="24"/>
          <w:szCs w:val="24"/>
        </w:rPr>
      </w:pPr>
      <w:r w:rsidRPr="00C92AD9">
        <w:rPr>
          <w:rFonts w:ascii="Arial Nova" w:hAnsi="Arial Nova" w:cs="Arial"/>
          <w:sz w:val="24"/>
          <w:szCs w:val="24"/>
        </w:rPr>
        <w:t>La Primera Sala</w:t>
      </w:r>
      <w:r>
        <w:rPr>
          <w:rFonts w:ascii="Arial Nova" w:hAnsi="Arial Nova" w:cs="Arial"/>
          <w:sz w:val="24"/>
          <w:szCs w:val="24"/>
        </w:rPr>
        <w:t xml:space="preserve"> </w:t>
      </w:r>
      <w:r w:rsidRPr="00C92AD9">
        <w:rPr>
          <w:rFonts w:ascii="Arial Nova" w:hAnsi="Arial Nova" w:cs="Arial"/>
          <w:sz w:val="24"/>
          <w:szCs w:val="24"/>
        </w:rPr>
        <w:t xml:space="preserve">revocó la resolución del Juez de Distrito que concedió el amparo a </w:t>
      </w:r>
      <w:r w:rsidR="005A5B10">
        <w:rPr>
          <w:rFonts w:ascii="Arial Nova" w:hAnsi="Arial Nova" w:cs="Arial"/>
          <w:sz w:val="24"/>
          <w:szCs w:val="24"/>
        </w:rPr>
        <w:t>la</w:t>
      </w:r>
      <w:r w:rsidR="005A5B10" w:rsidRPr="00C92AD9">
        <w:rPr>
          <w:rFonts w:ascii="Arial Nova" w:hAnsi="Arial Nova" w:cs="Arial"/>
          <w:sz w:val="24"/>
          <w:szCs w:val="24"/>
        </w:rPr>
        <w:t xml:space="preserve"> </w:t>
      </w:r>
      <w:r w:rsidRPr="00C92AD9">
        <w:rPr>
          <w:rFonts w:ascii="Arial Nova" w:hAnsi="Arial Nova" w:cs="Arial"/>
          <w:sz w:val="24"/>
          <w:szCs w:val="24"/>
        </w:rPr>
        <w:t xml:space="preserve">empresa </w:t>
      </w:r>
      <w:r w:rsidR="005A5B10">
        <w:rPr>
          <w:rFonts w:ascii="Arial Nova" w:hAnsi="Arial Nova" w:cs="Arial"/>
          <w:sz w:val="24"/>
          <w:szCs w:val="24"/>
        </w:rPr>
        <w:t>quejosa</w:t>
      </w:r>
      <w:r w:rsidRPr="00C92AD9">
        <w:rPr>
          <w:rFonts w:ascii="Arial Nova" w:hAnsi="Arial Nova" w:cs="Arial"/>
          <w:sz w:val="24"/>
          <w:szCs w:val="24"/>
        </w:rPr>
        <w:t xml:space="preserve">, al estimar que no toda alteración al procedimiento legislativo puede ser impugnable a través del juicio de amparo por parte de los particulares. </w:t>
      </w:r>
    </w:p>
    <w:p w14:paraId="3A8AA1E3" w14:textId="77777777" w:rsidR="00C92AD9" w:rsidRPr="00C92AD9" w:rsidRDefault="00C92AD9" w:rsidP="00C92AD9">
      <w:pPr>
        <w:spacing w:after="0" w:line="240" w:lineRule="auto"/>
        <w:ind w:right="-93"/>
        <w:jc w:val="both"/>
        <w:rPr>
          <w:rFonts w:ascii="Arial Nova" w:hAnsi="Arial Nova" w:cs="Arial"/>
          <w:sz w:val="24"/>
          <w:szCs w:val="24"/>
        </w:rPr>
      </w:pPr>
    </w:p>
    <w:p w14:paraId="73715A67" w14:textId="336BC061" w:rsidR="00C92AD9" w:rsidRPr="00C92AD9" w:rsidRDefault="00C92AD9" w:rsidP="00C92AD9">
      <w:pPr>
        <w:spacing w:after="0" w:line="240" w:lineRule="auto"/>
        <w:ind w:right="-93"/>
        <w:jc w:val="both"/>
        <w:rPr>
          <w:rFonts w:ascii="Arial Nova" w:hAnsi="Arial Nova" w:cs="Arial"/>
          <w:sz w:val="24"/>
          <w:szCs w:val="24"/>
        </w:rPr>
      </w:pPr>
      <w:r w:rsidRPr="00C92AD9">
        <w:rPr>
          <w:rFonts w:ascii="Arial Nova" w:hAnsi="Arial Nova" w:cs="Arial"/>
          <w:sz w:val="24"/>
          <w:szCs w:val="24"/>
        </w:rPr>
        <w:t>En consecuencia, al analizar el resto de los argumentos planteados por empresa para reclamar la inconstitucionalidad del Decreto referido, la Sala resolvió, por una parte, que éste no violenta el principio de irretroactividad ya que las modificaciones legales relativas a la expropiación de los terrenos para llevar a cabo las obras y trabajos de exploración, explotación y beneficio de los lotes mineros; la ocupación temporal y la constitución de servidumbres; preferencia para la obtención de concesiones sobre las aguas provenientes del laboreo de las minas; prórroga de vigencia, y obtención de una nueva concesión; no se tratan de derechos adquiridos a favor de la empresa quejosa, sino meras expectativas de derecho de realización futura, sujetas al cumplimiento de requisitos y autorización de la autoridad.</w:t>
      </w:r>
    </w:p>
    <w:p w14:paraId="5EA6128F" w14:textId="77777777" w:rsidR="00C92AD9" w:rsidRPr="00C92AD9" w:rsidRDefault="00C92AD9" w:rsidP="00C92AD9">
      <w:pPr>
        <w:spacing w:after="0" w:line="240" w:lineRule="auto"/>
        <w:ind w:right="-93"/>
        <w:jc w:val="both"/>
        <w:rPr>
          <w:rFonts w:ascii="Arial Nova" w:hAnsi="Arial Nova" w:cs="Arial"/>
          <w:sz w:val="24"/>
          <w:szCs w:val="24"/>
        </w:rPr>
      </w:pPr>
    </w:p>
    <w:p w14:paraId="2422DC94" w14:textId="77777777" w:rsidR="00C92AD9" w:rsidRPr="00C92AD9" w:rsidRDefault="00C92AD9" w:rsidP="00C92AD9">
      <w:pPr>
        <w:spacing w:after="0" w:line="240" w:lineRule="auto"/>
        <w:ind w:right="-93"/>
        <w:jc w:val="both"/>
        <w:rPr>
          <w:rFonts w:ascii="Arial Nova" w:hAnsi="Arial Nova" w:cs="Arial"/>
          <w:sz w:val="24"/>
          <w:szCs w:val="24"/>
        </w:rPr>
      </w:pPr>
      <w:r w:rsidRPr="00C92AD9">
        <w:rPr>
          <w:rFonts w:ascii="Arial Nova" w:hAnsi="Arial Nova" w:cs="Arial"/>
          <w:sz w:val="24"/>
          <w:szCs w:val="24"/>
        </w:rPr>
        <w:t xml:space="preserve">Por otra parte, el Alto Tribunal reflexionó que, si bien pudieren existir modificaciones legales que impacten en la titularidad de las concesiones de la empresa minera, ya que se tratan de nuevas obligaciones y limitaciones relacionadas con su operatividad, lo cierto es que éstas no modifican las condiciones esenciales de los títulos, sino las </w:t>
      </w:r>
      <w:r w:rsidRPr="00C92AD9">
        <w:rPr>
          <w:rFonts w:ascii="Arial Nova" w:hAnsi="Arial Nova" w:cs="Arial"/>
          <w:sz w:val="24"/>
          <w:szCs w:val="24"/>
        </w:rPr>
        <w:lastRenderedPageBreak/>
        <w:t xml:space="preserve">de naturaleza regulatoria cuyo contenido está determinado por el marco normativo vigente. </w:t>
      </w:r>
    </w:p>
    <w:p w14:paraId="6874F16E" w14:textId="77777777" w:rsidR="00C92AD9" w:rsidRPr="00C92AD9" w:rsidRDefault="00C92AD9" w:rsidP="00C92AD9">
      <w:pPr>
        <w:spacing w:after="0" w:line="240" w:lineRule="auto"/>
        <w:ind w:right="-93"/>
        <w:jc w:val="both"/>
        <w:rPr>
          <w:rFonts w:ascii="Arial Nova" w:hAnsi="Arial Nova" w:cs="Arial"/>
          <w:sz w:val="24"/>
          <w:szCs w:val="24"/>
        </w:rPr>
      </w:pPr>
    </w:p>
    <w:p w14:paraId="695EF6BB" w14:textId="77777777" w:rsidR="00C92AD9" w:rsidRPr="00C92AD9" w:rsidRDefault="00C92AD9" w:rsidP="00C92AD9">
      <w:pPr>
        <w:spacing w:after="0" w:line="240" w:lineRule="auto"/>
        <w:ind w:right="-93"/>
        <w:jc w:val="both"/>
        <w:rPr>
          <w:rFonts w:ascii="Arial Nova" w:hAnsi="Arial Nova" w:cs="Arial"/>
          <w:sz w:val="24"/>
          <w:szCs w:val="24"/>
        </w:rPr>
      </w:pPr>
      <w:r w:rsidRPr="00C92AD9">
        <w:rPr>
          <w:rFonts w:ascii="Arial Nova" w:hAnsi="Arial Nova" w:cs="Arial"/>
          <w:sz w:val="24"/>
          <w:szCs w:val="24"/>
        </w:rPr>
        <w:t>Finalmente, la Primera Sala reconoció la constitucionalidad del artículo 27, fracción XVI de la Ley de Minería que impone la obligación de entregar a la Secretaría de Economía los minerales extraídos que no estén especificados en el título de concesión. Asimismo, reconoció que el legislador federal puede definir en la ley restricciones generales sobre las zonas en que se permite o prohíbe el desarrollo de actividades extractivas, o condiciones para el uso de aguas derivadas del laboreo, sin que ello implique una invasión a la facultad reglamentaria del Ejecutivo.</w:t>
      </w:r>
    </w:p>
    <w:p w14:paraId="7B2C41BE" w14:textId="77777777" w:rsidR="00C92AD9" w:rsidRPr="00C92AD9" w:rsidRDefault="00C92AD9" w:rsidP="00C92AD9">
      <w:pPr>
        <w:spacing w:after="0" w:line="240" w:lineRule="auto"/>
        <w:ind w:right="-93"/>
        <w:jc w:val="both"/>
        <w:rPr>
          <w:rFonts w:ascii="Arial Nova" w:hAnsi="Arial Nova" w:cs="Arial"/>
          <w:sz w:val="24"/>
          <w:szCs w:val="24"/>
        </w:rPr>
      </w:pPr>
    </w:p>
    <w:p w14:paraId="6BE2FFBF" w14:textId="77777777" w:rsidR="00C92AD9" w:rsidRPr="00C92AD9" w:rsidRDefault="00C92AD9" w:rsidP="00C92AD9">
      <w:pPr>
        <w:spacing w:after="0" w:line="240" w:lineRule="auto"/>
        <w:ind w:right="-93"/>
        <w:jc w:val="both"/>
        <w:rPr>
          <w:rFonts w:ascii="Arial Nova" w:hAnsi="Arial Nova" w:cs="Arial"/>
          <w:sz w:val="24"/>
          <w:szCs w:val="24"/>
        </w:rPr>
      </w:pPr>
      <w:r w:rsidRPr="00C92AD9">
        <w:rPr>
          <w:rFonts w:ascii="Arial Nova" w:hAnsi="Arial Nova" w:cs="Arial"/>
          <w:sz w:val="24"/>
          <w:szCs w:val="24"/>
        </w:rPr>
        <w:t xml:space="preserve">Con base en estas razones, la Primera Sala negó el amparo a la empresa quejosa. </w:t>
      </w:r>
    </w:p>
    <w:p w14:paraId="6BDB2CF8" w14:textId="77777777" w:rsidR="00971B6B" w:rsidRPr="00225791" w:rsidRDefault="00971B6B" w:rsidP="000677FB">
      <w:pPr>
        <w:spacing w:after="0" w:line="240" w:lineRule="auto"/>
        <w:jc w:val="both"/>
        <w:rPr>
          <w:rFonts w:ascii="Arial" w:hAnsi="Arial" w:cs="Arial"/>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0FF5A1CE" w14:textId="2E3AFEC0" w:rsidR="005268C6" w:rsidRDefault="00275EB5" w:rsidP="005268C6">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971B6B">
        <w:rPr>
          <w:rFonts w:ascii="Arial Nova" w:hAnsi="Arial Nova" w:cs="Times New Roman"/>
          <w:sz w:val="24"/>
          <w:szCs w:val="24"/>
        </w:rPr>
        <w:t xml:space="preserve">25 </w:t>
      </w:r>
      <w:r w:rsidR="00351921">
        <w:rPr>
          <w:rFonts w:ascii="Arial Nova" w:hAnsi="Arial Nova" w:cs="Times New Roman"/>
          <w:sz w:val="24"/>
          <w:szCs w:val="24"/>
        </w:rPr>
        <w:t xml:space="preserve">de junio </w:t>
      </w:r>
      <w:r w:rsidR="00AD147A">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por</w:t>
      </w:r>
      <w:r w:rsidR="00351921">
        <w:rPr>
          <w:rFonts w:ascii="Arial Nova" w:hAnsi="Arial Nova" w:cs="Times New Roman"/>
          <w:sz w:val="24"/>
          <w:szCs w:val="24"/>
        </w:rPr>
        <w:t xml:space="preserve"> </w:t>
      </w:r>
      <w:r w:rsidR="001E5A3C">
        <w:rPr>
          <w:rFonts w:ascii="Arial Nova" w:hAnsi="Arial Nova" w:cs="Times New Roman"/>
          <w:sz w:val="24"/>
          <w:szCs w:val="24"/>
        </w:rPr>
        <w:t xml:space="preserve">mayoría de </w:t>
      </w:r>
      <w:r w:rsidR="000103E8">
        <w:rPr>
          <w:rFonts w:ascii="Arial Nova" w:hAnsi="Arial Nova" w:cs="Times New Roman"/>
          <w:sz w:val="24"/>
          <w:szCs w:val="24"/>
        </w:rPr>
        <w:t xml:space="preserve">tres votos </w:t>
      </w:r>
      <w:r w:rsidR="00351921">
        <w:rPr>
          <w:rFonts w:ascii="Arial Nova" w:hAnsi="Arial Nova" w:cs="Times New Roman"/>
          <w:sz w:val="24"/>
          <w:szCs w:val="24"/>
        </w:rPr>
        <w:t>de la</w:t>
      </w:r>
      <w:r w:rsidR="00971B6B">
        <w:rPr>
          <w:rFonts w:ascii="Arial Nova" w:hAnsi="Arial Nova" w:cs="Times New Roman"/>
          <w:sz w:val="24"/>
          <w:szCs w:val="24"/>
        </w:rPr>
        <w:t xml:space="preserve">s Señoras Ministras </w:t>
      </w:r>
      <w:r w:rsidR="00351921">
        <w:rPr>
          <w:rFonts w:ascii="Arial Nova" w:hAnsi="Arial Nova" w:cs="Times New Roman"/>
          <w:sz w:val="24"/>
          <w:szCs w:val="24"/>
        </w:rPr>
        <w:t>Ana Margarita Ríos Farjat</w:t>
      </w:r>
      <w:r w:rsidR="00971B6B">
        <w:rPr>
          <w:rFonts w:ascii="Arial Nova" w:hAnsi="Arial Nova" w:cs="Times New Roman"/>
          <w:sz w:val="24"/>
          <w:szCs w:val="24"/>
        </w:rPr>
        <w:t xml:space="preserve"> y Loretta Ortiz Ahlf (Presidenta)</w:t>
      </w:r>
      <w:r w:rsidR="00EE0AC2" w:rsidRPr="00EE0AC2">
        <w:rPr>
          <w:rFonts w:ascii="Arial Nova" w:hAnsi="Arial Nova" w:cs="Times New Roman"/>
          <w:sz w:val="24"/>
          <w:szCs w:val="24"/>
        </w:rPr>
        <w:t>, quien está con el sentido, pero contra consideraciones</w:t>
      </w:r>
      <w:r w:rsidR="000677FB">
        <w:rPr>
          <w:rFonts w:ascii="Arial Nova" w:hAnsi="Arial Nova" w:cs="Times New Roman"/>
          <w:sz w:val="24"/>
          <w:szCs w:val="24"/>
        </w:rPr>
        <w:t>, así como</w:t>
      </w:r>
      <w:r w:rsidR="000103E8">
        <w:rPr>
          <w:rFonts w:ascii="Arial Nova" w:hAnsi="Arial Nova" w:cs="Times New Roman"/>
          <w:sz w:val="24"/>
          <w:szCs w:val="24"/>
        </w:rPr>
        <w:t xml:space="preserve"> </w:t>
      </w:r>
      <w:r w:rsidR="00C92AD9">
        <w:rPr>
          <w:rFonts w:ascii="Arial Nova" w:hAnsi="Arial Nova" w:cs="Times New Roman"/>
          <w:sz w:val="24"/>
          <w:szCs w:val="24"/>
        </w:rPr>
        <w:t>d</w:t>
      </w:r>
      <w:r w:rsidR="000103E8">
        <w:rPr>
          <w:rFonts w:ascii="Arial Nova" w:hAnsi="Arial Nova" w:cs="Times New Roman"/>
          <w:sz w:val="24"/>
          <w:szCs w:val="24"/>
        </w:rPr>
        <w:t>el</w:t>
      </w:r>
      <w:r w:rsidR="00C92AD9">
        <w:rPr>
          <w:rFonts w:ascii="Arial Nova" w:hAnsi="Arial Nova" w:cs="Times New Roman"/>
          <w:sz w:val="24"/>
          <w:szCs w:val="24"/>
        </w:rPr>
        <w:t xml:space="preserve"> </w:t>
      </w:r>
      <w:r w:rsidR="000103E8">
        <w:rPr>
          <w:rFonts w:ascii="Arial Nova" w:hAnsi="Arial Nova" w:cs="Times New Roman"/>
          <w:sz w:val="24"/>
          <w:szCs w:val="24"/>
        </w:rPr>
        <w:t>Ministro Jorge Mario Pardo Rebolledo</w:t>
      </w:r>
      <w:r w:rsidR="005268C6">
        <w:rPr>
          <w:rFonts w:ascii="Arial Nova" w:hAnsi="Arial Nova" w:cs="Times New Roman"/>
          <w:sz w:val="24"/>
          <w:szCs w:val="24"/>
        </w:rPr>
        <w:t>. En contra de</w:t>
      </w:r>
      <w:r w:rsidR="00C92AD9">
        <w:rPr>
          <w:rFonts w:ascii="Arial Nova" w:hAnsi="Arial Nova" w:cs="Times New Roman"/>
          <w:sz w:val="24"/>
          <w:szCs w:val="24"/>
        </w:rPr>
        <w:t xml:space="preserve"> los</w:t>
      </w:r>
      <w:r w:rsidR="005268C6">
        <w:rPr>
          <w:rFonts w:ascii="Arial Nova" w:hAnsi="Arial Nova" w:cs="Times New Roman"/>
          <w:sz w:val="24"/>
          <w:szCs w:val="24"/>
        </w:rPr>
        <w:t xml:space="preserve"> emitido</w:t>
      </w:r>
      <w:r w:rsidR="00C92AD9">
        <w:rPr>
          <w:rFonts w:ascii="Arial Nova" w:hAnsi="Arial Nova" w:cs="Times New Roman"/>
          <w:sz w:val="24"/>
          <w:szCs w:val="24"/>
        </w:rPr>
        <w:t>s</w:t>
      </w:r>
      <w:r w:rsidR="005268C6">
        <w:rPr>
          <w:rFonts w:ascii="Arial Nova" w:hAnsi="Arial Nova" w:cs="Times New Roman"/>
          <w:sz w:val="24"/>
          <w:szCs w:val="24"/>
        </w:rPr>
        <w:t xml:space="preserve"> por </w:t>
      </w:r>
      <w:r w:rsidR="000103E8">
        <w:rPr>
          <w:rFonts w:ascii="Arial Nova" w:hAnsi="Arial Nova" w:cs="Times New Roman"/>
          <w:sz w:val="24"/>
          <w:szCs w:val="24"/>
        </w:rPr>
        <w:t>los</w:t>
      </w:r>
      <w:r w:rsidR="00C92AD9">
        <w:rPr>
          <w:rFonts w:ascii="Arial Nova" w:hAnsi="Arial Nova" w:cs="Times New Roman"/>
          <w:sz w:val="24"/>
          <w:szCs w:val="24"/>
        </w:rPr>
        <w:t xml:space="preserve"> Señores</w:t>
      </w:r>
      <w:r w:rsidR="000103E8">
        <w:rPr>
          <w:rFonts w:ascii="Arial Nova" w:hAnsi="Arial Nova" w:cs="Times New Roman"/>
          <w:sz w:val="24"/>
          <w:szCs w:val="24"/>
        </w:rPr>
        <w:t xml:space="preserve"> </w:t>
      </w:r>
      <w:r w:rsidR="005268C6">
        <w:rPr>
          <w:rFonts w:ascii="Arial Nova" w:hAnsi="Arial Nova" w:cs="Times New Roman"/>
          <w:sz w:val="24"/>
          <w:szCs w:val="24"/>
        </w:rPr>
        <w:t>Ministro</w:t>
      </w:r>
      <w:r w:rsidR="000103E8">
        <w:rPr>
          <w:rFonts w:ascii="Arial Nova" w:hAnsi="Arial Nova" w:cs="Times New Roman"/>
          <w:sz w:val="24"/>
          <w:szCs w:val="24"/>
        </w:rPr>
        <w:t>s</w:t>
      </w:r>
      <w:r w:rsidR="005268C6">
        <w:rPr>
          <w:rFonts w:ascii="Arial Nova" w:hAnsi="Arial Nova" w:cs="Times New Roman"/>
          <w:sz w:val="24"/>
          <w:szCs w:val="24"/>
        </w:rPr>
        <w:t xml:space="preserve"> </w:t>
      </w:r>
      <w:r w:rsidR="00EE0AC2">
        <w:rPr>
          <w:rFonts w:ascii="Arial Nova" w:hAnsi="Arial Nova" w:cs="Times New Roman"/>
          <w:sz w:val="24"/>
          <w:szCs w:val="24"/>
        </w:rPr>
        <w:t xml:space="preserve">Alfredo Gutiérrez Ortiz Mena y </w:t>
      </w:r>
      <w:r w:rsidR="005268C6">
        <w:rPr>
          <w:rFonts w:ascii="Arial Nova" w:hAnsi="Arial Nova" w:cs="Times New Roman"/>
          <w:sz w:val="24"/>
          <w:szCs w:val="24"/>
        </w:rPr>
        <w:t>J</w:t>
      </w:r>
      <w:r w:rsidR="004140CF">
        <w:rPr>
          <w:rFonts w:ascii="Arial Nova" w:hAnsi="Arial Nova" w:cs="Times New Roman"/>
          <w:sz w:val="24"/>
          <w:szCs w:val="24"/>
        </w:rPr>
        <w:t>uan Luis González Alcántara Carrancá</w:t>
      </w:r>
      <w:r w:rsidR="00EE0AC2">
        <w:rPr>
          <w:rFonts w:ascii="Arial Nova" w:hAnsi="Arial Nova" w:cs="Times New Roman"/>
          <w:sz w:val="24"/>
          <w:szCs w:val="24"/>
        </w:rPr>
        <w:t xml:space="preserve">, </w:t>
      </w:r>
      <w:r w:rsidR="00EE0AC2" w:rsidRPr="00EE0AC2">
        <w:rPr>
          <w:rFonts w:ascii="Arial Nova" w:hAnsi="Arial Nova" w:cs="Times New Roman"/>
          <w:sz w:val="24"/>
          <w:szCs w:val="24"/>
        </w:rPr>
        <w:t>quien se reservó su derecho a formular voto particular</w:t>
      </w:r>
      <w:r w:rsidR="000103E8">
        <w:rPr>
          <w:rFonts w:ascii="Arial Nova" w:hAnsi="Arial Nova" w:cs="Times New Roman"/>
          <w:sz w:val="24"/>
          <w:szCs w:val="24"/>
        </w:rPr>
        <w:t>.</w:t>
      </w: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5D599" w14:textId="77777777" w:rsidR="00550F31" w:rsidRDefault="00550F31" w:rsidP="000A7E7B">
      <w:pPr>
        <w:spacing w:after="0" w:line="240" w:lineRule="auto"/>
      </w:pPr>
      <w:r>
        <w:separator/>
      </w:r>
    </w:p>
    <w:p w14:paraId="15602786" w14:textId="77777777" w:rsidR="00550F31" w:rsidRDefault="00550F31"/>
  </w:endnote>
  <w:endnote w:type="continuationSeparator" w:id="0">
    <w:p w14:paraId="35730EFC" w14:textId="77777777" w:rsidR="00550F31" w:rsidRDefault="00550F31" w:rsidP="000A7E7B">
      <w:pPr>
        <w:spacing w:after="0" w:line="240" w:lineRule="auto"/>
      </w:pPr>
      <w:r>
        <w:continuationSeparator/>
      </w:r>
    </w:p>
    <w:p w14:paraId="1A12A347" w14:textId="77777777" w:rsidR="00550F31" w:rsidRDefault="00550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DA81" w14:textId="77777777" w:rsidR="00550F31" w:rsidRDefault="00550F31" w:rsidP="000A7E7B">
      <w:pPr>
        <w:spacing w:after="0" w:line="240" w:lineRule="auto"/>
      </w:pPr>
      <w:r>
        <w:separator/>
      </w:r>
    </w:p>
    <w:p w14:paraId="45E235B2" w14:textId="77777777" w:rsidR="00550F31" w:rsidRDefault="00550F31"/>
  </w:footnote>
  <w:footnote w:type="continuationSeparator" w:id="0">
    <w:p w14:paraId="3E6207F7" w14:textId="77777777" w:rsidR="00550F31" w:rsidRDefault="00550F31" w:rsidP="000A7E7B">
      <w:pPr>
        <w:spacing w:after="0" w:line="240" w:lineRule="auto"/>
      </w:pPr>
      <w:r>
        <w:continuationSeparator/>
      </w:r>
    </w:p>
    <w:p w14:paraId="51D86306" w14:textId="77777777" w:rsidR="00550F31" w:rsidRDefault="00550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F2AEDDD"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0103E8">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REVISIÓN </w:t>
    </w:r>
    <w:r w:rsidR="000103E8">
      <w:rPr>
        <w:rFonts w:ascii="Arial Nova" w:hAnsi="Arial Nova" w:cs="Times New Roman"/>
        <w:b/>
        <w:bCs/>
        <w:color w:val="002060"/>
        <w:sz w:val="20"/>
        <w:szCs w:val="20"/>
      </w:rPr>
      <w:t>391</w:t>
    </w:r>
    <w:r w:rsidRPr="00046D48">
      <w:rPr>
        <w:rFonts w:ascii="Arial Nova" w:hAnsi="Arial Nova" w:cs="Times New Roman"/>
        <w:b/>
        <w:bCs/>
        <w:color w:val="002060"/>
        <w:sz w:val="20"/>
        <w:szCs w:val="20"/>
      </w:rPr>
      <w:t>/202</w:t>
    </w:r>
    <w:r w:rsidR="00811FF1">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03E8"/>
    <w:rsid w:val="00012771"/>
    <w:rsid w:val="00023E29"/>
    <w:rsid w:val="00024AF3"/>
    <w:rsid w:val="00026C6C"/>
    <w:rsid w:val="0003067F"/>
    <w:rsid w:val="00037474"/>
    <w:rsid w:val="0004681E"/>
    <w:rsid w:val="00046D48"/>
    <w:rsid w:val="000474D9"/>
    <w:rsid w:val="000614E2"/>
    <w:rsid w:val="00061DB9"/>
    <w:rsid w:val="000643FD"/>
    <w:rsid w:val="000677FB"/>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200D"/>
    <w:rsid w:val="000F495F"/>
    <w:rsid w:val="000F4B2E"/>
    <w:rsid w:val="000F7B3E"/>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0B"/>
    <w:rsid w:val="00165F78"/>
    <w:rsid w:val="00166644"/>
    <w:rsid w:val="00171E1E"/>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5A3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1B37"/>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35E96"/>
    <w:rsid w:val="00340154"/>
    <w:rsid w:val="00340F79"/>
    <w:rsid w:val="00344062"/>
    <w:rsid w:val="00344F45"/>
    <w:rsid w:val="003456DC"/>
    <w:rsid w:val="003464B8"/>
    <w:rsid w:val="003468DB"/>
    <w:rsid w:val="00346BA5"/>
    <w:rsid w:val="00346BA6"/>
    <w:rsid w:val="00351921"/>
    <w:rsid w:val="00354BF0"/>
    <w:rsid w:val="003649F3"/>
    <w:rsid w:val="00366734"/>
    <w:rsid w:val="00366748"/>
    <w:rsid w:val="00371568"/>
    <w:rsid w:val="00376697"/>
    <w:rsid w:val="003815E4"/>
    <w:rsid w:val="003826D1"/>
    <w:rsid w:val="0038311F"/>
    <w:rsid w:val="00385DE5"/>
    <w:rsid w:val="00392EB3"/>
    <w:rsid w:val="00394C47"/>
    <w:rsid w:val="003A12E0"/>
    <w:rsid w:val="003A4A72"/>
    <w:rsid w:val="003A65FD"/>
    <w:rsid w:val="003A672A"/>
    <w:rsid w:val="003B0C5A"/>
    <w:rsid w:val="003B291A"/>
    <w:rsid w:val="003B33AE"/>
    <w:rsid w:val="003B515C"/>
    <w:rsid w:val="003B55DB"/>
    <w:rsid w:val="003B6A72"/>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0CF"/>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07880"/>
    <w:rsid w:val="00510D4F"/>
    <w:rsid w:val="0051268B"/>
    <w:rsid w:val="005131ED"/>
    <w:rsid w:val="005268C6"/>
    <w:rsid w:val="00526AE0"/>
    <w:rsid w:val="00526F66"/>
    <w:rsid w:val="00527634"/>
    <w:rsid w:val="00532133"/>
    <w:rsid w:val="0053735F"/>
    <w:rsid w:val="00537B76"/>
    <w:rsid w:val="00544056"/>
    <w:rsid w:val="00550F31"/>
    <w:rsid w:val="0055469E"/>
    <w:rsid w:val="00554BB3"/>
    <w:rsid w:val="00554CAF"/>
    <w:rsid w:val="005552DB"/>
    <w:rsid w:val="00564FF0"/>
    <w:rsid w:val="005651E4"/>
    <w:rsid w:val="005723A9"/>
    <w:rsid w:val="0057274B"/>
    <w:rsid w:val="00577488"/>
    <w:rsid w:val="00581762"/>
    <w:rsid w:val="00583C0F"/>
    <w:rsid w:val="00584C2F"/>
    <w:rsid w:val="00587CCA"/>
    <w:rsid w:val="00593D25"/>
    <w:rsid w:val="005962C5"/>
    <w:rsid w:val="005A31A2"/>
    <w:rsid w:val="005A400D"/>
    <w:rsid w:val="005A4594"/>
    <w:rsid w:val="005A5B10"/>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5F799E"/>
    <w:rsid w:val="006113BD"/>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94D6B"/>
    <w:rsid w:val="00697320"/>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06FC"/>
    <w:rsid w:val="00715D38"/>
    <w:rsid w:val="007205CE"/>
    <w:rsid w:val="0072107B"/>
    <w:rsid w:val="00724420"/>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D500D"/>
    <w:rsid w:val="007D5D5D"/>
    <w:rsid w:val="007E0D02"/>
    <w:rsid w:val="007E2277"/>
    <w:rsid w:val="007E67CA"/>
    <w:rsid w:val="007F270C"/>
    <w:rsid w:val="007F3616"/>
    <w:rsid w:val="008072BD"/>
    <w:rsid w:val="008109A5"/>
    <w:rsid w:val="00811FF1"/>
    <w:rsid w:val="00813028"/>
    <w:rsid w:val="008134BE"/>
    <w:rsid w:val="00822BE2"/>
    <w:rsid w:val="00823513"/>
    <w:rsid w:val="0082358F"/>
    <w:rsid w:val="00825464"/>
    <w:rsid w:val="0083209E"/>
    <w:rsid w:val="00832148"/>
    <w:rsid w:val="00833EEB"/>
    <w:rsid w:val="00840553"/>
    <w:rsid w:val="00844CB0"/>
    <w:rsid w:val="00845044"/>
    <w:rsid w:val="00847F6F"/>
    <w:rsid w:val="00850179"/>
    <w:rsid w:val="00852527"/>
    <w:rsid w:val="00853441"/>
    <w:rsid w:val="00853CD4"/>
    <w:rsid w:val="008569CF"/>
    <w:rsid w:val="008571D1"/>
    <w:rsid w:val="00860478"/>
    <w:rsid w:val="008605FA"/>
    <w:rsid w:val="00861745"/>
    <w:rsid w:val="0086190B"/>
    <w:rsid w:val="008624B5"/>
    <w:rsid w:val="00862BA9"/>
    <w:rsid w:val="00864424"/>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8F7BA5"/>
    <w:rsid w:val="00900489"/>
    <w:rsid w:val="0090105E"/>
    <w:rsid w:val="009116D9"/>
    <w:rsid w:val="009143E0"/>
    <w:rsid w:val="00914C03"/>
    <w:rsid w:val="00914DF2"/>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71B6B"/>
    <w:rsid w:val="009726A6"/>
    <w:rsid w:val="00981254"/>
    <w:rsid w:val="00983C16"/>
    <w:rsid w:val="00985B95"/>
    <w:rsid w:val="00986832"/>
    <w:rsid w:val="00987B58"/>
    <w:rsid w:val="00994661"/>
    <w:rsid w:val="009A7F2E"/>
    <w:rsid w:val="009B0BCE"/>
    <w:rsid w:val="009B4895"/>
    <w:rsid w:val="009C12DD"/>
    <w:rsid w:val="009C33C3"/>
    <w:rsid w:val="009C6C48"/>
    <w:rsid w:val="009D0A51"/>
    <w:rsid w:val="009D4D4F"/>
    <w:rsid w:val="009E1DB0"/>
    <w:rsid w:val="009E501E"/>
    <w:rsid w:val="009F092B"/>
    <w:rsid w:val="009F435E"/>
    <w:rsid w:val="009F4797"/>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3715"/>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0E4C"/>
    <w:rsid w:val="00BB599F"/>
    <w:rsid w:val="00BB72CB"/>
    <w:rsid w:val="00BC3D1C"/>
    <w:rsid w:val="00BC5F30"/>
    <w:rsid w:val="00BC6626"/>
    <w:rsid w:val="00BD416C"/>
    <w:rsid w:val="00BD45D2"/>
    <w:rsid w:val="00BE0015"/>
    <w:rsid w:val="00BF1DA1"/>
    <w:rsid w:val="00BF2C87"/>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55FD"/>
    <w:rsid w:val="00C2651E"/>
    <w:rsid w:val="00C31F7D"/>
    <w:rsid w:val="00C3799D"/>
    <w:rsid w:val="00C40192"/>
    <w:rsid w:val="00C406C9"/>
    <w:rsid w:val="00C40B5E"/>
    <w:rsid w:val="00C410B5"/>
    <w:rsid w:val="00C41125"/>
    <w:rsid w:val="00C42B98"/>
    <w:rsid w:val="00C4629A"/>
    <w:rsid w:val="00C5383F"/>
    <w:rsid w:val="00C5555C"/>
    <w:rsid w:val="00C6021D"/>
    <w:rsid w:val="00C61315"/>
    <w:rsid w:val="00C62218"/>
    <w:rsid w:val="00C6376D"/>
    <w:rsid w:val="00C64F82"/>
    <w:rsid w:val="00C67B64"/>
    <w:rsid w:val="00C73136"/>
    <w:rsid w:val="00C74B44"/>
    <w:rsid w:val="00C80819"/>
    <w:rsid w:val="00C835B2"/>
    <w:rsid w:val="00C86185"/>
    <w:rsid w:val="00C87D99"/>
    <w:rsid w:val="00C92AD9"/>
    <w:rsid w:val="00C94C16"/>
    <w:rsid w:val="00C97793"/>
    <w:rsid w:val="00CA3F75"/>
    <w:rsid w:val="00CA5857"/>
    <w:rsid w:val="00CB1829"/>
    <w:rsid w:val="00CC5293"/>
    <w:rsid w:val="00CD3037"/>
    <w:rsid w:val="00CE0FA8"/>
    <w:rsid w:val="00CE21AD"/>
    <w:rsid w:val="00CE3DB1"/>
    <w:rsid w:val="00CF0739"/>
    <w:rsid w:val="00CF3121"/>
    <w:rsid w:val="00CF32FA"/>
    <w:rsid w:val="00D04554"/>
    <w:rsid w:val="00D07037"/>
    <w:rsid w:val="00D0720D"/>
    <w:rsid w:val="00D117AE"/>
    <w:rsid w:val="00D12F06"/>
    <w:rsid w:val="00D13DF3"/>
    <w:rsid w:val="00D15CBD"/>
    <w:rsid w:val="00D15E94"/>
    <w:rsid w:val="00D21321"/>
    <w:rsid w:val="00D22676"/>
    <w:rsid w:val="00D24FC6"/>
    <w:rsid w:val="00D26ADB"/>
    <w:rsid w:val="00D30C2E"/>
    <w:rsid w:val="00D3329A"/>
    <w:rsid w:val="00D4428F"/>
    <w:rsid w:val="00D53F2F"/>
    <w:rsid w:val="00D54F58"/>
    <w:rsid w:val="00D57F0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4E52"/>
    <w:rsid w:val="00DE10B5"/>
    <w:rsid w:val="00DE602D"/>
    <w:rsid w:val="00DE73C5"/>
    <w:rsid w:val="00DF2818"/>
    <w:rsid w:val="00DF4D69"/>
    <w:rsid w:val="00DF65FC"/>
    <w:rsid w:val="00DF7C53"/>
    <w:rsid w:val="00E00285"/>
    <w:rsid w:val="00E00A82"/>
    <w:rsid w:val="00E063E6"/>
    <w:rsid w:val="00E170FF"/>
    <w:rsid w:val="00E20849"/>
    <w:rsid w:val="00E22045"/>
    <w:rsid w:val="00E229FD"/>
    <w:rsid w:val="00E260E5"/>
    <w:rsid w:val="00E31613"/>
    <w:rsid w:val="00E318A5"/>
    <w:rsid w:val="00E32435"/>
    <w:rsid w:val="00E36FDF"/>
    <w:rsid w:val="00E4259F"/>
    <w:rsid w:val="00E43657"/>
    <w:rsid w:val="00E5127E"/>
    <w:rsid w:val="00E54537"/>
    <w:rsid w:val="00E5503D"/>
    <w:rsid w:val="00E56834"/>
    <w:rsid w:val="00E63D4C"/>
    <w:rsid w:val="00E66BE7"/>
    <w:rsid w:val="00E679F9"/>
    <w:rsid w:val="00E709FE"/>
    <w:rsid w:val="00E74C42"/>
    <w:rsid w:val="00E7637B"/>
    <w:rsid w:val="00E801E6"/>
    <w:rsid w:val="00E82C31"/>
    <w:rsid w:val="00E8579E"/>
    <w:rsid w:val="00E86062"/>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AC2"/>
    <w:rsid w:val="00EE0C59"/>
    <w:rsid w:val="00EE467D"/>
    <w:rsid w:val="00EE4BFA"/>
    <w:rsid w:val="00EE6951"/>
    <w:rsid w:val="00EF05B6"/>
    <w:rsid w:val="00EF0CE8"/>
    <w:rsid w:val="00EF13D7"/>
    <w:rsid w:val="00EF3782"/>
    <w:rsid w:val="00EF3BAF"/>
    <w:rsid w:val="00EF6025"/>
    <w:rsid w:val="00EF6F1F"/>
    <w:rsid w:val="00EF76CD"/>
    <w:rsid w:val="00F006FC"/>
    <w:rsid w:val="00F05ADF"/>
    <w:rsid w:val="00F0636B"/>
    <w:rsid w:val="00F06486"/>
    <w:rsid w:val="00F07929"/>
    <w:rsid w:val="00F11871"/>
    <w:rsid w:val="00F120DC"/>
    <w:rsid w:val="00F1546D"/>
    <w:rsid w:val="00F16BCE"/>
    <w:rsid w:val="00F172CF"/>
    <w:rsid w:val="00F22959"/>
    <w:rsid w:val="00F318BB"/>
    <w:rsid w:val="00F34564"/>
    <w:rsid w:val="00F35270"/>
    <w:rsid w:val="00F3635A"/>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B603A"/>
    <w:rsid w:val="00FC260E"/>
    <w:rsid w:val="00FC5FE5"/>
    <w:rsid w:val="00FD1F2A"/>
    <w:rsid w:val="00FD1F6E"/>
    <w:rsid w:val="00FD4D76"/>
    <w:rsid w:val="00FD601F"/>
    <w:rsid w:val="00FD6F7C"/>
    <w:rsid w:val="00FD7E8E"/>
    <w:rsid w:val="00FE0FF1"/>
    <w:rsid w:val="00FE441F"/>
    <w:rsid w:val="00FE7FDA"/>
    <w:rsid w:val="00FF2C98"/>
    <w:rsid w:val="00FF327E"/>
    <w:rsid w:val="00FF653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Lista vistosa - Énfasis 11,Cuadrícula clara - Énfasis 31,TEXTO GENERAL SENTENCIAS,Trascripción,Párrafo de lista2,Lista multicolor - Énfasis 11,Dot pt,lp1,D"/>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paragraph" w:customStyle="1" w:styleId="corte2ponente">
    <w:name w:val="corte2 ponente"/>
    <w:basedOn w:val="Normal"/>
    <w:link w:val="corte2ponenteCar"/>
    <w:qFormat/>
    <w:rsid w:val="009F4797"/>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locked/>
    <w:rsid w:val="009F4797"/>
    <w:rPr>
      <w:rFonts w:ascii="Arial" w:eastAsia="Times New Roman" w:hAnsi="Arial" w:cs="Times New Roman"/>
      <w:b/>
      <w:caps/>
      <w:sz w:val="30"/>
      <w:szCs w:val="20"/>
      <w:lang w:eastAsia="es-MX"/>
    </w:rPr>
  </w:style>
  <w:style w:type="character" w:customStyle="1" w:styleId="PrrafodelistaCar">
    <w:name w:val="Párrafo de lista Car"/>
    <w:aliases w:val="Cita texto Car,Footnote Car,Párrafo de lista1 Car,List Paragraph1 Car,Colorful List - Accent 11 Car,Lista vistosa - Énfasis 11 Car,Cuadrícula clara - Énfasis 31 Car,TEXTO GENERAL SENTENCIAS Car,Trascripción Car,Párrafo de lista2 Car"/>
    <w:link w:val="Prrafodelista"/>
    <w:uiPriority w:val="34"/>
    <w:qFormat/>
    <w:locked/>
    <w:rsid w:val="0081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253176223">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40737364">
      <w:bodyDiv w:val="1"/>
      <w:marLeft w:val="0"/>
      <w:marRight w:val="0"/>
      <w:marTop w:val="0"/>
      <w:marBottom w:val="0"/>
      <w:divBdr>
        <w:top w:val="none" w:sz="0" w:space="0" w:color="auto"/>
        <w:left w:val="none" w:sz="0" w:space="0" w:color="auto"/>
        <w:bottom w:val="none" w:sz="0" w:space="0" w:color="auto"/>
        <w:right w:val="none" w:sz="0" w:space="0" w:color="auto"/>
      </w:divBdr>
    </w:div>
    <w:div w:id="520507374">
      <w:bodyDiv w:val="1"/>
      <w:marLeft w:val="0"/>
      <w:marRight w:val="0"/>
      <w:marTop w:val="0"/>
      <w:marBottom w:val="0"/>
      <w:divBdr>
        <w:top w:val="none" w:sz="0" w:space="0" w:color="auto"/>
        <w:left w:val="none" w:sz="0" w:space="0" w:color="auto"/>
        <w:bottom w:val="none" w:sz="0" w:space="0" w:color="auto"/>
        <w:right w:val="none" w:sz="0" w:space="0" w:color="auto"/>
      </w:divBdr>
    </w:div>
    <w:div w:id="632637105">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195537443">
      <w:bodyDiv w:val="1"/>
      <w:marLeft w:val="0"/>
      <w:marRight w:val="0"/>
      <w:marTop w:val="0"/>
      <w:marBottom w:val="0"/>
      <w:divBdr>
        <w:top w:val="none" w:sz="0" w:space="0" w:color="auto"/>
        <w:left w:val="none" w:sz="0" w:space="0" w:color="auto"/>
        <w:bottom w:val="none" w:sz="0" w:space="0" w:color="auto"/>
        <w:right w:val="none" w:sz="0" w:space="0" w:color="auto"/>
      </w:divBdr>
    </w:div>
    <w:div w:id="1383754844">
      <w:bodyDiv w:val="1"/>
      <w:marLeft w:val="0"/>
      <w:marRight w:val="0"/>
      <w:marTop w:val="0"/>
      <w:marBottom w:val="0"/>
      <w:divBdr>
        <w:top w:val="none" w:sz="0" w:space="0" w:color="auto"/>
        <w:left w:val="none" w:sz="0" w:space="0" w:color="auto"/>
        <w:bottom w:val="none" w:sz="0" w:space="0" w:color="auto"/>
        <w:right w:val="none" w:sz="0" w:space="0" w:color="auto"/>
      </w:divBdr>
    </w:div>
    <w:div w:id="1556114944">
      <w:bodyDiv w:val="1"/>
      <w:marLeft w:val="0"/>
      <w:marRight w:val="0"/>
      <w:marTop w:val="0"/>
      <w:marBottom w:val="0"/>
      <w:divBdr>
        <w:top w:val="none" w:sz="0" w:space="0" w:color="auto"/>
        <w:left w:val="none" w:sz="0" w:space="0" w:color="auto"/>
        <w:bottom w:val="none" w:sz="0" w:space="0" w:color="auto"/>
        <w:right w:val="none" w:sz="0" w:space="0" w:color="auto"/>
      </w:divBdr>
    </w:div>
    <w:div w:id="1621062708">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1873027943">
      <w:bodyDiv w:val="1"/>
      <w:marLeft w:val="0"/>
      <w:marRight w:val="0"/>
      <w:marTop w:val="0"/>
      <w:marBottom w:val="0"/>
      <w:divBdr>
        <w:top w:val="none" w:sz="0" w:space="0" w:color="auto"/>
        <w:left w:val="none" w:sz="0" w:space="0" w:color="auto"/>
        <w:bottom w:val="none" w:sz="0" w:space="0" w:color="auto"/>
        <w:right w:val="none" w:sz="0" w:space="0" w:color="auto"/>
      </w:divBdr>
    </w:div>
    <w:div w:id="19111138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Pages>
  <Words>1058</Words>
  <Characters>5665</Characters>
  <Application>Microsoft Office Word</Application>
  <DocSecurity>0</DocSecurity>
  <Lines>106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56</cp:revision>
  <cp:lastPrinted>2021-06-08T20:16:00Z</cp:lastPrinted>
  <dcterms:created xsi:type="dcterms:W3CDTF">2023-04-28T00:15:00Z</dcterms:created>
  <dcterms:modified xsi:type="dcterms:W3CDTF">2025-07-08T20:28:00Z</dcterms:modified>
</cp:coreProperties>
</file>