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122C5AE9" w:rsidR="00EE029D" w:rsidRPr="00046D48" w:rsidRDefault="006460E9"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PERMISOS EN MATERIA DE HIDROCARBUROS. SU REVOCACIÓN POR FALTA DE GARANTÍAS O SEGUROS VIGENTES NO </w:t>
      </w:r>
      <w:r w:rsidRPr="00193C22">
        <w:rPr>
          <w:rFonts w:ascii="Arial Nova" w:hAnsi="Arial Nova" w:cs="Times New Roman"/>
          <w:b/>
          <w:bCs/>
          <w:smallCaps/>
          <w:color w:val="002060"/>
        </w:rPr>
        <w:t xml:space="preserve">CONSTITUYE UNA SANCIÓN NI UNA PENA INUSITADA, SINO UNA CONSECUENCIA JURÍDICA POR INCUMPLIMIENTO DE UN REQUISITO ESENCIAL PARA </w:t>
      </w:r>
      <w:r w:rsidR="00A81A03">
        <w:rPr>
          <w:rFonts w:ascii="Arial Nova" w:hAnsi="Arial Nova" w:cs="Times New Roman"/>
          <w:b/>
          <w:bCs/>
          <w:smallCaps/>
          <w:color w:val="002060"/>
        </w:rPr>
        <w:t>SU</w:t>
      </w:r>
      <w:r w:rsidR="00A81A03" w:rsidRPr="00193C22">
        <w:rPr>
          <w:rFonts w:ascii="Arial Nova" w:hAnsi="Arial Nova" w:cs="Times New Roman"/>
          <w:b/>
          <w:bCs/>
          <w:smallCaps/>
          <w:color w:val="002060"/>
        </w:rPr>
        <w:t xml:space="preserve"> </w:t>
      </w:r>
      <w:r w:rsidRPr="00193C22">
        <w:rPr>
          <w:rFonts w:ascii="Arial Nova" w:hAnsi="Arial Nova" w:cs="Times New Roman"/>
          <w:b/>
          <w:bCs/>
          <w:smallCaps/>
          <w:color w:val="002060"/>
        </w:rPr>
        <w:t>OTORGAMIENTO Y CONSERVACIÓN</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0CF1D0EF" w:rsidR="00046D48" w:rsidRPr="004C2D17" w:rsidRDefault="00046D48" w:rsidP="00D22676">
      <w:pPr>
        <w:spacing w:after="0" w:line="240" w:lineRule="auto"/>
        <w:jc w:val="both"/>
        <w:rPr>
          <w:rFonts w:ascii="Arial Nova" w:hAnsi="Arial Nova" w:cs="Times New Roman"/>
          <w:sz w:val="18"/>
          <w:szCs w:val="18"/>
        </w:rPr>
      </w:pPr>
    </w:p>
    <w:p w14:paraId="3D6CDE51" w14:textId="175F32E7" w:rsidR="00832148" w:rsidRPr="001624A8" w:rsidRDefault="000018A2" w:rsidP="00B7159C">
      <w:pPr>
        <w:shd w:val="clear" w:color="auto" w:fill="EDEDED" w:themeFill="accent3" w:themeFillTint="33"/>
        <w:spacing w:after="0" w:line="240" w:lineRule="auto"/>
        <w:ind w:left="4111"/>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Pone</w:t>
      </w:r>
      <w:r w:rsidR="00B01B3B">
        <w:rPr>
          <w:rFonts w:ascii="Arial Nova" w:hAnsi="Arial Nova" w:cs="Times New Roman"/>
          <w:b/>
          <w:bCs/>
          <w:smallCaps/>
          <w:color w:val="002060"/>
        </w:rPr>
        <w:t>nte:</w:t>
      </w:r>
      <w:r w:rsidR="00C062AB">
        <w:rPr>
          <w:rFonts w:ascii="Arial Nova" w:hAnsi="Arial Nova" w:cs="Times New Roman"/>
          <w:b/>
          <w:bCs/>
          <w:smallCaps/>
          <w:color w:val="002060"/>
        </w:rPr>
        <w:t xml:space="preserve"> Ministr</w:t>
      </w:r>
      <w:r w:rsidR="00137582">
        <w:rPr>
          <w:rFonts w:ascii="Arial Nova" w:hAnsi="Arial Nova" w:cs="Times New Roman"/>
          <w:b/>
          <w:bCs/>
          <w:smallCaps/>
          <w:color w:val="002060"/>
        </w:rPr>
        <w:t>a Loretta Ortiz Ahlf</w:t>
      </w:r>
      <w:r w:rsidR="00B92B45" w:rsidRPr="001624A8">
        <w:rPr>
          <w:rFonts w:ascii="Arial Nova" w:hAnsi="Arial Nova" w:cs="Times New Roman"/>
          <w:smallCaps/>
          <w:color w:val="002060"/>
        </w:rPr>
        <w:t>.</w:t>
      </w:r>
    </w:p>
    <w:p w14:paraId="3BFF6263" w14:textId="6FF283AE" w:rsidR="008A5DC5" w:rsidRDefault="000018A2" w:rsidP="00B7159C">
      <w:pPr>
        <w:shd w:val="clear" w:color="auto" w:fill="EDEDED" w:themeFill="accent3" w:themeFillTint="33"/>
        <w:spacing w:after="0" w:line="240" w:lineRule="auto"/>
        <w:ind w:left="4111"/>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137582">
        <w:rPr>
          <w:rFonts w:ascii="Arial Nova" w:hAnsi="Arial Nova" w:cs="Times New Roman"/>
          <w:smallCaps/>
          <w:color w:val="002060"/>
        </w:rPr>
        <w:t>o:</w:t>
      </w:r>
      <w:r w:rsidR="0074730F">
        <w:rPr>
          <w:rFonts w:ascii="Arial Nova" w:hAnsi="Arial Nova" w:cs="Times New Roman"/>
          <w:smallCaps/>
          <w:color w:val="002060"/>
        </w:rPr>
        <w:t xml:space="preserve"> Carlos Iván Velasco Domínguez</w:t>
      </w:r>
      <w:r w:rsidR="00DF17A6">
        <w:rPr>
          <w:rFonts w:ascii="Arial Nova" w:hAnsi="Arial Nova" w:cs="Times New Roman"/>
          <w:smallCaps/>
          <w:color w:val="002060"/>
        </w:rPr>
        <w:t>.</w:t>
      </w:r>
    </w:p>
    <w:p w14:paraId="12206212" w14:textId="41F7704D" w:rsidR="009C6C48" w:rsidRDefault="00137582" w:rsidP="00B7159C">
      <w:pPr>
        <w:shd w:val="clear" w:color="auto" w:fill="EDEDED" w:themeFill="accent3" w:themeFillTint="33"/>
        <w:spacing w:after="0" w:line="240" w:lineRule="auto"/>
        <w:ind w:left="4111"/>
        <w:jc w:val="right"/>
        <w:rPr>
          <w:rFonts w:ascii="Arial Nova" w:hAnsi="Arial Nova" w:cs="Times New Roman"/>
          <w:smallCaps/>
          <w:color w:val="002060"/>
        </w:rPr>
      </w:pPr>
      <w:r>
        <w:rPr>
          <w:rFonts w:ascii="Arial Nova" w:hAnsi="Arial Nova" w:cs="Times New Roman"/>
          <w:smallCaps/>
          <w:color w:val="002060"/>
        </w:rPr>
        <w:t>Secretari</w:t>
      </w:r>
      <w:r w:rsidR="0074730F">
        <w:rPr>
          <w:rFonts w:ascii="Arial Nova" w:hAnsi="Arial Nova" w:cs="Times New Roman"/>
          <w:smallCaps/>
          <w:color w:val="002060"/>
        </w:rPr>
        <w:t>o</w:t>
      </w:r>
      <w:r>
        <w:rPr>
          <w:rFonts w:ascii="Arial Nova" w:hAnsi="Arial Nova" w:cs="Times New Roman"/>
          <w:smallCaps/>
          <w:color w:val="002060"/>
        </w:rPr>
        <w:t xml:space="preserve"> Auxiliar: </w:t>
      </w:r>
      <w:r w:rsidR="0074730F">
        <w:rPr>
          <w:rFonts w:ascii="Arial Nova" w:hAnsi="Arial Nova" w:cs="Times New Roman"/>
          <w:smallCaps/>
          <w:color w:val="002060"/>
        </w:rPr>
        <w:t>Edgar Serrano García</w:t>
      </w:r>
      <w:r w:rsidR="008A5DC5">
        <w:rPr>
          <w:rFonts w:ascii="Arial Nova" w:hAnsi="Arial Nova" w:cs="Times New Roman"/>
          <w:smallCaps/>
          <w:color w:val="002060"/>
        </w:rPr>
        <w:t>.</w:t>
      </w:r>
      <w:r w:rsidR="00FF6E0D">
        <w:rPr>
          <w:rFonts w:ascii="Arial Nova" w:hAnsi="Arial Nova" w:cs="Times New Roman"/>
          <w:smallCaps/>
          <w:color w:val="002060"/>
        </w:rPr>
        <w:t xml:space="preserve"> </w:t>
      </w:r>
    </w:p>
    <w:p w14:paraId="1C0B4F90" w14:textId="6A47C072" w:rsidR="001C01EC" w:rsidRPr="004C2D17" w:rsidRDefault="001C01EC" w:rsidP="00B7159C">
      <w:pPr>
        <w:shd w:val="clear" w:color="auto" w:fill="EDEDED" w:themeFill="accent3" w:themeFillTint="33"/>
        <w:spacing w:after="0" w:line="240" w:lineRule="auto"/>
        <w:ind w:left="4111"/>
        <w:jc w:val="right"/>
        <w:rPr>
          <w:rFonts w:ascii="Arial Nova" w:hAnsi="Arial Nova" w:cs="Times New Roman"/>
          <w:smallCaps/>
        </w:rPr>
      </w:pPr>
      <w:bookmarkStart w:id="3" w:name="_Hlk133506816"/>
      <w:bookmarkEnd w:id="2"/>
      <w:r w:rsidRPr="001624A8">
        <w:rPr>
          <w:rFonts w:ascii="Arial Nova" w:hAnsi="Arial Nova" w:cs="Times New Roman"/>
          <w:smallCaps/>
          <w:color w:val="002060"/>
        </w:rPr>
        <w:t>Expediente: Amparo</w:t>
      </w:r>
      <w:r w:rsidR="0074730F">
        <w:rPr>
          <w:rFonts w:ascii="Arial Nova" w:hAnsi="Arial Nova" w:cs="Times New Roman"/>
          <w:smallCaps/>
          <w:color w:val="002060"/>
        </w:rPr>
        <w:t xml:space="preserve"> </w:t>
      </w:r>
      <w:r w:rsidR="00F14796">
        <w:rPr>
          <w:rFonts w:ascii="Arial Nova" w:hAnsi="Arial Nova" w:cs="Times New Roman"/>
          <w:smallCaps/>
          <w:color w:val="002060"/>
        </w:rPr>
        <w:t xml:space="preserve">en Revisión </w:t>
      </w:r>
      <w:r w:rsidR="0074730F">
        <w:rPr>
          <w:rFonts w:ascii="Arial Nova" w:hAnsi="Arial Nova" w:cs="Times New Roman"/>
          <w:smallCaps/>
          <w:color w:val="002060"/>
        </w:rPr>
        <w:t>93</w:t>
      </w:r>
      <w:r w:rsidR="00DF17A6">
        <w:rPr>
          <w:rFonts w:ascii="Arial Nova" w:hAnsi="Arial Nova" w:cs="Times New Roman"/>
          <w:smallCaps/>
          <w:color w:val="002060"/>
        </w:rPr>
        <w:t>/</w:t>
      </w:r>
      <w:r w:rsidR="00F14796">
        <w:rPr>
          <w:rFonts w:ascii="Arial Nova" w:hAnsi="Arial Nova" w:cs="Times New Roman"/>
          <w:smallCaps/>
          <w:color w:val="002060"/>
        </w:rPr>
        <w:t>202</w:t>
      </w:r>
      <w:bookmarkEnd w:id="1"/>
      <w:bookmarkEnd w:id="3"/>
      <w:r w:rsidR="00137582">
        <w:rPr>
          <w:rFonts w:ascii="Arial Nova" w:hAnsi="Arial Nova" w:cs="Times New Roman"/>
          <w:smallCaps/>
          <w:color w:val="002060"/>
        </w:rPr>
        <w:t>5</w:t>
      </w:r>
      <w:r w:rsidR="005A7962">
        <w:rPr>
          <w:rFonts w:ascii="Arial Nova" w:hAnsi="Arial Nova" w:cs="Times New Roman"/>
          <w:smallCaps/>
          <w:color w:val="002060"/>
        </w:rPr>
        <w:t>.</w:t>
      </w:r>
    </w:p>
    <w:p w14:paraId="4ED83672" w14:textId="77777777" w:rsidR="001C01EC" w:rsidRDefault="001C01EC" w:rsidP="00A3790C">
      <w:pPr>
        <w:spacing w:after="0" w:line="240" w:lineRule="auto"/>
        <w:rPr>
          <w:rFonts w:ascii="Arial Nova" w:hAnsi="Arial Nova" w:cs="Times New Roman"/>
          <w:sz w:val="20"/>
          <w:szCs w:val="20"/>
        </w:rPr>
      </w:pPr>
    </w:p>
    <w:p w14:paraId="23CDDC7C" w14:textId="6D8ECB52"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tcPr>
          <w:p w14:paraId="45703613" w14:textId="628B107A" w:rsidR="00E32435" w:rsidRPr="00046D48" w:rsidRDefault="00E32435" w:rsidP="007106FC">
            <w:pPr>
              <w:tabs>
                <w:tab w:val="left" w:pos="7253"/>
              </w:tabs>
              <w:jc w:val="both"/>
              <w:rPr>
                <w:rFonts w:ascii="Times New Roman" w:hAnsi="Times New Roman" w:cs="Times New Roman"/>
                <w:b/>
                <w:bCs/>
                <w:color w:val="002060"/>
                <w:sz w:val="20"/>
                <w:szCs w:val="20"/>
              </w:rPr>
            </w:pPr>
          </w:p>
          <w:p w14:paraId="213F2911" w14:textId="1B37FFC4" w:rsidR="00B65914" w:rsidRDefault="00B323DA" w:rsidP="00B65914">
            <w:pPr>
              <w:shd w:val="clear" w:color="auto" w:fill="FFFFFF" w:themeFill="background1"/>
              <w:spacing w:line="276" w:lineRule="auto"/>
              <w:rPr>
                <w:rFonts w:ascii="Arial Nova" w:hAnsi="Arial Nova" w:cs="Times New Roman"/>
                <w:b/>
                <w:bCs/>
                <w:smallCaps/>
                <w:color w:val="000F2E"/>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500BB0E0" w14:textId="77777777" w:rsidR="00DC7613" w:rsidRDefault="00DC7613" w:rsidP="00B65914">
            <w:pPr>
              <w:shd w:val="clear" w:color="auto" w:fill="FFFFFF" w:themeFill="background1"/>
              <w:spacing w:line="276" w:lineRule="auto"/>
              <w:rPr>
                <w:rFonts w:ascii="Arial Nova" w:hAnsi="Arial Nova" w:cs="Times New Roman"/>
                <w:b/>
                <w:bCs/>
                <w:smallCaps/>
                <w:color w:val="000F2E"/>
                <w:sz w:val="24"/>
                <w:szCs w:val="24"/>
              </w:rPr>
            </w:pPr>
          </w:p>
          <w:p w14:paraId="05705950" w14:textId="0C0405F2" w:rsidR="00DC7613" w:rsidRPr="006460E9" w:rsidRDefault="002823E7" w:rsidP="00DC7613">
            <w:pPr>
              <w:tabs>
                <w:tab w:val="left" w:pos="0"/>
              </w:tabs>
              <w:contextualSpacing/>
              <w:jc w:val="both"/>
              <w:rPr>
                <w:rFonts w:ascii="Arial Nova" w:hAnsi="Arial Nova" w:cs="Arial"/>
                <w:i/>
                <w:iCs/>
                <w:sz w:val="20"/>
                <w:szCs w:val="20"/>
              </w:rPr>
            </w:pPr>
            <w:r w:rsidRPr="006460E9">
              <w:rPr>
                <w:rFonts w:ascii="Arial Nova" w:hAnsi="Arial Nova" w:cs="Arial"/>
                <w:sz w:val="20"/>
                <w:szCs w:val="20"/>
              </w:rPr>
              <w:t>U</w:t>
            </w:r>
            <w:r w:rsidR="00DC7613" w:rsidRPr="006460E9">
              <w:rPr>
                <w:rFonts w:ascii="Arial Nova" w:hAnsi="Arial Nova" w:cs="Arial"/>
                <w:sz w:val="20"/>
                <w:szCs w:val="20"/>
              </w:rPr>
              <w:t xml:space="preserve">na empresa obtuvo en 2015 un permiso para el expendio de petrolíferos en estaciones de servicio. Posteriormente, en 2021, se le inició un procedimiento administrativo, el cual culminó en 2023 con la revocación del permiso, al haberse actualizado la infracción prevista en la fracción V del artículo 56 de la Ley de Hidrocarburos, conforme al cual los permisos podrán revocarse por </w:t>
            </w:r>
            <w:r w:rsidR="00DC7613" w:rsidRPr="006460E9">
              <w:rPr>
                <w:rFonts w:ascii="Arial Nova" w:hAnsi="Arial Nova" w:cs="Arial"/>
                <w:i/>
                <w:iCs/>
                <w:sz w:val="20"/>
                <w:szCs w:val="20"/>
              </w:rPr>
              <w:t>no otorgar o no mantener en vigor las garantías o los seguros correspondientes incluyendo aquéllos necesarios para cubrir daños a terceros, conforme a la regulación que para el efecto se emita</w:t>
            </w:r>
            <w:r w:rsidR="00DC7613" w:rsidRPr="006460E9">
              <w:rPr>
                <w:rFonts w:ascii="Arial Nova" w:hAnsi="Arial Nova" w:cs="Arial"/>
                <w:sz w:val="20"/>
                <w:szCs w:val="20"/>
              </w:rPr>
              <w:t>.</w:t>
            </w:r>
          </w:p>
          <w:p w14:paraId="421F1460" w14:textId="77777777" w:rsidR="00DC7613" w:rsidRPr="006460E9" w:rsidRDefault="00DC7613" w:rsidP="00DC7613">
            <w:pPr>
              <w:tabs>
                <w:tab w:val="left" w:pos="0"/>
              </w:tabs>
              <w:contextualSpacing/>
              <w:jc w:val="both"/>
              <w:rPr>
                <w:rFonts w:ascii="Arial Nova" w:hAnsi="Arial Nova" w:cs="Arial"/>
                <w:sz w:val="20"/>
                <w:szCs w:val="20"/>
              </w:rPr>
            </w:pPr>
          </w:p>
          <w:p w14:paraId="3D5D7733" w14:textId="11EEB3EF" w:rsidR="00DC7613" w:rsidRPr="006460E9" w:rsidRDefault="002823E7" w:rsidP="00DC7613">
            <w:pPr>
              <w:tabs>
                <w:tab w:val="left" w:pos="0"/>
              </w:tabs>
              <w:contextualSpacing/>
              <w:jc w:val="both"/>
              <w:rPr>
                <w:rFonts w:ascii="Arial Nova" w:hAnsi="Arial Nova" w:cs="Arial"/>
                <w:sz w:val="20"/>
                <w:szCs w:val="20"/>
              </w:rPr>
            </w:pPr>
            <w:r w:rsidRPr="006460E9">
              <w:rPr>
                <w:rFonts w:ascii="Arial Nova" w:hAnsi="Arial Nova" w:cs="Arial"/>
                <w:sz w:val="20"/>
                <w:szCs w:val="20"/>
              </w:rPr>
              <w:t>En desacuerdo, la empresa promovió un juicio de amparo indirecto en el que reclamó tanto la revocación del permiso, como la inconstitucionalidad del precepto legal citado, al considerar que vulnera el principio de legalidad en su vertiente de taxatividad —exacta aplicación de la ley— y que representa una pena inusitada o trascendental, prohibida por el artículo 22 constitucional. El Juzgado de Distrito negó el amparo, decisión contra la que la empresa interpuso un recurso de revisión, el cual fue remitido a la Suprema Corte por el Tribunal Colegiado del conocimiento, ante el tema de constitucionalidad planteado.</w:t>
            </w:r>
          </w:p>
          <w:p w14:paraId="50509151" w14:textId="77777777" w:rsidR="00DC7613" w:rsidRPr="006460E9" w:rsidRDefault="00DC7613" w:rsidP="00DC7613">
            <w:pPr>
              <w:tabs>
                <w:tab w:val="left" w:pos="0"/>
              </w:tabs>
              <w:contextualSpacing/>
              <w:jc w:val="both"/>
              <w:rPr>
                <w:rFonts w:ascii="Arial Nova" w:hAnsi="Arial Nova" w:cs="Arial"/>
                <w:sz w:val="20"/>
                <w:szCs w:val="20"/>
              </w:rPr>
            </w:pPr>
          </w:p>
          <w:p w14:paraId="417730DC" w14:textId="17E6A2D7" w:rsidR="00501371" w:rsidRPr="006460E9" w:rsidRDefault="002823E7" w:rsidP="00DC7613">
            <w:pPr>
              <w:tabs>
                <w:tab w:val="left" w:pos="0"/>
              </w:tabs>
              <w:contextualSpacing/>
              <w:jc w:val="both"/>
              <w:rPr>
                <w:rFonts w:ascii="Arial Nova" w:hAnsi="Arial Nova" w:cs="Arial"/>
                <w:sz w:val="20"/>
                <w:szCs w:val="20"/>
              </w:rPr>
            </w:pPr>
            <w:r w:rsidRPr="006460E9">
              <w:rPr>
                <w:rFonts w:ascii="Arial Nova" w:hAnsi="Arial Nova" w:cs="Arial"/>
                <w:sz w:val="20"/>
                <w:szCs w:val="20"/>
              </w:rPr>
              <w:t>Al resolver el asunto</w:t>
            </w:r>
            <w:r w:rsidR="00DC7613" w:rsidRPr="006460E9">
              <w:rPr>
                <w:rFonts w:ascii="Arial Nova" w:hAnsi="Arial Nova" w:cs="Arial"/>
                <w:sz w:val="20"/>
                <w:szCs w:val="20"/>
              </w:rPr>
              <w:t xml:space="preserve">, la Primera Sala determinó que la revocación contemplada en el artículo 56, fracción V, no constituye una medida punitiva, sino una consecuencia jurídica del incumplimiento de un requisito esencial para el otorgamiento y vigencia del permiso. </w:t>
            </w:r>
            <w:r w:rsidR="00193C22" w:rsidRPr="006460E9">
              <w:rPr>
                <w:rFonts w:ascii="Arial Nova" w:hAnsi="Arial Nova" w:cs="Arial"/>
                <w:sz w:val="20"/>
                <w:szCs w:val="20"/>
              </w:rPr>
              <w:t>Por tanto</w:t>
            </w:r>
            <w:r w:rsidR="00DC7613" w:rsidRPr="006460E9">
              <w:rPr>
                <w:rFonts w:ascii="Arial Nova" w:hAnsi="Arial Nova" w:cs="Arial"/>
                <w:sz w:val="20"/>
                <w:szCs w:val="20"/>
              </w:rPr>
              <w:t>, no puede ser analizada bajo el principio de taxatividad, sino a la luz del principio de seguridad jurídica,</w:t>
            </w:r>
            <w:r w:rsidR="00DC7613" w:rsidRPr="006460E9">
              <w:rPr>
                <w:rFonts w:ascii="Arial Nova" w:hAnsi="Arial Nova"/>
                <w:sz w:val="20"/>
                <w:szCs w:val="20"/>
              </w:rPr>
              <w:t xml:space="preserve"> </w:t>
            </w:r>
            <w:r w:rsidR="00DC7613" w:rsidRPr="006460E9">
              <w:rPr>
                <w:rFonts w:ascii="Arial Nova" w:hAnsi="Arial Nova" w:cs="Arial"/>
                <w:sz w:val="20"/>
                <w:szCs w:val="20"/>
              </w:rPr>
              <w:t>reconocido en el artículo 16 de la Constitución Política del país.</w:t>
            </w:r>
          </w:p>
          <w:p w14:paraId="465A0733" w14:textId="77777777" w:rsidR="00193C22" w:rsidRPr="006460E9" w:rsidRDefault="00193C22" w:rsidP="00DC7613">
            <w:pPr>
              <w:tabs>
                <w:tab w:val="left" w:pos="0"/>
              </w:tabs>
              <w:contextualSpacing/>
              <w:jc w:val="both"/>
              <w:rPr>
                <w:rFonts w:ascii="Arial Nova" w:hAnsi="Arial Nova" w:cs="Arial"/>
                <w:sz w:val="20"/>
                <w:szCs w:val="20"/>
              </w:rPr>
            </w:pPr>
          </w:p>
          <w:p w14:paraId="76C05293" w14:textId="3BB9C1D2" w:rsidR="00193C22" w:rsidRPr="006460E9" w:rsidRDefault="00193C22" w:rsidP="00DC7613">
            <w:pPr>
              <w:tabs>
                <w:tab w:val="left" w:pos="0"/>
              </w:tabs>
              <w:contextualSpacing/>
              <w:jc w:val="both"/>
              <w:rPr>
                <w:rFonts w:ascii="Arial Nova" w:hAnsi="Arial Nova" w:cs="Arial"/>
                <w:sz w:val="20"/>
                <w:szCs w:val="20"/>
              </w:rPr>
            </w:pPr>
            <w:r w:rsidRPr="006460E9">
              <w:rPr>
                <w:rFonts w:ascii="Arial Nova" w:hAnsi="Arial Nova" w:cs="Arial"/>
                <w:sz w:val="20"/>
                <w:szCs w:val="20"/>
              </w:rPr>
              <w:t>Al respecto, el Alto Tribunal deliberó que la norma es acorde a dicho principio, al establecer una descripción clara y comprensible que los permisionarios deben contar, en todo momento, con garantías y seguros vigentes que cubran los riesgos inherentes a su operación, incluidos los daños a terceros, conforme a la regulación que se emita durante la vigencia del permiso, y no solamente al momento en que la autoridad administrativa ejerza su facultad de supervisión de las actividades autorizadas en el permiso de expendio de petrolíferos.</w:t>
            </w:r>
          </w:p>
          <w:p w14:paraId="1A15B12A" w14:textId="77777777" w:rsidR="00193C22" w:rsidRPr="006460E9" w:rsidRDefault="00193C22" w:rsidP="00DC7613">
            <w:pPr>
              <w:tabs>
                <w:tab w:val="left" w:pos="0"/>
              </w:tabs>
              <w:contextualSpacing/>
              <w:jc w:val="both"/>
              <w:rPr>
                <w:rFonts w:ascii="Arial Nova" w:hAnsi="Arial Nova" w:cs="Arial"/>
                <w:sz w:val="20"/>
                <w:szCs w:val="20"/>
              </w:rPr>
            </w:pPr>
          </w:p>
          <w:p w14:paraId="70543C53" w14:textId="17A291EA" w:rsidR="00193C22" w:rsidRPr="006460E9" w:rsidRDefault="00193C22" w:rsidP="00DC7613">
            <w:pPr>
              <w:tabs>
                <w:tab w:val="left" w:pos="0"/>
              </w:tabs>
              <w:contextualSpacing/>
              <w:jc w:val="both"/>
              <w:rPr>
                <w:rFonts w:ascii="Arial Nova" w:hAnsi="Arial Nova" w:cs="Arial"/>
                <w:sz w:val="20"/>
                <w:szCs w:val="20"/>
              </w:rPr>
            </w:pPr>
            <w:r w:rsidRPr="006460E9">
              <w:rPr>
                <w:rFonts w:ascii="Arial Nova" w:hAnsi="Arial Nova" w:cs="Arial"/>
                <w:sz w:val="20"/>
                <w:szCs w:val="20"/>
              </w:rPr>
              <w:lastRenderedPageBreak/>
              <w:t>En otro aspecto, la Sala concluyó que la consecuencia establecida en la norma reclamada no representa una pena inusitada o trascendental, pues no tiene por objeto sancionar o castigar una conducta, sino asegurar que las actividades reguladas se desarrollen conforme a parámetros mínimos de legalidad, seguridad y cobertura de riesgos, a través del cumplimiento continuo de los requisitos establecidos por el legislador.</w:t>
            </w:r>
          </w:p>
          <w:p w14:paraId="7C03F008" w14:textId="77777777" w:rsidR="00193C22" w:rsidRPr="006460E9" w:rsidRDefault="00193C22" w:rsidP="00DC7613">
            <w:pPr>
              <w:tabs>
                <w:tab w:val="left" w:pos="0"/>
              </w:tabs>
              <w:contextualSpacing/>
              <w:jc w:val="both"/>
              <w:rPr>
                <w:rFonts w:ascii="Arial Nova" w:hAnsi="Arial Nova" w:cs="Arial"/>
                <w:sz w:val="20"/>
                <w:szCs w:val="20"/>
              </w:rPr>
            </w:pPr>
          </w:p>
          <w:p w14:paraId="61F5416A" w14:textId="6BEA1BBE" w:rsidR="00193C22" w:rsidRPr="006460E9" w:rsidRDefault="00193C22" w:rsidP="00DC7613">
            <w:pPr>
              <w:tabs>
                <w:tab w:val="left" w:pos="0"/>
              </w:tabs>
              <w:contextualSpacing/>
              <w:jc w:val="both"/>
              <w:rPr>
                <w:rFonts w:ascii="Arial Nova" w:hAnsi="Arial Nova" w:cs="Arial"/>
                <w:sz w:val="20"/>
                <w:szCs w:val="20"/>
              </w:rPr>
            </w:pPr>
            <w:r w:rsidRPr="006460E9">
              <w:rPr>
                <w:rFonts w:ascii="Arial Nova" w:hAnsi="Arial Nova" w:cs="Arial"/>
                <w:sz w:val="20"/>
                <w:szCs w:val="20"/>
              </w:rPr>
              <w:t>A partir de estas razones, la Primera Sala reconoció la constitucionalidad de la norma reclamada, por lo que confirmó la sentencia impugnada, negó el amparo solicitado y reservó jurisdicción al Tribunal Colegiado para que resuelva las cuestiones de legalidad.</w:t>
            </w:r>
          </w:p>
          <w:p w14:paraId="068A96B6" w14:textId="79B0186F" w:rsidR="00507880" w:rsidRPr="00650F1C" w:rsidRDefault="00507880" w:rsidP="00CE55C9">
            <w:pPr>
              <w:jc w:val="both"/>
              <w:rPr>
                <w:rFonts w:ascii="Times New Roman" w:hAnsi="Times New Roman"/>
                <w:sz w:val="20"/>
              </w:rPr>
            </w:pPr>
          </w:p>
        </w:tc>
      </w:tr>
    </w:tbl>
    <w:p w14:paraId="26CA6A86" w14:textId="77777777" w:rsidR="003363D0" w:rsidRDefault="003363D0" w:rsidP="003F3A4A">
      <w:pPr>
        <w:spacing w:after="0" w:line="240" w:lineRule="auto"/>
        <w:jc w:val="both"/>
        <w:rPr>
          <w:rFonts w:ascii="Arial Nova" w:hAnsi="Arial Nova" w:cs="Times New Roman"/>
          <w:sz w:val="24"/>
          <w:szCs w:val="24"/>
        </w:rPr>
      </w:pPr>
    </w:p>
    <w:p w14:paraId="03DEA38B" w14:textId="0601C835" w:rsidR="0041308F" w:rsidRPr="00642B2A" w:rsidRDefault="007B3BE9" w:rsidP="006460E9">
      <w:pPr>
        <w:shd w:val="clear" w:color="auto" w:fill="B4C6E7" w:themeFill="accent1" w:themeFillTint="66"/>
        <w:tabs>
          <w:tab w:val="left" w:pos="7170"/>
          <w:tab w:val="right" w:pos="8838"/>
        </w:tabs>
        <w:spacing w:after="0" w:line="276" w:lineRule="auto"/>
        <w:jc w:val="right"/>
        <w:rPr>
          <w:rFonts w:ascii="Arial Nova" w:hAnsi="Arial Nova" w:cs="Times New Roman"/>
          <w:smallCaps/>
          <w:color w:val="000F2E"/>
          <w:sz w:val="24"/>
          <w:szCs w:val="24"/>
        </w:rPr>
      </w:pPr>
      <w:r w:rsidRPr="006460E9">
        <w:rPr>
          <w:rFonts w:ascii="Arial Nova" w:hAnsi="Arial Nova" w:cs="Times New Roman"/>
          <w:b/>
          <w:bCs/>
          <w:smallCaps/>
          <w:color w:val="000F2E"/>
          <w:sz w:val="28"/>
          <w:szCs w:val="28"/>
        </w:rPr>
        <w:t>A</w:t>
      </w:r>
      <w:r w:rsidR="0041308F" w:rsidRPr="00B323DA">
        <w:rPr>
          <w:rFonts w:ascii="Arial Nova" w:hAnsi="Arial Nova" w:cs="Times New Roman"/>
          <w:b/>
          <w:bCs/>
          <w:smallCaps/>
          <w:color w:val="000F2E"/>
          <w:sz w:val="24"/>
          <w:szCs w:val="24"/>
        </w:rPr>
        <w:t>ntecedentes:</w:t>
      </w:r>
    </w:p>
    <w:p w14:paraId="71463950" w14:textId="77777777" w:rsidR="00DF17A6" w:rsidRDefault="00DF17A6" w:rsidP="00DF17A6">
      <w:pPr>
        <w:spacing w:after="0" w:line="240" w:lineRule="auto"/>
        <w:jc w:val="both"/>
        <w:rPr>
          <w:rFonts w:ascii="Arial" w:hAnsi="Arial" w:cs="Arial"/>
          <w:sz w:val="20"/>
          <w:szCs w:val="20"/>
        </w:rPr>
      </w:pPr>
    </w:p>
    <w:p w14:paraId="0F0DF6EA" w14:textId="4736446E" w:rsidR="00193C22" w:rsidRPr="00193C22" w:rsidRDefault="00193C22" w:rsidP="00193C22">
      <w:pPr>
        <w:spacing w:after="0" w:line="240" w:lineRule="auto"/>
        <w:jc w:val="both"/>
        <w:rPr>
          <w:rFonts w:ascii="Arial Nova" w:hAnsi="Arial Nova" w:cs="Arial"/>
          <w:sz w:val="24"/>
          <w:szCs w:val="24"/>
        </w:rPr>
      </w:pPr>
      <w:r w:rsidRPr="00193C22">
        <w:rPr>
          <w:rFonts w:ascii="Arial Nova" w:hAnsi="Arial Nova" w:cs="Arial"/>
          <w:sz w:val="24"/>
          <w:szCs w:val="24"/>
        </w:rPr>
        <w:t xml:space="preserve">En el año </w:t>
      </w:r>
      <w:r>
        <w:rPr>
          <w:rFonts w:ascii="Arial Nova" w:hAnsi="Arial Nova" w:cs="Arial"/>
          <w:sz w:val="24"/>
          <w:szCs w:val="24"/>
        </w:rPr>
        <w:t>2015</w:t>
      </w:r>
      <w:r w:rsidRPr="00193C22">
        <w:rPr>
          <w:rFonts w:ascii="Arial Nova" w:hAnsi="Arial Nova" w:cs="Arial"/>
          <w:sz w:val="24"/>
          <w:szCs w:val="24"/>
        </w:rPr>
        <w:t xml:space="preserve"> se otorgó a una empresa un permiso definitivo para el expendio de petrolíferos en estaciones de servicio. En mayo de </w:t>
      </w:r>
      <w:r>
        <w:rPr>
          <w:rFonts w:ascii="Arial Nova" w:hAnsi="Arial Nova" w:cs="Arial"/>
          <w:sz w:val="24"/>
          <w:szCs w:val="24"/>
        </w:rPr>
        <w:t>2021</w:t>
      </w:r>
      <w:r w:rsidRPr="00193C22">
        <w:rPr>
          <w:rFonts w:ascii="Arial Nova" w:hAnsi="Arial Nova" w:cs="Arial"/>
          <w:sz w:val="24"/>
          <w:szCs w:val="24"/>
        </w:rPr>
        <w:t xml:space="preserve"> se le inició un procedimiento administrativo de revocación respecto de dicho permiso, resuelto en abril de </w:t>
      </w:r>
      <w:r>
        <w:rPr>
          <w:rFonts w:ascii="Arial Nova" w:hAnsi="Arial Nova" w:cs="Arial"/>
          <w:sz w:val="24"/>
          <w:szCs w:val="24"/>
        </w:rPr>
        <w:t>2023</w:t>
      </w:r>
      <w:r w:rsidRPr="00193C22">
        <w:rPr>
          <w:rFonts w:ascii="Arial Nova" w:hAnsi="Arial Nova" w:cs="Arial"/>
          <w:sz w:val="24"/>
          <w:szCs w:val="24"/>
        </w:rPr>
        <w:t xml:space="preserve"> en el sentido de revocarlo, por estimarse actualizada la conducta infractora prevista en la fracción V del artículo 56 de la Ley de Hidrocarburos</w:t>
      </w:r>
      <w:r>
        <w:rPr>
          <w:rFonts w:ascii="Arial Nova" w:hAnsi="Arial Nova" w:cs="Arial"/>
          <w:sz w:val="24"/>
          <w:szCs w:val="24"/>
        </w:rPr>
        <w:t xml:space="preserve">, conforme al cual </w:t>
      </w:r>
      <w:r w:rsidRPr="006460E9">
        <w:rPr>
          <w:rFonts w:ascii="Arial Nova" w:hAnsi="Arial Nova" w:cs="Arial"/>
          <w:i/>
          <w:iCs/>
          <w:sz w:val="24"/>
          <w:szCs w:val="24"/>
        </w:rPr>
        <w:t>los permisos podrán revocarse por no otorgar o no mantener en vigor las garantías o los seguros correspondientes incluyendo aquéllos necesarios para cubrir daños a terceros, conforme a la regulación que para el efecto se emita</w:t>
      </w:r>
      <w:r w:rsidRPr="00193C22">
        <w:rPr>
          <w:rFonts w:ascii="Arial Nova" w:hAnsi="Arial Nova" w:cs="Arial"/>
          <w:sz w:val="24"/>
          <w:szCs w:val="24"/>
        </w:rPr>
        <w:t>.</w:t>
      </w:r>
    </w:p>
    <w:p w14:paraId="25C6349E" w14:textId="77777777" w:rsidR="00193C22" w:rsidRPr="00193C22" w:rsidRDefault="00193C22" w:rsidP="00193C22">
      <w:pPr>
        <w:spacing w:after="0" w:line="240" w:lineRule="auto"/>
        <w:jc w:val="both"/>
        <w:rPr>
          <w:rFonts w:ascii="Arial Nova" w:hAnsi="Arial Nova" w:cs="Arial"/>
          <w:sz w:val="24"/>
          <w:szCs w:val="24"/>
        </w:rPr>
      </w:pPr>
    </w:p>
    <w:p w14:paraId="3FDD616C" w14:textId="77777777" w:rsidR="00193C22" w:rsidRPr="00193C22" w:rsidRDefault="00193C22" w:rsidP="00193C22">
      <w:pPr>
        <w:spacing w:after="0" w:line="240" w:lineRule="auto"/>
        <w:jc w:val="both"/>
        <w:rPr>
          <w:rFonts w:ascii="Arial Nova" w:hAnsi="Arial Nova" w:cs="Arial"/>
          <w:sz w:val="24"/>
          <w:szCs w:val="24"/>
        </w:rPr>
      </w:pPr>
      <w:r w:rsidRPr="00193C22">
        <w:rPr>
          <w:rFonts w:ascii="Arial Nova" w:hAnsi="Arial Nova" w:cs="Arial"/>
          <w:sz w:val="24"/>
          <w:szCs w:val="24"/>
        </w:rPr>
        <w:t>Inconforme, la empresa promovió juicio de amparo indirecto, en el que además planteó la inconstitucionalidad del artículo 56, fracción V, de la Ley de Hidrocarburos, por considerar que vulnera el principio de legalidad en su vertiente de taxatividad, así como que actualiza una pena inusitada o trascendental prohibida por el artículo 22 constitucional. El Juzgado de Distrito resolvió negar el amparo solicitado, al estimar que la norma impugnada cumple con los requisitos de certeza derivados del principio de legalidad y que la consecuencia jurídica que prevé no constituye una pena.</w:t>
      </w:r>
    </w:p>
    <w:p w14:paraId="2AEF45C6" w14:textId="77777777" w:rsidR="00193C22" w:rsidRPr="00193C22" w:rsidRDefault="00193C22" w:rsidP="00193C22">
      <w:pPr>
        <w:spacing w:after="0" w:line="240" w:lineRule="auto"/>
        <w:jc w:val="both"/>
        <w:rPr>
          <w:rFonts w:ascii="Arial Nova" w:hAnsi="Arial Nova" w:cs="Arial"/>
          <w:sz w:val="24"/>
          <w:szCs w:val="24"/>
        </w:rPr>
      </w:pPr>
    </w:p>
    <w:p w14:paraId="38549918" w14:textId="05AFDB1E" w:rsidR="00193C22" w:rsidRPr="00193C22" w:rsidRDefault="00193C22" w:rsidP="00193C22">
      <w:pPr>
        <w:spacing w:after="0" w:line="240" w:lineRule="auto"/>
        <w:jc w:val="both"/>
        <w:rPr>
          <w:rFonts w:ascii="Arial Nova" w:hAnsi="Arial Nova" w:cs="Arial"/>
          <w:sz w:val="24"/>
          <w:szCs w:val="24"/>
        </w:rPr>
      </w:pPr>
      <w:r w:rsidRPr="00193C22">
        <w:rPr>
          <w:rFonts w:ascii="Arial Nova" w:hAnsi="Arial Nova" w:cs="Arial"/>
          <w:sz w:val="24"/>
          <w:szCs w:val="24"/>
        </w:rPr>
        <w:t xml:space="preserve">En desacuerdo, la </w:t>
      </w:r>
      <w:r>
        <w:rPr>
          <w:rFonts w:ascii="Arial Nova" w:hAnsi="Arial Nova" w:cs="Arial"/>
          <w:sz w:val="24"/>
          <w:szCs w:val="24"/>
        </w:rPr>
        <w:t>empresa</w:t>
      </w:r>
      <w:r w:rsidRPr="00193C22">
        <w:rPr>
          <w:rFonts w:ascii="Arial Nova" w:hAnsi="Arial Nova" w:cs="Arial"/>
          <w:sz w:val="24"/>
          <w:szCs w:val="24"/>
        </w:rPr>
        <w:t xml:space="preserve"> interpuso </w:t>
      </w:r>
      <w:r>
        <w:rPr>
          <w:rFonts w:ascii="Arial Nova" w:hAnsi="Arial Nova" w:cs="Arial"/>
          <w:sz w:val="24"/>
          <w:szCs w:val="24"/>
        </w:rPr>
        <w:t xml:space="preserve">un </w:t>
      </w:r>
      <w:r w:rsidRPr="00193C22">
        <w:rPr>
          <w:rFonts w:ascii="Arial Nova" w:hAnsi="Arial Nova" w:cs="Arial"/>
          <w:sz w:val="24"/>
          <w:szCs w:val="24"/>
        </w:rPr>
        <w:t>recurso de revisión; y el Presidente de la República presentó recurso adhesivo. El Tribunal Colegiado de Circuito que conoció de dichos recursos determinó, entre otras cuestiones, que carecía de competencia legal para pronunciarse sobre la constitucionalidad del artículo 56, fracción V, de la Ley de Hidrocarburos, por lo que ordenó la remisión del expediente a esta Suprema Corte de Justicia de la Nación.</w:t>
      </w:r>
    </w:p>
    <w:p w14:paraId="7D19168F" w14:textId="77777777" w:rsidR="008A5DC5" w:rsidRPr="008A5DC5" w:rsidRDefault="008A5DC5" w:rsidP="008A5DC5">
      <w:pPr>
        <w:spacing w:after="0" w:line="240" w:lineRule="auto"/>
        <w:jc w:val="both"/>
        <w:rPr>
          <w:rFonts w:ascii="Arial Nova" w:hAnsi="Arial Nova"/>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1988D7F1" w14:textId="77777777" w:rsidR="00C255FD" w:rsidRDefault="00C255FD" w:rsidP="00C255FD">
      <w:pPr>
        <w:spacing w:after="0" w:line="240" w:lineRule="auto"/>
        <w:jc w:val="both"/>
        <w:rPr>
          <w:rFonts w:ascii="Arial" w:hAnsi="Arial" w:cs="Arial"/>
          <w:sz w:val="23"/>
          <w:szCs w:val="23"/>
        </w:rPr>
      </w:pPr>
    </w:p>
    <w:p w14:paraId="5348BF55" w14:textId="77777777" w:rsidR="00CE55C9" w:rsidRPr="00CE55C9" w:rsidRDefault="00CE55C9" w:rsidP="00CE55C9">
      <w:pPr>
        <w:tabs>
          <w:tab w:val="left" w:pos="0"/>
        </w:tabs>
        <w:spacing w:after="0" w:line="240" w:lineRule="auto"/>
        <w:contextualSpacing/>
        <w:jc w:val="both"/>
        <w:rPr>
          <w:rFonts w:ascii="Arial Nova" w:hAnsi="Arial Nova" w:cs="Arial"/>
          <w:sz w:val="24"/>
          <w:szCs w:val="24"/>
        </w:rPr>
      </w:pPr>
      <w:r w:rsidRPr="00CE55C9">
        <w:rPr>
          <w:rFonts w:ascii="Arial Nova" w:hAnsi="Arial Nova" w:cs="Arial"/>
          <w:sz w:val="24"/>
          <w:szCs w:val="24"/>
        </w:rPr>
        <w:t xml:space="preserve">En su resolución, la Primera Sala determinó que la revocación contemplada en el artículo 56, fracción V, no constituye una medida punitiva, sino una consecuencia jurídica del incumplimiento de un requisito esencial para el otorgamiento y vigencia del permiso. Por ello, no configura una sanción en sentido estricto ni forma parte del </w:t>
      </w:r>
      <w:r w:rsidRPr="00CE55C9">
        <w:rPr>
          <w:rFonts w:ascii="Arial Nova" w:hAnsi="Arial Nova" w:cs="Arial"/>
          <w:sz w:val="24"/>
          <w:szCs w:val="24"/>
        </w:rPr>
        <w:lastRenderedPageBreak/>
        <w:t>régimen de infracciones y sanciones administrativas —derecho administrativo sancionador— previsto por la propia Ley de Hidrocarburos en su capítulo I del título cuarto —artículos 85 a 87—, en el que se identifican expresamente las conductas que podría ser materia del procedimiento administrativo sancionador y las sanciones procedentes, como multas y revocación del permiso en caso de reincidencia. En consecuencia, no puede ser analizada bajo el principio de taxatividad, sino a la luz del principio de seguridad jurídica, reconocido en el artículo 16 de la Constitución Política del país.</w:t>
      </w:r>
    </w:p>
    <w:p w14:paraId="28E10170" w14:textId="77777777" w:rsidR="00CE55C9" w:rsidRPr="00CE55C9" w:rsidRDefault="00CE55C9" w:rsidP="00CE55C9">
      <w:pPr>
        <w:tabs>
          <w:tab w:val="left" w:pos="0"/>
        </w:tabs>
        <w:spacing w:after="0" w:line="240" w:lineRule="auto"/>
        <w:contextualSpacing/>
        <w:jc w:val="both"/>
        <w:rPr>
          <w:rFonts w:ascii="Arial Nova" w:hAnsi="Arial Nova" w:cs="Arial"/>
          <w:sz w:val="24"/>
          <w:szCs w:val="24"/>
        </w:rPr>
      </w:pPr>
    </w:p>
    <w:p w14:paraId="5B00EC32" w14:textId="77777777" w:rsidR="00CE55C9" w:rsidRPr="00CE55C9" w:rsidRDefault="00CE55C9" w:rsidP="00CE55C9">
      <w:pPr>
        <w:tabs>
          <w:tab w:val="left" w:pos="0"/>
        </w:tabs>
        <w:spacing w:after="0" w:line="240" w:lineRule="auto"/>
        <w:contextualSpacing/>
        <w:jc w:val="both"/>
        <w:rPr>
          <w:rFonts w:ascii="Arial Nova" w:hAnsi="Arial Nova" w:cs="Arial"/>
          <w:sz w:val="24"/>
          <w:szCs w:val="24"/>
        </w:rPr>
      </w:pPr>
      <w:r w:rsidRPr="00CE55C9">
        <w:rPr>
          <w:rFonts w:ascii="Arial Nova" w:hAnsi="Arial Nova" w:cs="Arial"/>
          <w:sz w:val="24"/>
          <w:szCs w:val="24"/>
        </w:rPr>
        <w:t>Al respecto, el Alto Tribunal deliberó que la norma es acorde a dicho principio, al establecer una descripción clara y comprensible que los permisionarios deben contar, en todo momento, con garantías y seguros vigentes que cubran los riesgos inherentes a su operación, incluidos los daños a terceros, conforme a la regulación que se emita durante la vigencia del permiso, y no solamente al momento en que la autoridad administrativa ejerza su facultad de supervisión de las actividades autorizadas en el permiso de expendio de petrolíferos.</w:t>
      </w:r>
    </w:p>
    <w:p w14:paraId="4D721115" w14:textId="77777777" w:rsidR="00CE55C9" w:rsidRPr="00CE55C9" w:rsidRDefault="00CE55C9" w:rsidP="00CE55C9">
      <w:pPr>
        <w:tabs>
          <w:tab w:val="left" w:pos="0"/>
        </w:tabs>
        <w:spacing w:after="0" w:line="240" w:lineRule="auto"/>
        <w:contextualSpacing/>
        <w:jc w:val="both"/>
        <w:rPr>
          <w:rFonts w:ascii="Arial Nova" w:hAnsi="Arial Nova" w:cs="Arial"/>
          <w:sz w:val="24"/>
          <w:szCs w:val="24"/>
        </w:rPr>
      </w:pPr>
    </w:p>
    <w:p w14:paraId="2C062115" w14:textId="77777777" w:rsidR="00CE55C9" w:rsidRPr="00CE55C9" w:rsidRDefault="00CE55C9" w:rsidP="00CE55C9">
      <w:pPr>
        <w:tabs>
          <w:tab w:val="left" w:pos="0"/>
        </w:tabs>
        <w:spacing w:after="0" w:line="240" w:lineRule="auto"/>
        <w:contextualSpacing/>
        <w:jc w:val="both"/>
        <w:rPr>
          <w:rFonts w:ascii="Arial Nova" w:hAnsi="Arial Nova" w:cs="Arial"/>
          <w:sz w:val="24"/>
          <w:szCs w:val="24"/>
        </w:rPr>
      </w:pPr>
      <w:r w:rsidRPr="00CE55C9">
        <w:rPr>
          <w:rFonts w:ascii="Arial Nova" w:hAnsi="Arial Nova" w:cs="Arial"/>
          <w:sz w:val="24"/>
          <w:szCs w:val="24"/>
        </w:rPr>
        <w:t>En ese sentido, la Primera Sala apuntó que, el uso de la expresión “no mantener en vigor” no genera ambigüedad, pues refiere a una obligación de continuidad exigible durante toda la duración del permiso, en tanto subsista el riesgo que se busca cubrir. Esta exigencia es clara para el destinatario normativo, al igual que la consecuencia jurídica en caso de incumplimiento: la revocación del permiso ya sea que el incumplimiento ocurra desde el inicio o durante el desarrollo de la actividad regulada.</w:t>
      </w:r>
    </w:p>
    <w:p w14:paraId="022FDCED" w14:textId="77777777" w:rsidR="00CE55C9" w:rsidRPr="00CE55C9" w:rsidRDefault="00CE55C9" w:rsidP="00CE55C9">
      <w:pPr>
        <w:tabs>
          <w:tab w:val="left" w:pos="0"/>
        </w:tabs>
        <w:spacing w:after="0" w:line="240" w:lineRule="auto"/>
        <w:contextualSpacing/>
        <w:jc w:val="both"/>
        <w:rPr>
          <w:rFonts w:ascii="Arial Nova" w:hAnsi="Arial Nova" w:cs="Arial"/>
          <w:sz w:val="24"/>
          <w:szCs w:val="24"/>
        </w:rPr>
      </w:pPr>
    </w:p>
    <w:p w14:paraId="013B2FB7" w14:textId="77777777" w:rsidR="00CE55C9" w:rsidRPr="00CE55C9" w:rsidRDefault="00CE55C9" w:rsidP="00CE55C9">
      <w:pPr>
        <w:tabs>
          <w:tab w:val="left" w:pos="0"/>
        </w:tabs>
        <w:spacing w:after="0" w:line="240" w:lineRule="auto"/>
        <w:contextualSpacing/>
        <w:jc w:val="both"/>
        <w:rPr>
          <w:rFonts w:ascii="Arial Nova" w:hAnsi="Arial Nova" w:cs="Arial"/>
          <w:sz w:val="24"/>
          <w:szCs w:val="24"/>
        </w:rPr>
      </w:pPr>
      <w:r w:rsidRPr="00CE55C9">
        <w:rPr>
          <w:rFonts w:ascii="Arial Nova" w:hAnsi="Arial Nova" w:cs="Arial"/>
          <w:sz w:val="24"/>
          <w:szCs w:val="24"/>
        </w:rPr>
        <w:t>En otro aspecto, la Sala concluyó que la consecuencia establecida en la norma reclamada no representa una pena inusitada o trascendental, pues no tiene por objeto sancionar o castigar una conducta, sino asegurar que las actividades reguladas se desarrollen conforme a parámetros mínimos de legalidad, seguridad y cobertura de riesgos, a través del cumplimiento continuo de los requisitos establecidos por el legislador, en este caso, mantener vigentes las garantías o seguros requeridos, incluidos aquellos que cubren daños a terceros, con la finalidad de proteger el interés público, no de imponer una medida punitiva.</w:t>
      </w:r>
    </w:p>
    <w:p w14:paraId="56A23B20" w14:textId="77777777" w:rsidR="00CE55C9" w:rsidRPr="00CE55C9" w:rsidRDefault="00CE55C9" w:rsidP="00CE55C9">
      <w:pPr>
        <w:tabs>
          <w:tab w:val="left" w:pos="0"/>
        </w:tabs>
        <w:spacing w:after="0" w:line="240" w:lineRule="auto"/>
        <w:contextualSpacing/>
        <w:jc w:val="both"/>
        <w:rPr>
          <w:rFonts w:ascii="Arial Nova" w:hAnsi="Arial Nova" w:cs="Arial"/>
          <w:sz w:val="24"/>
          <w:szCs w:val="24"/>
        </w:rPr>
      </w:pPr>
    </w:p>
    <w:p w14:paraId="28C31B94" w14:textId="77777777" w:rsidR="00CE55C9" w:rsidRPr="00CE55C9" w:rsidRDefault="00CE55C9" w:rsidP="00CE55C9">
      <w:pPr>
        <w:tabs>
          <w:tab w:val="left" w:pos="0"/>
        </w:tabs>
        <w:spacing w:after="0" w:line="240" w:lineRule="auto"/>
        <w:contextualSpacing/>
        <w:jc w:val="both"/>
        <w:rPr>
          <w:rFonts w:ascii="Arial Nova" w:hAnsi="Arial Nova" w:cs="Arial"/>
          <w:sz w:val="24"/>
          <w:szCs w:val="24"/>
        </w:rPr>
      </w:pPr>
      <w:r w:rsidRPr="00CE55C9">
        <w:rPr>
          <w:rFonts w:ascii="Arial Nova" w:hAnsi="Arial Nova" w:cs="Arial"/>
          <w:sz w:val="24"/>
          <w:szCs w:val="24"/>
        </w:rPr>
        <w:t>Con base en estas razones, la Primera Sala reconoció la constitucionalidad de la norma reclamada, por lo que confirmó la sentencia impugnada, negó el amparo solicitado y reservó jurisdicción al Tribunal Colegiado para que resuelva las cuestiones de legalidad.</w:t>
      </w:r>
    </w:p>
    <w:p w14:paraId="1D548A0D" w14:textId="77777777" w:rsidR="00501371" w:rsidRPr="00B87BFA" w:rsidRDefault="00501371" w:rsidP="00501371">
      <w:pPr>
        <w:spacing w:after="0" w:line="240" w:lineRule="auto"/>
        <w:jc w:val="both"/>
        <w:rPr>
          <w:rFonts w:ascii="Arial" w:hAnsi="Arial" w:cs="Arial"/>
          <w:sz w:val="23"/>
          <w:szCs w:val="23"/>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75E31556" w14:textId="4EB301F0" w:rsidR="009F479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lastRenderedPageBreak/>
        <w:t xml:space="preserve">El asunto fue aprobado </w:t>
      </w:r>
      <w:r w:rsidR="00B92B45" w:rsidRPr="00E32435">
        <w:rPr>
          <w:rFonts w:ascii="Arial Nova" w:hAnsi="Arial Nova" w:cs="Times New Roman"/>
          <w:sz w:val="24"/>
          <w:szCs w:val="24"/>
        </w:rPr>
        <w:t xml:space="preserve">en sesión de la Primera Sala del </w:t>
      </w:r>
      <w:r w:rsidR="00137582">
        <w:rPr>
          <w:rFonts w:ascii="Arial Nova" w:hAnsi="Arial Nova" w:cs="Times New Roman"/>
          <w:sz w:val="24"/>
          <w:szCs w:val="24"/>
        </w:rPr>
        <w:t xml:space="preserve">13 de agosto de </w:t>
      </w:r>
      <w:r w:rsidR="00AD147A">
        <w:rPr>
          <w:rFonts w:ascii="Arial Nova" w:hAnsi="Arial Nova" w:cs="Times New Roman"/>
          <w:sz w:val="24"/>
          <w:szCs w:val="24"/>
        </w:rPr>
        <w:t>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por</w:t>
      </w:r>
      <w:r w:rsidR="00351921">
        <w:rPr>
          <w:rFonts w:ascii="Arial Nova" w:hAnsi="Arial Nova" w:cs="Times New Roman"/>
          <w:sz w:val="24"/>
          <w:szCs w:val="24"/>
        </w:rPr>
        <w:t xml:space="preserve"> </w:t>
      </w:r>
      <w:r w:rsidR="00DF17A6">
        <w:rPr>
          <w:rFonts w:ascii="Arial Nova" w:hAnsi="Arial Nova" w:cs="Times New Roman"/>
          <w:sz w:val="24"/>
          <w:szCs w:val="24"/>
        </w:rPr>
        <w:t xml:space="preserve">unanimidad de cinco votos </w:t>
      </w:r>
      <w:r w:rsidR="00351921">
        <w:rPr>
          <w:rFonts w:ascii="Arial Nova" w:hAnsi="Arial Nova" w:cs="Times New Roman"/>
          <w:sz w:val="24"/>
          <w:szCs w:val="24"/>
        </w:rPr>
        <w:t>de la</w:t>
      </w:r>
      <w:r w:rsidR="00DF17A6">
        <w:rPr>
          <w:rFonts w:ascii="Arial Nova" w:hAnsi="Arial Nova" w:cs="Times New Roman"/>
          <w:sz w:val="24"/>
          <w:szCs w:val="24"/>
        </w:rPr>
        <w:t>s</w:t>
      </w:r>
      <w:r w:rsidR="003C57BF">
        <w:rPr>
          <w:rFonts w:ascii="Arial Nova" w:hAnsi="Arial Nova" w:cs="Times New Roman"/>
          <w:sz w:val="24"/>
          <w:szCs w:val="24"/>
        </w:rPr>
        <w:t xml:space="preserve"> Señora</w:t>
      </w:r>
      <w:r w:rsidR="00DF17A6">
        <w:rPr>
          <w:rFonts w:ascii="Arial Nova" w:hAnsi="Arial Nova" w:cs="Times New Roman"/>
          <w:sz w:val="24"/>
          <w:szCs w:val="24"/>
        </w:rPr>
        <w:t>s</w:t>
      </w:r>
      <w:r w:rsidR="00351921">
        <w:rPr>
          <w:rFonts w:ascii="Arial Nova" w:hAnsi="Arial Nova" w:cs="Times New Roman"/>
          <w:sz w:val="24"/>
          <w:szCs w:val="24"/>
        </w:rPr>
        <w:t xml:space="preserve"> Ministra</w:t>
      </w:r>
      <w:r w:rsidR="00DF17A6">
        <w:rPr>
          <w:rFonts w:ascii="Arial Nova" w:hAnsi="Arial Nova" w:cs="Times New Roman"/>
          <w:sz w:val="24"/>
          <w:szCs w:val="24"/>
        </w:rPr>
        <w:t>s Ana Margarita Ríos Farjat y</w:t>
      </w:r>
      <w:r w:rsidR="004C7055">
        <w:rPr>
          <w:rFonts w:ascii="Arial Nova" w:hAnsi="Arial Nova" w:cs="Times New Roman"/>
          <w:sz w:val="24"/>
          <w:szCs w:val="24"/>
        </w:rPr>
        <w:t xml:space="preserve"> </w:t>
      </w:r>
      <w:r w:rsidR="003C57BF">
        <w:rPr>
          <w:rFonts w:ascii="Arial Nova" w:hAnsi="Arial Nova" w:cs="Times New Roman"/>
          <w:sz w:val="24"/>
          <w:szCs w:val="24"/>
        </w:rPr>
        <w:t>Loretta Ortiz Ahlf</w:t>
      </w:r>
      <w:r w:rsidR="00BF299A">
        <w:rPr>
          <w:rFonts w:ascii="Arial Nova" w:hAnsi="Arial Nova" w:cs="Times New Roman"/>
          <w:sz w:val="24"/>
          <w:szCs w:val="24"/>
        </w:rPr>
        <w:t xml:space="preserve"> (Presidenta)</w:t>
      </w:r>
      <w:r w:rsidR="000677FB">
        <w:rPr>
          <w:rFonts w:ascii="Arial Nova" w:hAnsi="Arial Nova" w:cs="Times New Roman"/>
          <w:sz w:val="24"/>
          <w:szCs w:val="24"/>
        </w:rPr>
        <w:t>, así como de</w:t>
      </w:r>
      <w:r w:rsidR="00F14796">
        <w:rPr>
          <w:rFonts w:ascii="Arial Nova" w:hAnsi="Arial Nova" w:cs="Times New Roman"/>
          <w:sz w:val="24"/>
          <w:szCs w:val="24"/>
        </w:rPr>
        <w:t xml:space="preserve"> los Señores Ministros </w:t>
      </w:r>
      <w:r w:rsidR="00DF17A6">
        <w:rPr>
          <w:rFonts w:ascii="Arial Nova" w:hAnsi="Arial Nova" w:cs="Times New Roman"/>
          <w:sz w:val="24"/>
          <w:szCs w:val="24"/>
        </w:rPr>
        <w:t>Alfredo</w:t>
      </w:r>
      <w:r w:rsidR="000415BD">
        <w:rPr>
          <w:rFonts w:ascii="Arial Nova" w:hAnsi="Arial Nova" w:cs="Times New Roman"/>
          <w:sz w:val="24"/>
          <w:szCs w:val="24"/>
        </w:rPr>
        <w:t xml:space="preserve"> </w:t>
      </w:r>
      <w:r w:rsidR="00DF17A6">
        <w:rPr>
          <w:rFonts w:ascii="Arial Nova" w:hAnsi="Arial Nova" w:cs="Times New Roman"/>
          <w:sz w:val="24"/>
          <w:szCs w:val="24"/>
        </w:rPr>
        <w:t xml:space="preserve">Gutiérrez Ortiz Mena, </w:t>
      </w:r>
      <w:r w:rsidR="004C7055">
        <w:rPr>
          <w:rFonts w:ascii="Arial Nova" w:hAnsi="Arial Nova" w:cs="Times New Roman"/>
          <w:sz w:val="24"/>
          <w:szCs w:val="24"/>
        </w:rPr>
        <w:t>J</w:t>
      </w:r>
      <w:r w:rsidR="00F14796">
        <w:rPr>
          <w:rFonts w:ascii="Arial Nova" w:hAnsi="Arial Nova" w:cs="Times New Roman"/>
          <w:sz w:val="24"/>
          <w:szCs w:val="24"/>
        </w:rPr>
        <w:t>uan Luis González Alcántara Carranc</w:t>
      </w:r>
      <w:r w:rsidR="00DF17A6">
        <w:rPr>
          <w:rFonts w:ascii="Arial Nova" w:hAnsi="Arial Nova" w:cs="Times New Roman"/>
          <w:sz w:val="24"/>
          <w:szCs w:val="24"/>
        </w:rPr>
        <w:t>á</w:t>
      </w:r>
      <w:r w:rsidR="00F14796">
        <w:rPr>
          <w:rFonts w:ascii="Arial Nova" w:hAnsi="Arial Nova" w:cs="Times New Roman"/>
          <w:sz w:val="24"/>
          <w:szCs w:val="24"/>
        </w:rPr>
        <w:t xml:space="preserve"> y </w:t>
      </w:r>
      <w:r w:rsidR="00705A39">
        <w:rPr>
          <w:rFonts w:ascii="Arial Nova" w:hAnsi="Arial Nova" w:cs="Times New Roman"/>
          <w:sz w:val="24"/>
          <w:szCs w:val="24"/>
        </w:rPr>
        <w:t>Jorge Mario Pardo Rebolledo</w:t>
      </w:r>
      <w:r w:rsidR="00193C22" w:rsidRPr="00193C22">
        <w:rPr>
          <w:rFonts w:ascii="Arial Nova" w:hAnsi="Arial Nova" w:cs="Times New Roman"/>
          <w:sz w:val="24"/>
          <w:szCs w:val="24"/>
        </w:rPr>
        <w:t>, quien está con el sentido</w:t>
      </w:r>
      <w:r w:rsidR="00193C22">
        <w:rPr>
          <w:rFonts w:ascii="Arial Nova" w:hAnsi="Arial Nova" w:cs="Times New Roman"/>
          <w:sz w:val="24"/>
          <w:szCs w:val="24"/>
        </w:rPr>
        <w:t>,</w:t>
      </w:r>
      <w:r w:rsidR="00193C22" w:rsidRPr="00193C22">
        <w:rPr>
          <w:rFonts w:ascii="Arial Nova" w:hAnsi="Arial Nova" w:cs="Times New Roman"/>
          <w:sz w:val="24"/>
          <w:szCs w:val="24"/>
        </w:rPr>
        <w:t xml:space="preserve"> pero por consideraciones distintas</w:t>
      </w:r>
      <w:r w:rsidR="00705A39">
        <w:rPr>
          <w:rFonts w:ascii="Arial Nova" w:hAnsi="Arial Nova" w:cs="Times New Roman"/>
          <w:sz w:val="24"/>
          <w:szCs w:val="24"/>
        </w:rPr>
        <w:t>.</w:t>
      </w: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5E59" w14:textId="77777777" w:rsidR="009614AC" w:rsidRDefault="009614AC" w:rsidP="000A7E7B">
      <w:pPr>
        <w:spacing w:after="0" w:line="240" w:lineRule="auto"/>
      </w:pPr>
      <w:r>
        <w:separator/>
      </w:r>
    </w:p>
    <w:p w14:paraId="2FBA727F" w14:textId="77777777" w:rsidR="009614AC" w:rsidRDefault="009614AC"/>
  </w:endnote>
  <w:endnote w:type="continuationSeparator" w:id="0">
    <w:p w14:paraId="5B8D0C17" w14:textId="77777777" w:rsidR="009614AC" w:rsidRDefault="009614AC" w:rsidP="000A7E7B">
      <w:pPr>
        <w:spacing w:after="0" w:line="240" w:lineRule="auto"/>
      </w:pPr>
      <w:r>
        <w:continuationSeparator/>
      </w:r>
    </w:p>
    <w:p w14:paraId="4D15B71B" w14:textId="77777777" w:rsidR="009614AC" w:rsidRDefault="00961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7219D" w14:textId="77777777" w:rsidR="009614AC" w:rsidRDefault="009614AC" w:rsidP="000A7E7B">
      <w:pPr>
        <w:spacing w:after="0" w:line="240" w:lineRule="auto"/>
      </w:pPr>
      <w:r>
        <w:separator/>
      </w:r>
    </w:p>
    <w:p w14:paraId="71817147" w14:textId="77777777" w:rsidR="009614AC" w:rsidRDefault="009614AC"/>
  </w:footnote>
  <w:footnote w:type="continuationSeparator" w:id="0">
    <w:p w14:paraId="7212C381" w14:textId="77777777" w:rsidR="009614AC" w:rsidRDefault="009614AC" w:rsidP="000A7E7B">
      <w:pPr>
        <w:spacing w:after="0" w:line="240" w:lineRule="auto"/>
      </w:pPr>
      <w:r>
        <w:continuationSeparator/>
      </w:r>
    </w:p>
    <w:p w14:paraId="54E3155D" w14:textId="77777777" w:rsidR="009614AC" w:rsidRDefault="00961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612BB5FA"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74730F">
      <w:rPr>
        <w:rFonts w:ascii="Arial Nova" w:hAnsi="Arial Nova" w:cs="Times New Roman"/>
        <w:b/>
        <w:bCs/>
        <w:color w:val="002060"/>
        <w:sz w:val="20"/>
        <w:szCs w:val="20"/>
      </w:rPr>
      <w:t xml:space="preserve"> </w:t>
    </w:r>
    <w:r w:rsidR="00F14796">
      <w:rPr>
        <w:rFonts w:ascii="Arial Nova" w:hAnsi="Arial Nova" w:cs="Times New Roman"/>
        <w:b/>
        <w:bCs/>
        <w:color w:val="002060"/>
        <w:sz w:val="20"/>
        <w:szCs w:val="20"/>
      </w:rPr>
      <w:t>EN REVISIÓN</w:t>
    </w:r>
    <w:r w:rsidR="0074730F">
      <w:rPr>
        <w:rFonts w:ascii="Arial Nova" w:hAnsi="Arial Nova" w:cs="Times New Roman"/>
        <w:b/>
        <w:bCs/>
        <w:color w:val="002060"/>
        <w:sz w:val="20"/>
        <w:szCs w:val="20"/>
      </w:rPr>
      <w:t xml:space="preserve"> 93/2025</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717E45"/>
    <w:multiLevelType w:val="hybridMultilevel"/>
    <w:tmpl w:val="AB9C1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42002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12771"/>
    <w:rsid w:val="00023E29"/>
    <w:rsid w:val="00024AF3"/>
    <w:rsid w:val="00026C6C"/>
    <w:rsid w:val="0003067F"/>
    <w:rsid w:val="00037474"/>
    <w:rsid w:val="000415BD"/>
    <w:rsid w:val="0004681E"/>
    <w:rsid w:val="00046D48"/>
    <w:rsid w:val="000474D9"/>
    <w:rsid w:val="000614E2"/>
    <w:rsid w:val="00061DB9"/>
    <w:rsid w:val="000643FD"/>
    <w:rsid w:val="000677FB"/>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200D"/>
    <w:rsid w:val="000F495F"/>
    <w:rsid w:val="000F4B2E"/>
    <w:rsid w:val="00100C8F"/>
    <w:rsid w:val="00101718"/>
    <w:rsid w:val="001058A3"/>
    <w:rsid w:val="00111977"/>
    <w:rsid w:val="00114E7A"/>
    <w:rsid w:val="00117441"/>
    <w:rsid w:val="00121276"/>
    <w:rsid w:val="00121D2D"/>
    <w:rsid w:val="001268F0"/>
    <w:rsid w:val="00126C0B"/>
    <w:rsid w:val="00134364"/>
    <w:rsid w:val="00137582"/>
    <w:rsid w:val="00146208"/>
    <w:rsid w:val="00155F2E"/>
    <w:rsid w:val="0016052F"/>
    <w:rsid w:val="00160CAC"/>
    <w:rsid w:val="001621BB"/>
    <w:rsid w:val="00162364"/>
    <w:rsid w:val="001624A8"/>
    <w:rsid w:val="001633B5"/>
    <w:rsid w:val="00165F78"/>
    <w:rsid w:val="00166644"/>
    <w:rsid w:val="00171E1E"/>
    <w:rsid w:val="001724BA"/>
    <w:rsid w:val="001745EA"/>
    <w:rsid w:val="00176353"/>
    <w:rsid w:val="00176FF3"/>
    <w:rsid w:val="00177692"/>
    <w:rsid w:val="0018051B"/>
    <w:rsid w:val="0018629A"/>
    <w:rsid w:val="001907AB"/>
    <w:rsid w:val="00190BB8"/>
    <w:rsid w:val="00193595"/>
    <w:rsid w:val="001936AC"/>
    <w:rsid w:val="00193C22"/>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6FDB"/>
    <w:rsid w:val="0026783A"/>
    <w:rsid w:val="00275EB5"/>
    <w:rsid w:val="00275F4F"/>
    <w:rsid w:val="002823E7"/>
    <w:rsid w:val="00283A9B"/>
    <w:rsid w:val="002901D6"/>
    <w:rsid w:val="00291AB0"/>
    <w:rsid w:val="00292788"/>
    <w:rsid w:val="00296126"/>
    <w:rsid w:val="0029700B"/>
    <w:rsid w:val="002A52AD"/>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363D0"/>
    <w:rsid w:val="00340154"/>
    <w:rsid w:val="00340F79"/>
    <w:rsid w:val="00344062"/>
    <w:rsid w:val="00344F45"/>
    <w:rsid w:val="003456DC"/>
    <w:rsid w:val="003464B8"/>
    <w:rsid w:val="003468DB"/>
    <w:rsid w:val="00346BA5"/>
    <w:rsid w:val="00346BA6"/>
    <w:rsid w:val="00351921"/>
    <w:rsid w:val="00354BF0"/>
    <w:rsid w:val="003649F3"/>
    <w:rsid w:val="00366734"/>
    <w:rsid w:val="00366748"/>
    <w:rsid w:val="00371568"/>
    <w:rsid w:val="00376697"/>
    <w:rsid w:val="003815E4"/>
    <w:rsid w:val="003826D1"/>
    <w:rsid w:val="0038311F"/>
    <w:rsid w:val="00385DE5"/>
    <w:rsid w:val="00392EB3"/>
    <w:rsid w:val="00394C47"/>
    <w:rsid w:val="003A12E0"/>
    <w:rsid w:val="003A4A72"/>
    <w:rsid w:val="003A65FD"/>
    <w:rsid w:val="003A672A"/>
    <w:rsid w:val="003B0C5A"/>
    <w:rsid w:val="003B291A"/>
    <w:rsid w:val="003B33AE"/>
    <w:rsid w:val="003B515C"/>
    <w:rsid w:val="003B55DB"/>
    <w:rsid w:val="003B6A72"/>
    <w:rsid w:val="003C106A"/>
    <w:rsid w:val="003C57BF"/>
    <w:rsid w:val="003D4B08"/>
    <w:rsid w:val="003D628F"/>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08F"/>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908"/>
    <w:rsid w:val="004B21C2"/>
    <w:rsid w:val="004B3CAB"/>
    <w:rsid w:val="004B3D59"/>
    <w:rsid w:val="004B5FFD"/>
    <w:rsid w:val="004C2D17"/>
    <w:rsid w:val="004C3B9D"/>
    <w:rsid w:val="004C4404"/>
    <w:rsid w:val="004C467B"/>
    <w:rsid w:val="004C56B1"/>
    <w:rsid w:val="004C6C7A"/>
    <w:rsid w:val="004C7055"/>
    <w:rsid w:val="004D25C9"/>
    <w:rsid w:val="004D389B"/>
    <w:rsid w:val="004D3B4A"/>
    <w:rsid w:val="004D4628"/>
    <w:rsid w:val="004D5768"/>
    <w:rsid w:val="004E08A2"/>
    <w:rsid w:val="004E37A1"/>
    <w:rsid w:val="004E5091"/>
    <w:rsid w:val="004E6414"/>
    <w:rsid w:val="004F29E0"/>
    <w:rsid w:val="00501371"/>
    <w:rsid w:val="00504C12"/>
    <w:rsid w:val="00507880"/>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521E"/>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397"/>
    <w:rsid w:val="005F6734"/>
    <w:rsid w:val="005F799E"/>
    <w:rsid w:val="006113BD"/>
    <w:rsid w:val="006126BA"/>
    <w:rsid w:val="00614196"/>
    <w:rsid w:val="006146C9"/>
    <w:rsid w:val="006206CA"/>
    <w:rsid w:val="00622CF0"/>
    <w:rsid w:val="00624A06"/>
    <w:rsid w:val="00624A59"/>
    <w:rsid w:val="00630C4B"/>
    <w:rsid w:val="00630FC2"/>
    <w:rsid w:val="006317C8"/>
    <w:rsid w:val="00634DD2"/>
    <w:rsid w:val="006408E4"/>
    <w:rsid w:val="00640D37"/>
    <w:rsid w:val="0064214E"/>
    <w:rsid w:val="006421A3"/>
    <w:rsid w:val="00642B2A"/>
    <w:rsid w:val="00644F86"/>
    <w:rsid w:val="006460E9"/>
    <w:rsid w:val="00646B50"/>
    <w:rsid w:val="00650211"/>
    <w:rsid w:val="006524F2"/>
    <w:rsid w:val="00653A76"/>
    <w:rsid w:val="0065440E"/>
    <w:rsid w:val="00663064"/>
    <w:rsid w:val="0068196C"/>
    <w:rsid w:val="00681F98"/>
    <w:rsid w:val="006916BA"/>
    <w:rsid w:val="00694131"/>
    <w:rsid w:val="00694D6B"/>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5A39"/>
    <w:rsid w:val="0070628D"/>
    <w:rsid w:val="00706E67"/>
    <w:rsid w:val="00707354"/>
    <w:rsid w:val="00707953"/>
    <w:rsid w:val="007106FC"/>
    <w:rsid w:val="00715D38"/>
    <w:rsid w:val="007205CE"/>
    <w:rsid w:val="0072107B"/>
    <w:rsid w:val="00724420"/>
    <w:rsid w:val="00725DED"/>
    <w:rsid w:val="007275BC"/>
    <w:rsid w:val="007307A1"/>
    <w:rsid w:val="00731840"/>
    <w:rsid w:val="00732D54"/>
    <w:rsid w:val="0073508F"/>
    <w:rsid w:val="00736530"/>
    <w:rsid w:val="00745528"/>
    <w:rsid w:val="0074730F"/>
    <w:rsid w:val="007550E6"/>
    <w:rsid w:val="0075631D"/>
    <w:rsid w:val="00757007"/>
    <w:rsid w:val="007574DF"/>
    <w:rsid w:val="00760762"/>
    <w:rsid w:val="00761115"/>
    <w:rsid w:val="007616FA"/>
    <w:rsid w:val="0077110E"/>
    <w:rsid w:val="007723D2"/>
    <w:rsid w:val="00776823"/>
    <w:rsid w:val="00785542"/>
    <w:rsid w:val="007925A3"/>
    <w:rsid w:val="00796584"/>
    <w:rsid w:val="00797413"/>
    <w:rsid w:val="007A1AC0"/>
    <w:rsid w:val="007A286B"/>
    <w:rsid w:val="007A33F2"/>
    <w:rsid w:val="007A5A9F"/>
    <w:rsid w:val="007A7085"/>
    <w:rsid w:val="007B25BC"/>
    <w:rsid w:val="007B27CA"/>
    <w:rsid w:val="007B346F"/>
    <w:rsid w:val="007B3BE9"/>
    <w:rsid w:val="007D500D"/>
    <w:rsid w:val="007D5D5D"/>
    <w:rsid w:val="007E0D02"/>
    <w:rsid w:val="007E2277"/>
    <w:rsid w:val="007E67CA"/>
    <w:rsid w:val="007F270C"/>
    <w:rsid w:val="007F3616"/>
    <w:rsid w:val="008109A5"/>
    <w:rsid w:val="00813028"/>
    <w:rsid w:val="008134BE"/>
    <w:rsid w:val="00822BE2"/>
    <w:rsid w:val="00823513"/>
    <w:rsid w:val="0082358F"/>
    <w:rsid w:val="00825464"/>
    <w:rsid w:val="0083209E"/>
    <w:rsid w:val="00832148"/>
    <w:rsid w:val="00833EEB"/>
    <w:rsid w:val="00840553"/>
    <w:rsid w:val="00844CB0"/>
    <w:rsid w:val="00845044"/>
    <w:rsid w:val="00847F6F"/>
    <w:rsid w:val="00850179"/>
    <w:rsid w:val="00852527"/>
    <w:rsid w:val="00853441"/>
    <w:rsid w:val="00853CD4"/>
    <w:rsid w:val="008569CF"/>
    <w:rsid w:val="008571D1"/>
    <w:rsid w:val="00860478"/>
    <w:rsid w:val="008605FA"/>
    <w:rsid w:val="00861745"/>
    <w:rsid w:val="0086190B"/>
    <w:rsid w:val="008624B5"/>
    <w:rsid w:val="00862BA9"/>
    <w:rsid w:val="00864424"/>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A5DC5"/>
    <w:rsid w:val="008B0FEE"/>
    <w:rsid w:val="008C1837"/>
    <w:rsid w:val="008C2656"/>
    <w:rsid w:val="008C6857"/>
    <w:rsid w:val="008C6934"/>
    <w:rsid w:val="008C79D6"/>
    <w:rsid w:val="008E2BAC"/>
    <w:rsid w:val="008E342F"/>
    <w:rsid w:val="008F7BA5"/>
    <w:rsid w:val="00900489"/>
    <w:rsid w:val="0090105E"/>
    <w:rsid w:val="009116D9"/>
    <w:rsid w:val="009143E0"/>
    <w:rsid w:val="00914C03"/>
    <w:rsid w:val="00914DF2"/>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14AC"/>
    <w:rsid w:val="009633A7"/>
    <w:rsid w:val="0096662E"/>
    <w:rsid w:val="009726A6"/>
    <w:rsid w:val="00981254"/>
    <w:rsid w:val="00983C16"/>
    <w:rsid w:val="00985B95"/>
    <w:rsid w:val="00986832"/>
    <w:rsid w:val="00987B58"/>
    <w:rsid w:val="00992220"/>
    <w:rsid w:val="00994661"/>
    <w:rsid w:val="009A7F2E"/>
    <w:rsid w:val="009B0BCE"/>
    <w:rsid w:val="009B4895"/>
    <w:rsid w:val="009C12DD"/>
    <w:rsid w:val="009C33C3"/>
    <w:rsid w:val="009C6C48"/>
    <w:rsid w:val="009D0A51"/>
    <w:rsid w:val="009D4D4F"/>
    <w:rsid w:val="009E059C"/>
    <w:rsid w:val="009E1DB0"/>
    <w:rsid w:val="009E501E"/>
    <w:rsid w:val="009F092B"/>
    <w:rsid w:val="009F435E"/>
    <w:rsid w:val="009F4797"/>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1A03"/>
    <w:rsid w:val="00A83715"/>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47A"/>
    <w:rsid w:val="00AD1806"/>
    <w:rsid w:val="00AD5345"/>
    <w:rsid w:val="00AD53B8"/>
    <w:rsid w:val="00AE75B8"/>
    <w:rsid w:val="00AF51B8"/>
    <w:rsid w:val="00AF5D98"/>
    <w:rsid w:val="00B00169"/>
    <w:rsid w:val="00B01B3B"/>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159C"/>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1DA1"/>
    <w:rsid w:val="00BF299A"/>
    <w:rsid w:val="00BF2C87"/>
    <w:rsid w:val="00BF452E"/>
    <w:rsid w:val="00BF6B4B"/>
    <w:rsid w:val="00BF73A8"/>
    <w:rsid w:val="00C00D9C"/>
    <w:rsid w:val="00C00F77"/>
    <w:rsid w:val="00C011E2"/>
    <w:rsid w:val="00C062AB"/>
    <w:rsid w:val="00C1232B"/>
    <w:rsid w:val="00C12CB3"/>
    <w:rsid w:val="00C16101"/>
    <w:rsid w:val="00C17B4E"/>
    <w:rsid w:val="00C23036"/>
    <w:rsid w:val="00C23B5A"/>
    <w:rsid w:val="00C23EE5"/>
    <w:rsid w:val="00C255FD"/>
    <w:rsid w:val="00C2651E"/>
    <w:rsid w:val="00C31F7D"/>
    <w:rsid w:val="00C3799D"/>
    <w:rsid w:val="00C40192"/>
    <w:rsid w:val="00C406C9"/>
    <w:rsid w:val="00C40B5E"/>
    <w:rsid w:val="00C410B5"/>
    <w:rsid w:val="00C41125"/>
    <w:rsid w:val="00C41CD2"/>
    <w:rsid w:val="00C42B98"/>
    <w:rsid w:val="00C4629A"/>
    <w:rsid w:val="00C5383F"/>
    <w:rsid w:val="00C5555C"/>
    <w:rsid w:val="00C6021D"/>
    <w:rsid w:val="00C6125B"/>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B1829"/>
    <w:rsid w:val="00CC5293"/>
    <w:rsid w:val="00CD3037"/>
    <w:rsid w:val="00CE0FA8"/>
    <w:rsid w:val="00CE21AD"/>
    <w:rsid w:val="00CE3DB1"/>
    <w:rsid w:val="00CE55C9"/>
    <w:rsid w:val="00CF0104"/>
    <w:rsid w:val="00CF0739"/>
    <w:rsid w:val="00CF3121"/>
    <w:rsid w:val="00CF32FA"/>
    <w:rsid w:val="00D04554"/>
    <w:rsid w:val="00D07037"/>
    <w:rsid w:val="00D0720D"/>
    <w:rsid w:val="00D117AE"/>
    <w:rsid w:val="00D12F06"/>
    <w:rsid w:val="00D13DF3"/>
    <w:rsid w:val="00D15CBD"/>
    <w:rsid w:val="00D15E94"/>
    <w:rsid w:val="00D21321"/>
    <w:rsid w:val="00D22676"/>
    <w:rsid w:val="00D24FC6"/>
    <w:rsid w:val="00D26ADB"/>
    <w:rsid w:val="00D30C2E"/>
    <w:rsid w:val="00D3329A"/>
    <w:rsid w:val="00D4428F"/>
    <w:rsid w:val="00D53F2F"/>
    <w:rsid w:val="00D54F58"/>
    <w:rsid w:val="00D57F00"/>
    <w:rsid w:val="00D64EAC"/>
    <w:rsid w:val="00D67FAD"/>
    <w:rsid w:val="00D71BDE"/>
    <w:rsid w:val="00D71E52"/>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C7613"/>
    <w:rsid w:val="00DD004E"/>
    <w:rsid w:val="00DD0966"/>
    <w:rsid w:val="00DD4E52"/>
    <w:rsid w:val="00DE10B5"/>
    <w:rsid w:val="00DE602D"/>
    <w:rsid w:val="00DE73C5"/>
    <w:rsid w:val="00DF17A6"/>
    <w:rsid w:val="00DF2818"/>
    <w:rsid w:val="00DF4D69"/>
    <w:rsid w:val="00DF65FC"/>
    <w:rsid w:val="00DF7C53"/>
    <w:rsid w:val="00E00285"/>
    <w:rsid w:val="00E00A82"/>
    <w:rsid w:val="00E063E6"/>
    <w:rsid w:val="00E170FF"/>
    <w:rsid w:val="00E20849"/>
    <w:rsid w:val="00E22045"/>
    <w:rsid w:val="00E229FD"/>
    <w:rsid w:val="00E260E5"/>
    <w:rsid w:val="00E31613"/>
    <w:rsid w:val="00E318A5"/>
    <w:rsid w:val="00E32435"/>
    <w:rsid w:val="00E36FDF"/>
    <w:rsid w:val="00E4259F"/>
    <w:rsid w:val="00E43657"/>
    <w:rsid w:val="00E5127E"/>
    <w:rsid w:val="00E54537"/>
    <w:rsid w:val="00E54882"/>
    <w:rsid w:val="00E5503D"/>
    <w:rsid w:val="00E56834"/>
    <w:rsid w:val="00E63D4C"/>
    <w:rsid w:val="00E66BE7"/>
    <w:rsid w:val="00E679F9"/>
    <w:rsid w:val="00E709FE"/>
    <w:rsid w:val="00E7637B"/>
    <w:rsid w:val="00E801E6"/>
    <w:rsid w:val="00E82C31"/>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5FEC"/>
    <w:rsid w:val="00F0636B"/>
    <w:rsid w:val="00F06486"/>
    <w:rsid w:val="00F07929"/>
    <w:rsid w:val="00F11871"/>
    <w:rsid w:val="00F120DC"/>
    <w:rsid w:val="00F14796"/>
    <w:rsid w:val="00F1546D"/>
    <w:rsid w:val="00F16BCE"/>
    <w:rsid w:val="00F172CF"/>
    <w:rsid w:val="00F22959"/>
    <w:rsid w:val="00F318BB"/>
    <w:rsid w:val="00F34564"/>
    <w:rsid w:val="00F35270"/>
    <w:rsid w:val="00F42921"/>
    <w:rsid w:val="00F45F4D"/>
    <w:rsid w:val="00F4685C"/>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D1F2A"/>
    <w:rsid w:val="00FD1F6E"/>
    <w:rsid w:val="00FD4D76"/>
    <w:rsid w:val="00FD601F"/>
    <w:rsid w:val="00FD6F7C"/>
    <w:rsid w:val="00FD7E8E"/>
    <w:rsid w:val="00FE0FF1"/>
    <w:rsid w:val="00FE441F"/>
    <w:rsid w:val="00FE7FDA"/>
    <w:rsid w:val="00FF2C98"/>
    <w:rsid w:val="00FF327E"/>
    <w:rsid w:val="00FF653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4fondo">
    <w:name w:val="corte4 fondo"/>
    <w:basedOn w:val="Normal"/>
    <w:link w:val="corte4fondoCar3"/>
    <w:qFormat/>
    <w:rsid w:val="00C062AB"/>
    <w:pPr>
      <w:spacing w:after="0" w:line="360" w:lineRule="auto"/>
      <w:ind w:firstLine="709"/>
      <w:jc w:val="both"/>
    </w:pPr>
    <w:rPr>
      <w:rFonts w:ascii="Arial" w:eastAsia="Times New Roman" w:hAnsi="Arial" w:cs="Times New Roman"/>
      <w:sz w:val="30"/>
      <w:szCs w:val="24"/>
      <w:lang w:eastAsia="es-MX"/>
    </w:rPr>
  </w:style>
  <w:style w:type="character" w:customStyle="1" w:styleId="corte4fondoCar3">
    <w:name w:val="corte4 fondo Car3"/>
    <w:link w:val="corte4fondo"/>
    <w:rsid w:val="00C062AB"/>
    <w:rPr>
      <w:rFonts w:ascii="Arial" w:eastAsia="Times New Roman" w:hAnsi="Arial" w:cs="Times New Roman"/>
      <w:sz w:val="30"/>
      <w:szCs w:val="24"/>
      <w:lang w:eastAsia="es-MX"/>
    </w:rPr>
  </w:style>
  <w:style w:type="character" w:customStyle="1" w:styleId="corte4fondoCar1">
    <w:name w:val="corte4 fondo Car1"/>
    <w:qFormat/>
    <w:locked/>
    <w:rsid w:val="00860478"/>
    <w:rPr>
      <w:rFonts w:ascii="Arial" w:eastAsia="Times New Roman" w:hAnsi="Arial" w:cs="Times New Roman"/>
      <w:sz w:val="30"/>
      <w:szCs w:val="20"/>
      <w:lang w:val="es-ES_tradnl" w:eastAsia="es-MX"/>
    </w:rPr>
  </w:style>
  <w:style w:type="paragraph" w:customStyle="1" w:styleId="corte2ponente">
    <w:name w:val="corte2 ponente"/>
    <w:basedOn w:val="Normal"/>
    <w:link w:val="corte2ponenteCar"/>
    <w:uiPriority w:val="99"/>
    <w:qFormat/>
    <w:rsid w:val="009F4797"/>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9F4797"/>
    <w:rPr>
      <w:rFonts w:ascii="Arial" w:eastAsia="Times New Roman" w:hAnsi="Arial" w:cs="Times New Roman"/>
      <w:b/>
      <w:caps/>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549727216">
      <w:bodyDiv w:val="1"/>
      <w:marLeft w:val="0"/>
      <w:marRight w:val="0"/>
      <w:marTop w:val="0"/>
      <w:marBottom w:val="0"/>
      <w:divBdr>
        <w:top w:val="none" w:sz="0" w:space="0" w:color="auto"/>
        <w:left w:val="none" w:sz="0" w:space="0" w:color="auto"/>
        <w:bottom w:val="none" w:sz="0" w:space="0" w:color="auto"/>
        <w:right w:val="none" w:sz="0" w:space="0" w:color="auto"/>
      </w:divBdr>
    </w:div>
    <w:div w:id="570164002">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74947184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478261751">
      <w:bodyDiv w:val="1"/>
      <w:marLeft w:val="0"/>
      <w:marRight w:val="0"/>
      <w:marTop w:val="0"/>
      <w:marBottom w:val="0"/>
      <w:divBdr>
        <w:top w:val="none" w:sz="0" w:space="0" w:color="auto"/>
        <w:left w:val="none" w:sz="0" w:space="0" w:color="auto"/>
        <w:bottom w:val="none" w:sz="0" w:space="0" w:color="auto"/>
        <w:right w:val="none" w:sz="0" w:space="0" w:color="auto"/>
      </w:divBdr>
    </w:div>
    <w:div w:id="1621062708">
      <w:bodyDiv w:val="1"/>
      <w:marLeft w:val="0"/>
      <w:marRight w:val="0"/>
      <w:marTop w:val="0"/>
      <w:marBottom w:val="0"/>
      <w:divBdr>
        <w:top w:val="none" w:sz="0" w:space="0" w:color="auto"/>
        <w:left w:val="none" w:sz="0" w:space="0" w:color="auto"/>
        <w:bottom w:val="none" w:sz="0" w:space="0" w:color="auto"/>
        <w:right w:val="none" w:sz="0" w:space="0" w:color="auto"/>
      </w:divBdr>
    </w:div>
    <w:div w:id="165098479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1741561101">
      <w:bodyDiv w:val="1"/>
      <w:marLeft w:val="0"/>
      <w:marRight w:val="0"/>
      <w:marTop w:val="0"/>
      <w:marBottom w:val="0"/>
      <w:divBdr>
        <w:top w:val="none" w:sz="0" w:space="0" w:color="auto"/>
        <w:left w:val="none" w:sz="0" w:space="0" w:color="auto"/>
        <w:bottom w:val="none" w:sz="0" w:space="0" w:color="auto"/>
        <w:right w:val="none" w:sz="0" w:space="0" w:color="auto"/>
      </w:divBdr>
    </w:div>
    <w:div w:id="1833763088">
      <w:bodyDiv w:val="1"/>
      <w:marLeft w:val="0"/>
      <w:marRight w:val="0"/>
      <w:marTop w:val="0"/>
      <w:marBottom w:val="0"/>
      <w:divBdr>
        <w:top w:val="none" w:sz="0" w:space="0" w:color="auto"/>
        <w:left w:val="none" w:sz="0" w:space="0" w:color="auto"/>
        <w:bottom w:val="none" w:sz="0" w:space="0" w:color="auto"/>
        <w:right w:val="none" w:sz="0" w:space="0" w:color="auto"/>
      </w:divBdr>
    </w:div>
    <w:div w:id="1844199707">
      <w:bodyDiv w:val="1"/>
      <w:marLeft w:val="0"/>
      <w:marRight w:val="0"/>
      <w:marTop w:val="0"/>
      <w:marBottom w:val="0"/>
      <w:divBdr>
        <w:top w:val="none" w:sz="0" w:space="0" w:color="auto"/>
        <w:left w:val="none" w:sz="0" w:space="0" w:color="auto"/>
        <w:bottom w:val="none" w:sz="0" w:space="0" w:color="auto"/>
        <w:right w:val="none" w:sz="0" w:space="0" w:color="auto"/>
      </w:divBdr>
    </w:div>
    <w:div w:id="191111389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4</Pages>
  <Words>1305</Words>
  <Characters>7178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60</cp:revision>
  <cp:lastPrinted>2021-06-08T20:16:00Z</cp:lastPrinted>
  <dcterms:created xsi:type="dcterms:W3CDTF">2023-04-28T00:15:00Z</dcterms:created>
  <dcterms:modified xsi:type="dcterms:W3CDTF">2025-08-21T16:49:00Z</dcterms:modified>
</cp:coreProperties>
</file>