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A6E4B37" w:rsidR="005D336A" w:rsidRPr="001004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EB3CEC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10046A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CC61DED" w:rsidR="00C451B3" w:rsidRPr="0010046A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479D5317" w14:textId="37D5F8BF" w:rsidR="00C451B3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10046A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10046A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10046A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10046A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10046A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87A8F04" w14:textId="06B3E800" w:rsidR="00392608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1A047507" w14:textId="01422D89" w:rsidR="005B5D3A" w:rsidRDefault="00D473A3" w:rsidP="005B5D3A">
      <w:pPr>
        <w:pStyle w:val="Prrafodelista"/>
        <w:numPr>
          <w:ilvl w:val="0"/>
          <w:numId w:val="31"/>
        </w:numPr>
        <w:spacing w:before="240" w:after="240" w:line="288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 w:rsidR="00D138D8"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D3D1B" w:rsidRPr="00CD3D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 en la Ciudad de México</w:t>
      </w:r>
      <w:r w:rsidR="00F244F2"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B5D3A" w:rsidRPr="005B5D3A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5B5D3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B5D3A" w:rsidRPr="005B5D3A">
        <w:rPr>
          <w:rFonts w:ascii="Arial" w:eastAsia="Times New Roman" w:hAnsi="Arial"/>
          <w:sz w:val="20"/>
          <w:szCs w:val="20"/>
          <w:lang w:val="es-ES" w:eastAsia="es-ES"/>
        </w:rPr>
        <w:t>en los siguientes inmuebles</w:t>
      </w:r>
      <w:r w:rsidR="005B5D3A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5141193D" w14:textId="77777777" w:rsidR="005B5D3A" w:rsidRPr="00CD3D1B" w:rsidRDefault="005B5D3A" w:rsidP="005B5D3A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49721B8A" w14:textId="77777777" w:rsidR="005B5D3A" w:rsidRPr="00CD3D1B" w:rsidRDefault="005B5D3A" w:rsidP="005B5D3A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Revolución, ubicado en avenida Revolución número 1508, colonia Guadalupe Inn, alcaldía Álvaro Obregón, código postal 01020, Ciudad de México.</w:t>
      </w:r>
    </w:p>
    <w:p w14:paraId="399769EE" w14:textId="77777777" w:rsidR="005B5D3A" w:rsidRPr="00CD3D1B" w:rsidRDefault="005B5D3A" w:rsidP="005B5D3A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00C79F6A" w14:textId="77777777" w:rsidR="005B5D3A" w:rsidRPr="00CD3D1B" w:rsidRDefault="005B5D3A" w:rsidP="005B5D3A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053B51B8" w14:textId="77777777" w:rsidR="005B5D3A" w:rsidRPr="00CD3D1B" w:rsidRDefault="005B5D3A" w:rsidP="005B5D3A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 esquina 5 de febrero, colonia Centro, alcaldía Cuauhtémoc, código postal 06080, Ciudad de México.</w:t>
      </w:r>
    </w:p>
    <w:p w14:paraId="4FBAB9C4" w14:textId="77777777" w:rsidR="005B5D3A" w:rsidRPr="00CD3D1B" w:rsidRDefault="005B5D3A" w:rsidP="005B5D3A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del Centro de Desarrollo Infantil, ubicado en calle Chimalpopoca número 112, esquina San Salvador el Verde, colonia Centro, alcaldía Cuauhtémoc, código postal 06080, Ciudad de México.</w:t>
      </w:r>
    </w:p>
    <w:p w14:paraId="497562D6" w14:textId="77777777" w:rsidR="005B5D3A" w:rsidRPr="00CD3D1B" w:rsidRDefault="005B5D3A" w:rsidP="005B5D3A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de República de El Salvador número 56, colonia Centro, alcaldía Cuauhtémoc, código postal 06010, Ciudad de México.</w:t>
      </w:r>
    </w:p>
    <w:p w14:paraId="375D8309" w14:textId="77777777" w:rsidR="005B5D3A" w:rsidRPr="00CD3D1B" w:rsidRDefault="005B5D3A" w:rsidP="005B5D3A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Casa de la Cultura Jurídica en Hermosillo, ubicada en calle Presbítero Pedro Villegas Ramírez (antes Calzada Nowalk) número 26, colonia Casa Blanca, código postal 83097, Hermosillo, Sonora.</w:t>
      </w:r>
    </w:p>
    <w:p w14:paraId="1978BB33" w14:textId="77777777" w:rsidR="005B5D3A" w:rsidRDefault="005B5D3A" w:rsidP="005B5D3A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Casa de la Cultura Jurídica en Guadalajara, ubicada en avenida Francisco Javier Gamboa número 98, esquina López Cotilla, colonia Americana, código postal 44150, Guadalajara, Jalisco.</w:t>
      </w:r>
    </w:p>
    <w:p w14:paraId="24657DE6" w14:textId="146D09D7" w:rsidR="005B5D3A" w:rsidRDefault="005B5D3A" w:rsidP="005B5D3A">
      <w:pPr>
        <w:pStyle w:val="Prrafodelista"/>
        <w:spacing w:before="240" w:after="24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B5D3A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numeral </w:t>
      </w:r>
      <w:r>
        <w:rPr>
          <w:rFonts w:ascii="Arial" w:eastAsia="Times New Roman" w:hAnsi="Arial"/>
          <w:sz w:val="20"/>
          <w:szCs w:val="20"/>
          <w:lang w:val="es-ES" w:eastAsia="es-ES"/>
        </w:rPr>
        <w:t>3</w:t>
      </w:r>
      <w:r w:rsidRPr="005B5D3A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convocatoria/bases; así como en los términos y condiciones de acuerdo con lo indicado en éstas, sus anexos y el contrato que al efecto se suscriba.</w:t>
      </w:r>
    </w:p>
    <w:p w14:paraId="361F414B" w14:textId="77777777" w:rsidR="005B5D3A" w:rsidRPr="005B5D3A" w:rsidRDefault="005B5D3A" w:rsidP="005B5D3A">
      <w:pPr>
        <w:pStyle w:val="Prrafodelista"/>
        <w:spacing w:before="240" w:after="24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9C7301A" w:rsidR="00392608" w:rsidRDefault="005B5D3A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A0EAA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precio unitario indicados en el</w:t>
      </w:r>
      <w:r w:rsidR="005F5671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D3D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="00AA0EAA"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</w:t>
      </w:r>
      <w:r>
        <w:rPr>
          <w:rFonts w:ascii="Arial" w:eastAsia="Times New Roman" w:hAnsi="Arial"/>
          <w:sz w:val="20"/>
          <w:szCs w:val="20"/>
          <w:lang w:val="es-ES" w:eastAsia="es-ES"/>
        </w:rPr>
        <w:t>al</w:t>
      </w:r>
      <w:r w:rsidR="00AA0EAA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AA0EAA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propuesta económica y e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AA0EAA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>
        <w:rPr>
          <w:rFonts w:ascii="Arial" w:eastAsia="Times New Roman" w:hAnsi="Arial"/>
          <w:sz w:val="20"/>
          <w:szCs w:val="20"/>
          <w:lang w:val="es-ES" w:eastAsia="es-ES"/>
        </w:rPr>
        <w:t>asciende a la cantidad de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nacional).</w:t>
      </w:r>
    </w:p>
    <w:p w14:paraId="309F3BD2" w14:textId="69374304" w:rsidR="00392608" w:rsidRPr="0010046A" w:rsidRDefault="00392608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La vigencia de la</w:t>
      </w:r>
      <w:r w:rsidR="005B5D3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propuesta técnica y económica es de </w:t>
      </w:r>
      <w:r w:rsidR="005B5D3A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F74B8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3898C67" w14:textId="77777777" w:rsidR="00F244F2" w:rsidRPr="00F244F2" w:rsidRDefault="00392608" w:rsidP="00767B62">
      <w:pPr>
        <w:pStyle w:val="Prrafodelista"/>
        <w:numPr>
          <w:ilvl w:val="0"/>
          <w:numId w:val="31"/>
        </w:numPr>
        <w:spacing w:before="240" w:after="240"/>
        <w:contextualSpacing w:val="0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F244F2"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a partir de la notificación de fallo hasta el treinta y uno de diciembre de dos mil veintitrés. </w:t>
      </w:r>
    </w:p>
    <w:p w14:paraId="3FF9BA62" w14:textId="2D114F9F" w:rsidR="005F46C0" w:rsidRDefault="00DB63E6" w:rsidP="00767B62">
      <w:pPr>
        <w:pStyle w:val="Prrafodelista"/>
        <w:numPr>
          <w:ilvl w:val="0"/>
          <w:numId w:val="3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</w:t>
      </w:r>
      <w:r w:rsidR="005F46C0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e pago la cual será </w:t>
      </w:r>
      <w:r w:rsidR="00F244F2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F244F2" w:rsidRPr="00F244F2">
        <w:rPr>
          <w:rFonts w:ascii="Arial" w:eastAsia="Times New Roman" w:hAnsi="Arial"/>
          <w:sz w:val="20"/>
          <w:szCs w:val="20"/>
          <w:lang w:val="es-ES" w:eastAsia="es-ES"/>
        </w:rPr>
        <w:t>cien por ciento contra entrega de servicios mensuales debidamente ejecutados a entera satisfacción de la Suprema Corte de Justicia de la Nación</w:t>
      </w:r>
      <w:r w:rsidR="005F46C0" w:rsidRPr="0010046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620C3EE" w14:textId="707F342A" w:rsidR="005B5D3A" w:rsidRPr="005B5D3A" w:rsidRDefault="00F244F2" w:rsidP="005B5D3A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5B5D3A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garantía </w:t>
      </w:r>
      <w:r w:rsidR="005B5D3A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5B5D3A" w:rsidRPr="005B5D3A">
        <w:rPr>
          <w:rFonts w:ascii="Arial" w:eastAsia="Times New Roman" w:hAnsi="Arial"/>
          <w:sz w:val="20"/>
          <w:szCs w:val="20"/>
          <w:lang w:val="es-ES" w:eastAsia="es-ES"/>
        </w:rPr>
        <w:t xml:space="preserve">el servicio durante la vigencia del </w:t>
      </w:r>
      <w:r w:rsidR="005B5D3A">
        <w:rPr>
          <w:rFonts w:ascii="Arial" w:eastAsia="Times New Roman" w:hAnsi="Arial"/>
          <w:sz w:val="20"/>
          <w:szCs w:val="20"/>
          <w:lang w:val="es-ES" w:eastAsia="es-ES"/>
        </w:rPr>
        <w:t xml:space="preserve">contrato </w:t>
      </w:r>
      <w:r w:rsidR="005B5D3A" w:rsidRPr="005B5D3A">
        <w:rPr>
          <w:rFonts w:ascii="Arial" w:eastAsia="Times New Roman" w:hAnsi="Arial"/>
          <w:sz w:val="20"/>
          <w:szCs w:val="20"/>
          <w:lang w:val="es-ES" w:eastAsia="es-ES"/>
        </w:rPr>
        <w:t>para atención de llamadas de emergencia las veinticuatro horas con un tiempo de respuesta de no mayor a una hora.</w:t>
      </w:r>
    </w:p>
    <w:p w14:paraId="649D4BED" w14:textId="6A7015E5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0046A" w:rsidRDefault="00C451B3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10046A" w:rsidRDefault="00C451B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10046A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38938013" w:rsidR="00A72513" w:rsidRDefault="00A7251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0DA5300C" w14:textId="1530F95B" w:rsidR="00CD3D1B" w:rsidRDefault="00CD3D1B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2DAC5FE" w14:textId="6DEA6202" w:rsidR="00CD3D1B" w:rsidRDefault="00CD3D1B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4AE11C1D" w14:textId="1340657F" w:rsidR="00CD3D1B" w:rsidRDefault="00CD3D1B" w:rsidP="005C175A">
      <w:pPr>
        <w:spacing w:before="120" w:after="12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</w:p>
    <w:tbl>
      <w:tblPr>
        <w:tblW w:w="5136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3"/>
        <w:gridCol w:w="1136"/>
        <w:gridCol w:w="1452"/>
        <w:gridCol w:w="1136"/>
        <w:gridCol w:w="1417"/>
      </w:tblGrid>
      <w:tr w:rsidR="00A9018C" w:rsidRPr="00470A93" w14:paraId="1E0D7702" w14:textId="77777777" w:rsidTr="00470A93">
        <w:trPr>
          <w:trHeight w:val="661"/>
          <w:jc w:val="center"/>
        </w:trPr>
        <w:tc>
          <w:tcPr>
            <w:tcW w:w="2515" w:type="pct"/>
            <w:shd w:val="clear" w:color="auto" w:fill="002060"/>
            <w:vAlign w:val="center"/>
            <w:hideMark/>
          </w:tcPr>
          <w:p w14:paraId="7569E35E" w14:textId="77777777" w:rsidR="00A9018C" w:rsidRPr="00470A93" w:rsidRDefault="00A9018C" w:rsidP="00A901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549" w:type="pct"/>
            <w:shd w:val="clear" w:color="auto" w:fill="002060"/>
            <w:vAlign w:val="center"/>
          </w:tcPr>
          <w:p w14:paraId="67F8C307" w14:textId="6722940E" w:rsidR="00A9018C" w:rsidRPr="00470A93" w:rsidRDefault="00A9018C" w:rsidP="00A901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CANTIDAD</w:t>
            </w:r>
          </w:p>
        </w:tc>
        <w:tc>
          <w:tcPr>
            <w:tcW w:w="702" w:type="pct"/>
            <w:shd w:val="clear" w:color="auto" w:fill="002060"/>
            <w:vAlign w:val="center"/>
            <w:hideMark/>
          </w:tcPr>
          <w:p w14:paraId="7D52772E" w14:textId="21662DD3" w:rsidR="00A9018C" w:rsidRPr="00470A93" w:rsidRDefault="00A9018C" w:rsidP="00A901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PRECIO UNITARIO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SIN IVA</w:t>
            </w:r>
          </w:p>
        </w:tc>
        <w:tc>
          <w:tcPr>
            <w:tcW w:w="549" w:type="pct"/>
            <w:shd w:val="clear" w:color="auto" w:fill="002060"/>
            <w:vAlign w:val="center"/>
            <w:hideMark/>
          </w:tcPr>
          <w:p w14:paraId="5FB30CF4" w14:textId="77777777" w:rsidR="00A9018C" w:rsidRPr="00470A93" w:rsidRDefault="00A9018C" w:rsidP="00A901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SUBTOTAL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SIN IVA</w:t>
            </w:r>
          </w:p>
        </w:tc>
        <w:tc>
          <w:tcPr>
            <w:tcW w:w="685" w:type="pct"/>
            <w:shd w:val="clear" w:color="auto" w:fill="002060"/>
            <w:vAlign w:val="center"/>
            <w:hideMark/>
          </w:tcPr>
          <w:p w14:paraId="7304E68C" w14:textId="6A5173D6" w:rsidR="00A9018C" w:rsidRPr="00470A93" w:rsidRDefault="00A9018C" w:rsidP="00A9018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IMPORTE</w:t>
            </w:r>
          </w:p>
        </w:tc>
      </w:tr>
      <w:tr w:rsidR="00470A93" w:rsidRPr="00470A93" w14:paraId="498E7A28" w14:textId="77777777" w:rsidTr="00470A93">
        <w:trPr>
          <w:trHeight w:val="1323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129A0E83" w14:textId="18B6C425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3.1.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El Mantenimiento anual preventivo a plantas de emergencia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ottomotores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, de diferentes modelos y potencia, incluye: Revisión general del equipo considerando, funcionamiento correcto de tablero de control y transferencia, motor de combustión interna y generador eléctrico.</w:t>
            </w:r>
          </w:p>
        </w:tc>
        <w:tc>
          <w:tcPr>
            <w:tcW w:w="549" w:type="pct"/>
            <w:vAlign w:val="center"/>
          </w:tcPr>
          <w:p w14:paraId="5E3EAA59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57F6F24B" w14:textId="58054BED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37BA1624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78F03652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53E180BA" w14:textId="77777777" w:rsidTr="00470A93">
        <w:trPr>
          <w:trHeight w:val="50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73F754CD" w14:textId="7F164F34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3.2.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Cambio de aceite y filtros al motor diésel cada 250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hrs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 de trabajo o 1 año lo que ocurra primero.</w:t>
            </w:r>
          </w:p>
        </w:tc>
        <w:tc>
          <w:tcPr>
            <w:tcW w:w="549" w:type="pct"/>
            <w:vAlign w:val="center"/>
          </w:tcPr>
          <w:p w14:paraId="727D31CF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7ECBD6C" w14:textId="1E5B7718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602BAF60" w14:textId="35F4A77D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6F3D93C" w14:textId="05CA431A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4CE37C7E" w14:textId="77777777" w:rsidTr="00470A93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420C2BB7" w14:textId="500CE450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3.3.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Revisión del sistema de combustible y cambios de filtros de combustible cada 250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hrs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 de trabajo o 1 año lo que ocurra primero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549" w:type="pct"/>
            <w:vAlign w:val="center"/>
          </w:tcPr>
          <w:p w14:paraId="67F5E372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F236FB1" w14:textId="3B7CE402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6D80CCFD" w14:textId="4143F6F8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144F123" w14:textId="6766648E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6A7E56CF" w14:textId="77777777" w:rsidTr="00470A93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687DE507" w14:textId="54A543BB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3.4.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Revisión del sistema de enfriamiento y aplicación de anticongelante y anticorrosivo al motor diésel de acuerdo con su requerimiento.</w:t>
            </w:r>
          </w:p>
        </w:tc>
        <w:tc>
          <w:tcPr>
            <w:tcW w:w="549" w:type="pct"/>
            <w:vAlign w:val="center"/>
          </w:tcPr>
          <w:p w14:paraId="40C82BEA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A4978D6" w14:textId="5E2C7AF8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4FAD98DC" w14:textId="6B765EB2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1CE1812" w14:textId="371BD45E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676EF5DE" w14:textId="77777777" w:rsidTr="00470A93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560FE749" w14:textId="42718DB8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3.5.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Cambio de filtro de aire cada 250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hrs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 de trabajo o 1 año lo que ocurra primero.</w:t>
            </w:r>
          </w:p>
        </w:tc>
        <w:tc>
          <w:tcPr>
            <w:tcW w:w="549" w:type="pct"/>
            <w:vAlign w:val="center"/>
          </w:tcPr>
          <w:p w14:paraId="3B28C432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5FB827D" w14:textId="41AEDDCF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3CC9C476" w14:textId="6C8028DC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382AE8C" w14:textId="0BAC77E3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2A8FD1F8" w14:textId="77777777" w:rsidTr="00470A93">
        <w:trPr>
          <w:trHeight w:val="561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4EE2229C" w14:textId="0E604EBC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3.6.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Pruebas generales de rutina, de protecciones. </w:t>
            </w:r>
          </w:p>
        </w:tc>
        <w:tc>
          <w:tcPr>
            <w:tcW w:w="549" w:type="pct"/>
            <w:vAlign w:val="center"/>
          </w:tcPr>
          <w:p w14:paraId="5456A97D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1BB1130E" w14:textId="727FEB98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7334B01D" w14:textId="307E25E6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75532EF" w14:textId="7280AFCF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46CF82FB" w14:textId="77777777" w:rsidTr="00470A93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507F6E5F" w14:textId="0C1EA303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lastRenderedPageBreak/>
              <w:t>3.7.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Mantenimiento preventivo y ajuste de interruptor de transferencia.</w:t>
            </w:r>
          </w:p>
        </w:tc>
        <w:tc>
          <w:tcPr>
            <w:tcW w:w="549" w:type="pct"/>
            <w:vAlign w:val="center"/>
          </w:tcPr>
          <w:p w14:paraId="43BA230E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6DFA32E" w14:textId="4DE58E70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5C840668" w14:textId="7A962A70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FF6B6CC" w14:textId="6DE6FD0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6763E291" w14:textId="77777777" w:rsidTr="00470A93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1CCD27D1" w14:textId="3F0671A3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3.8.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Pruebas de transferencias y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retransferencias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con el total de su carga.</w:t>
            </w:r>
          </w:p>
        </w:tc>
        <w:tc>
          <w:tcPr>
            <w:tcW w:w="549" w:type="pct"/>
            <w:vAlign w:val="center"/>
          </w:tcPr>
          <w:p w14:paraId="057D3640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F96E701" w14:textId="5185D693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4B28DC37" w14:textId="1685A7F0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995156D" w14:textId="20885032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3F46B987" w14:textId="77777777" w:rsidTr="00470A93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63F08D9F" w14:textId="4DFF0212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3.9.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Visitas mensuales de servicio técnico, por cada planta de emergencia, bitácora de servicios preventivos y diagnóstico de mantenimiento mayor.</w:t>
            </w:r>
          </w:p>
        </w:tc>
        <w:tc>
          <w:tcPr>
            <w:tcW w:w="549" w:type="pct"/>
            <w:vAlign w:val="center"/>
          </w:tcPr>
          <w:p w14:paraId="1E75ED1F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D16885E" w14:textId="287955DF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547A4A46" w14:textId="51E01F55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2804E3F" w14:textId="1E1ED91F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5490B920" w14:textId="77777777" w:rsidTr="00470A93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735BE49E" w14:textId="30777418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3.10.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En caso de emergencia se atiendan las 24 horas del día de los 365 días del año.</w:t>
            </w:r>
          </w:p>
        </w:tc>
        <w:tc>
          <w:tcPr>
            <w:tcW w:w="549" w:type="pct"/>
            <w:vAlign w:val="center"/>
          </w:tcPr>
          <w:p w14:paraId="275E84C0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0177D42" w14:textId="207C3A8D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502D4011" w14:textId="58DF073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2FFA603" w14:textId="7F24BA91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01FAB95C" w14:textId="77777777" w:rsidTr="00470A93">
        <w:trPr>
          <w:trHeight w:val="472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655F7E71" w14:textId="17CCC853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3.11.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Visitas de guardia con personal técnico, en caso de eventos de la SCJN que así lo requieran.</w:t>
            </w:r>
          </w:p>
        </w:tc>
        <w:tc>
          <w:tcPr>
            <w:tcW w:w="549" w:type="pct"/>
            <w:vAlign w:val="center"/>
          </w:tcPr>
          <w:p w14:paraId="1B82AF56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F8D3A80" w14:textId="3F165AF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680A2C8B" w14:textId="57AC8D2C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95BCE00" w14:textId="11B0A9DA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734A9702" w14:textId="77777777" w:rsidTr="00470A93">
        <w:trPr>
          <w:trHeight w:val="472"/>
          <w:jc w:val="center"/>
        </w:trPr>
        <w:tc>
          <w:tcPr>
            <w:tcW w:w="2515" w:type="pct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1ACD4BBA" w14:textId="3DA30899" w:rsidR="00357047" w:rsidRPr="00470A93" w:rsidRDefault="00357047" w:rsidP="00A9018C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3.12.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Un curso de operación básica a personal de mantenimiento.</w:t>
            </w:r>
          </w:p>
        </w:tc>
        <w:tc>
          <w:tcPr>
            <w:tcW w:w="549" w:type="pct"/>
            <w:tcBorders>
              <w:bottom w:val="single" w:sz="4" w:space="0" w:color="FFFFFF" w:themeColor="background1"/>
            </w:tcBorders>
            <w:vAlign w:val="center"/>
          </w:tcPr>
          <w:p w14:paraId="50DEDE55" w14:textId="7777777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110452D3" w14:textId="4170D401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6DEA2A5D" w14:textId="208212F7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B681716" w14:textId="391E5716" w:rsidR="00357047" w:rsidRPr="00470A93" w:rsidRDefault="00357047" w:rsidP="00A901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1CFC262B" w14:textId="77777777" w:rsidTr="00470A93">
        <w:trPr>
          <w:trHeight w:val="472"/>
          <w:jc w:val="center"/>
        </w:trPr>
        <w:tc>
          <w:tcPr>
            <w:tcW w:w="4315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FD33312" w14:textId="6452BF3A" w:rsidR="00357047" w:rsidRPr="00470A93" w:rsidRDefault="00357047" w:rsidP="003570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685" w:type="pct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45B4893" w14:textId="13AB90B1" w:rsidR="00357047" w:rsidRPr="00470A93" w:rsidRDefault="00357047" w:rsidP="003570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35B45F2B" w14:textId="77777777" w:rsidTr="00470A93">
        <w:trPr>
          <w:trHeight w:val="472"/>
          <w:jc w:val="center"/>
        </w:trPr>
        <w:tc>
          <w:tcPr>
            <w:tcW w:w="4315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4613589" w14:textId="0A8147AF" w:rsidR="00357047" w:rsidRPr="00470A93" w:rsidRDefault="00357047" w:rsidP="003570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  <w:t>IVA</w:t>
            </w:r>
          </w:p>
        </w:tc>
        <w:tc>
          <w:tcPr>
            <w:tcW w:w="685" w:type="pct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04F8529" w14:textId="37DA9F82" w:rsidR="00357047" w:rsidRPr="00470A93" w:rsidRDefault="00357047" w:rsidP="003570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357047" w:rsidRPr="00470A93" w14:paraId="3FF5711A" w14:textId="77777777" w:rsidTr="00470A93">
        <w:trPr>
          <w:trHeight w:val="472"/>
          <w:jc w:val="center"/>
        </w:trPr>
        <w:tc>
          <w:tcPr>
            <w:tcW w:w="4315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88D3F4A" w14:textId="7B544E9B" w:rsidR="00357047" w:rsidRPr="00470A93" w:rsidRDefault="00357047" w:rsidP="003570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  <w:t>TOTAL CON IVA</w:t>
            </w:r>
          </w:p>
        </w:tc>
        <w:tc>
          <w:tcPr>
            <w:tcW w:w="685" w:type="pct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C1D42B" w14:textId="4600D979" w:rsidR="00357047" w:rsidRPr="00470A93" w:rsidRDefault="00357047" w:rsidP="003570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</w:tbl>
    <w:p w14:paraId="5CD86A11" w14:textId="77777777" w:rsidR="00CD3D1B" w:rsidRDefault="00CD3D1B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EC1127E" w14:textId="77777777" w:rsidR="00CD3D1B" w:rsidRPr="0010046A" w:rsidRDefault="00CD3D1B" w:rsidP="00CD3D1B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6B512DE" w14:textId="77777777" w:rsidR="00CD3D1B" w:rsidRPr="0010046A" w:rsidRDefault="00CD3D1B" w:rsidP="00CD3D1B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 la Empresa Participante</w:t>
      </w:r>
    </w:p>
    <w:p w14:paraId="1BA1D226" w14:textId="77777777" w:rsidR="00CD3D1B" w:rsidRDefault="00CD3D1B" w:rsidP="00CD3D1B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753CC73D" w14:textId="77777777" w:rsidR="00D10607" w:rsidRDefault="00D10607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2420A5F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70C5F62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762104E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D2AD547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558CA3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FECEA4B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6732D7E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54E7123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8CECAB4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F32752D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2D84295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626B8FC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D1AB39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D669A7A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2611B88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48E98D0" w14:textId="77777777" w:rsidR="00470A93" w:rsidRDefault="00470A93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35215F8" w:rsidR="00FB5072" w:rsidRPr="0010046A" w:rsidRDefault="00FB5072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 PERSONA FÍSICA</w:t>
      </w:r>
    </w:p>
    <w:p w14:paraId="39CA60E4" w14:textId="11C978F3" w:rsidR="00A53937" w:rsidRPr="0010046A" w:rsidRDefault="00A53937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D138D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10046A" w:rsidRDefault="00C91095" w:rsidP="00D138D8">
      <w:pPr>
        <w:spacing w:before="120" w:after="120" w:line="288" w:lineRule="auto"/>
        <w:contextualSpacing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10046A" w:rsidRDefault="00411237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10046A" w:rsidRDefault="00966D54" w:rsidP="00D138D8">
      <w:pPr>
        <w:spacing w:before="120" w:after="120" w:line="288" w:lineRule="auto"/>
        <w:contextualSpacing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10046A" w:rsidRDefault="00C91095" w:rsidP="00D138D8">
      <w:pPr>
        <w:spacing w:before="120" w:after="120" w:line="288" w:lineRule="auto"/>
        <w:contextualSpacing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95BEC24" w14:textId="77777777" w:rsidR="00006DE0" w:rsidRDefault="00006DE0" w:rsidP="00006DE0">
      <w:pPr>
        <w:pStyle w:val="Prrafodelista"/>
        <w:numPr>
          <w:ilvl w:val="0"/>
          <w:numId w:val="4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CD3D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Póliza de mantenimiento anual preventivo a plantas de emergencia ubicadas en los diferentes edificios de la Suprema Corte de Justicia de la Nación en la Ciudad de México</w:t>
      </w:r>
      <w:r w:rsidRPr="00F244F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5B5D3A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5B5D3A">
        <w:rPr>
          <w:rFonts w:ascii="Arial" w:eastAsia="Times New Roman" w:hAnsi="Arial"/>
          <w:sz w:val="20"/>
          <w:szCs w:val="20"/>
          <w:lang w:val="es-ES" w:eastAsia="es-ES"/>
        </w:rPr>
        <w:t>en los siguientes inmuebles</w:t>
      </w:r>
      <w:r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467EE94F" w14:textId="77777777" w:rsidR="00006DE0" w:rsidRPr="00CD3D1B" w:rsidRDefault="00006DE0" w:rsidP="00006DE0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0DC95970" w14:textId="77777777" w:rsidR="00006DE0" w:rsidRPr="00CD3D1B" w:rsidRDefault="00006DE0" w:rsidP="00006DE0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Revolución, ubicado en avenida Revolución número 1508, colonia Guadalupe Inn, alcaldía Álvaro Obregón, código postal 01020, Ciudad de México.</w:t>
      </w:r>
    </w:p>
    <w:p w14:paraId="0078DA15" w14:textId="77777777" w:rsidR="00006DE0" w:rsidRPr="00CD3D1B" w:rsidRDefault="00006DE0" w:rsidP="00006DE0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37531A8A" w14:textId="77777777" w:rsidR="00006DE0" w:rsidRPr="00CD3D1B" w:rsidRDefault="00006DE0" w:rsidP="00006DE0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0A2E01D8" w14:textId="77777777" w:rsidR="00006DE0" w:rsidRPr="00CD3D1B" w:rsidRDefault="00006DE0" w:rsidP="00006DE0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 esquina 5 de febrero, colonia Centro, alcaldía Cuauhtémoc, código postal 06080, Ciudad de México.</w:t>
      </w:r>
    </w:p>
    <w:p w14:paraId="22097504" w14:textId="77777777" w:rsidR="00006DE0" w:rsidRPr="00CD3D1B" w:rsidRDefault="00006DE0" w:rsidP="00006DE0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del Centro de Desarrollo Infantil, ubicado en calle Chimalpopoca número 112, esquina San Salvador el Verde, colonia Centro, alcaldía Cuauhtémoc, código postal 06080, Ciudad de México.</w:t>
      </w:r>
    </w:p>
    <w:p w14:paraId="5FDAE11C" w14:textId="77777777" w:rsidR="00006DE0" w:rsidRPr="00CD3D1B" w:rsidRDefault="00006DE0" w:rsidP="00006DE0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Edificio Justicia TV, ubicado en la calle de República de El Salvador número 56, colonia Centro, alcaldía Cuauhtémoc, código postal 06010, Ciudad de México.</w:t>
      </w:r>
    </w:p>
    <w:p w14:paraId="6AFAD406" w14:textId="77777777" w:rsidR="00006DE0" w:rsidRPr="00CD3D1B" w:rsidRDefault="00006DE0" w:rsidP="00006DE0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Casa de la Cultura Jurídica en Hermosillo, ubicada en calle Presbítero Pedro Villegas Ramírez (antes Calzada Nowalk) número 26, colonia Casa Blanca, código postal 83097, Hermosillo, Sonora.</w:t>
      </w:r>
    </w:p>
    <w:p w14:paraId="33A4D6C0" w14:textId="77777777" w:rsidR="00006DE0" w:rsidRDefault="00006DE0" w:rsidP="00006DE0">
      <w:pPr>
        <w:pStyle w:val="Prrafodelista"/>
        <w:numPr>
          <w:ilvl w:val="0"/>
          <w:numId w:val="40"/>
        </w:numPr>
        <w:spacing w:before="240" w:after="240" w:line="288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D3D1B">
        <w:rPr>
          <w:rFonts w:ascii="Arial" w:eastAsia="Times New Roman" w:hAnsi="Arial"/>
          <w:sz w:val="20"/>
          <w:szCs w:val="20"/>
          <w:lang w:val="es-ES" w:eastAsia="es-ES"/>
        </w:rPr>
        <w:t>Casa de la Cultura Jurídica en Guadalajara, ubicada en avenida Francisco Javier Gamboa número 98, esquina López Cotilla, colonia Americana, código postal 44150, Guadalajara, Jalisco.</w:t>
      </w:r>
    </w:p>
    <w:p w14:paraId="55CF653B" w14:textId="77777777" w:rsidR="00006DE0" w:rsidRDefault="00006DE0" w:rsidP="00006DE0">
      <w:pPr>
        <w:pStyle w:val="Prrafodelista"/>
        <w:spacing w:before="240" w:after="24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B5D3A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006DE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5B5D3A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convocatoria/bases; así como en los términos y condiciones de acuerdo con lo indicado en éstas, sus anexos y el contrato que al efecto se suscriba.</w:t>
      </w:r>
    </w:p>
    <w:p w14:paraId="106B6E57" w14:textId="77777777" w:rsidR="00006DE0" w:rsidRPr="005B5D3A" w:rsidRDefault="00006DE0" w:rsidP="00006DE0">
      <w:pPr>
        <w:pStyle w:val="Prrafodelista"/>
        <w:spacing w:before="240" w:after="24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474B449" w14:textId="43A0F6F0" w:rsidR="00006DE0" w:rsidRDefault="00006DE0" w:rsidP="00006DE0">
      <w:pPr>
        <w:pStyle w:val="Prrafodelista"/>
        <w:numPr>
          <w:ilvl w:val="0"/>
          <w:numId w:val="4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precio unitario indicado en el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</w:t>
      </w:r>
      <w:r>
        <w:rPr>
          <w:rFonts w:ascii="Arial" w:eastAsia="Times New Roman" w:hAnsi="Arial"/>
          <w:sz w:val="20"/>
          <w:szCs w:val="20"/>
          <w:lang w:val="es-ES" w:eastAsia="es-ES"/>
        </w:rPr>
        <w:t>al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propuesta económica y el monto total </w:t>
      </w:r>
      <w:r>
        <w:rPr>
          <w:rFonts w:ascii="Arial" w:eastAsia="Times New Roman" w:hAnsi="Arial"/>
          <w:sz w:val="20"/>
          <w:szCs w:val="20"/>
          <w:lang w:val="es-ES" w:eastAsia="es-ES"/>
        </w:rPr>
        <w:t>asciende a la cantidad de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0C34FC3C" w14:textId="77777777" w:rsidR="00006DE0" w:rsidRPr="0010046A" w:rsidRDefault="00006DE0" w:rsidP="00006DE0">
      <w:pPr>
        <w:pStyle w:val="Prrafodelista"/>
        <w:numPr>
          <w:ilvl w:val="0"/>
          <w:numId w:val="4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propuesta técnica y económica es de </w:t>
      </w:r>
      <w:r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7BD479C" w14:textId="6481682F" w:rsidR="00006DE0" w:rsidRPr="00F244F2" w:rsidRDefault="00006DE0" w:rsidP="00006DE0">
      <w:pPr>
        <w:pStyle w:val="Prrafodelista"/>
        <w:numPr>
          <w:ilvl w:val="0"/>
          <w:numId w:val="41"/>
        </w:numPr>
        <w:spacing w:before="240" w:after="240"/>
        <w:contextualSpacing w:val="0"/>
        <w:rPr>
          <w:rFonts w:ascii="Arial" w:eastAsia="Times New Roman" w:hAnsi="Arial"/>
          <w:sz w:val="20"/>
          <w:szCs w:val="20"/>
          <w:lang w:val="es-ES" w:eastAsia="es-ES"/>
        </w:rPr>
      </w:pPr>
      <w:r w:rsidRPr="00F244F2">
        <w:rPr>
          <w:rFonts w:ascii="Arial" w:eastAsia="Times New Roman" w:hAnsi="Arial"/>
          <w:sz w:val="20"/>
          <w:szCs w:val="20"/>
          <w:lang w:val="es-ES" w:eastAsia="es-ES"/>
        </w:rPr>
        <w:t>Manifiest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será a partir de la notificación de fallo hasta el treinta y uno de diciembre de dos mil veintitrés. </w:t>
      </w:r>
    </w:p>
    <w:p w14:paraId="63712641" w14:textId="1171EAD2" w:rsidR="00006DE0" w:rsidRDefault="00006DE0" w:rsidP="00006DE0">
      <w:pPr>
        <w:pStyle w:val="Prrafodelista"/>
        <w:numPr>
          <w:ilvl w:val="0"/>
          <w:numId w:val="41"/>
        </w:numPr>
        <w:spacing w:before="240" w:after="24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Acepto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la cual será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F244F2">
        <w:rPr>
          <w:rFonts w:ascii="Arial" w:eastAsia="Times New Roman" w:hAnsi="Arial"/>
          <w:sz w:val="20"/>
          <w:szCs w:val="20"/>
          <w:lang w:val="es-ES" w:eastAsia="es-ES"/>
        </w:rPr>
        <w:t>cien por ciento contra entrega de servicios mensuales debidamente ejecutados a entera satisfacción de la Suprema Corte de Justicia de la Nación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6D56BC0" w14:textId="5871D1E4" w:rsidR="00006DE0" w:rsidRPr="005B5D3A" w:rsidRDefault="00006DE0" w:rsidP="00006DE0">
      <w:pPr>
        <w:pStyle w:val="Prrafodelista"/>
        <w:numPr>
          <w:ilvl w:val="0"/>
          <w:numId w:val="41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Otorgaré</w:t>
      </w:r>
      <w:r w:rsidRPr="005B5D3A">
        <w:rPr>
          <w:rFonts w:ascii="Arial" w:eastAsia="Times New Roman" w:hAnsi="Arial"/>
          <w:sz w:val="20"/>
          <w:szCs w:val="20"/>
          <w:lang w:val="es-ES" w:eastAsia="es-ES"/>
        </w:rPr>
        <w:t xml:space="preserve"> garantía </w:t>
      </w:r>
      <w:r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Pr="005B5D3A">
        <w:rPr>
          <w:rFonts w:ascii="Arial" w:eastAsia="Times New Roman" w:hAnsi="Arial"/>
          <w:sz w:val="20"/>
          <w:szCs w:val="20"/>
          <w:lang w:val="es-ES" w:eastAsia="es-ES"/>
        </w:rPr>
        <w:t xml:space="preserve">el servicio durante la vigencia del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contrato </w:t>
      </w:r>
      <w:r w:rsidRPr="005B5D3A">
        <w:rPr>
          <w:rFonts w:ascii="Arial" w:eastAsia="Times New Roman" w:hAnsi="Arial"/>
          <w:sz w:val="20"/>
          <w:szCs w:val="20"/>
          <w:lang w:val="es-ES" w:eastAsia="es-ES"/>
        </w:rPr>
        <w:t>para atención de llamadas de emergencia las veinticuatro horas con un tiempo de respuesta de no mayor a una hora.</w:t>
      </w:r>
    </w:p>
    <w:p w14:paraId="57BE5912" w14:textId="77777777" w:rsidR="00CD3D1B" w:rsidRPr="0010046A" w:rsidRDefault="00CD3D1B" w:rsidP="00CD3D1B">
      <w:pPr>
        <w:spacing w:before="120" w:after="120" w:line="288" w:lineRule="auto"/>
        <w:contextualSpacing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10046A" w:rsidRDefault="00C91095" w:rsidP="00D138D8">
      <w:pPr>
        <w:spacing w:before="120" w:after="120" w:line="288" w:lineRule="auto"/>
        <w:contextualSpacing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10046A" w:rsidRDefault="005D336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10046A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2698F0FA" w:rsidR="00C451B3" w:rsidRDefault="00C91095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45ADAEE" w14:textId="6C8DB33A" w:rsidR="005C175A" w:rsidRDefault="005C175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8798948" w14:textId="77777777" w:rsidR="00470A93" w:rsidRDefault="00470A93" w:rsidP="00470A93">
      <w:pPr>
        <w:spacing w:before="120" w:after="120" w:line="288" w:lineRule="auto"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308E1609" w14:textId="55F022F2" w:rsidR="00470A93" w:rsidRDefault="00470A93" w:rsidP="00470A93">
      <w:pPr>
        <w:spacing w:before="120" w:after="120" w:line="288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</w:p>
    <w:p w14:paraId="019EFAAA" w14:textId="4B030A53" w:rsidR="005C175A" w:rsidRDefault="005C175A" w:rsidP="00D138D8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W w:w="5136" w:type="pct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3"/>
        <w:gridCol w:w="1136"/>
        <w:gridCol w:w="1452"/>
        <w:gridCol w:w="1136"/>
        <w:gridCol w:w="1417"/>
      </w:tblGrid>
      <w:tr w:rsidR="00470A93" w:rsidRPr="00470A93" w14:paraId="27F418E3" w14:textId="77777777" w:rsidTr="002541A0">
        <w:trPr>
          <w:trHeight w:val="661"/>
          <w:jc w:val="center"/>
        </w:trPr>
        <w:tc>
          <w:tcPr>
            <w:tcW w:w="2515" w:type="pct"/>
            <w:shd w:val="clear" w:color="auto" w:fill="002060"/>
            <w:vAlign w:val="center"/>
            <w:hideMark/>
          </w:tcPr>
          <w:p w14:paraId="5EE0F7A9" w14:textId="77777777" w:rsidR="00470A93" w:rsidRPr="00470A93" w:rsidRDefault="00470A93" w:rsidP="002541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549" w:type="pct"/>
            <w:shd w:val="clear" w:color="auto" w:fill="002060"/>
            <w:vAlign w:val="center"/>
          </w:tcPr>
          <w:p w14:paraId="7789FB90" w14:textId="77777777" w:rsidR="00470A93" w:rsidRPr="00470A93" w:rsidRDefault="00470A93" w:rsidP="002541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CANTIDAD</w:t>
            </w:r>
          </w:p>
        </w:tc>
        <w:tc>
          <w:tcPr>
            <w:tcW w:w="702" w:type="pct"/>
            <w:shd w:val="clear" w:color="auto" w:fill="002060"/>
            <w:vAlign w:val="center"/>
            <w:hideMark/>
          </w:tcPr>
          <w:p w14:paraId="0384B61B" w14:textId="77777777" w:rsidR="00470A93" w:rsidRPr="00470A93" w:rsidRDefault="00470A93" w:rsidP="002541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PRECIO UNITARIO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SIN IVA</w:t>
            </w:r>
          </w:p>
        </w:tc>
        <w:tc>
          <w:tcPr>
            <w:tcW w:w="549" w:type="pct"/>
            <w:shd w:val="clear" w:color="auto" w:fill="002060"/>
            <w:vAlign w:val="center"/>
            <w:hideMark/>
          </w:tcPr>
          <w:p w14:paraId="154AE7C7" w14:textId="77777777" w:rsidR="00470A93" w:rsidRPr="00470A93" w:rsidRDefault="00470A93" w:rsidP="002541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SUBTOTAL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SIN IVA</w:t>
            </w:r>
          </w:p>
        </w:tc>
        <w:tc>
          <w:tcPr>
            <w:tcW w:w="685" w:type="pct"/>
            <w:shd w:val="clear" w:color="auto" w:fill="002060"/>
            <w:vAlign w:val="center"/>
            <w:hideMark/>
          </w:tcPr>
          <w:p w14:paraId="75AA7915" w14:textId="77777777" w:rsidR="00470A93" w:rsidRPr="00470A93" w:rsidRDefault="00470A93" w:rsidP="002541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IMPORTE</w:t>
            </w:r>
          </w:p>
        </w:tc>
      </w:tr>
      <w:tr w:rsidR="00470A93" w:rsidRPr="00470A93" w14:paraId="5D6A75EF" w14:textId="77777777" w:rsidTr="002541A0">
        <w:trPr>
          <w:trHeight w:val="1323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5A6B727D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3.1.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El Mantenimiento anual preventivo a plantas de emergencia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ottomotores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, de diferentes modelos y potencia, incluye: Revisión general del equipo considerando, funcionamiento correcto de tablero de control y transferencia, motor de combustión interna y generador eléctrico.</w:t>
            </w:r>
          </w:p>
        </w:tc>
        <w:tc>
          <w:tcPr>
            <w:tcW w:w="549" w:type="pct"/>
            <w:vAlign w:val="center"/>
          </w:tcPr>
          <w:p w14:paraId="6713FDD3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04FD6E62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  <w:hideMark/>
          </w:tcPr>
          <w:p w14:paraId="09805A34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1C114400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72978ADC" w14:textId="77777777" w:rsidTr="002541A0">
        <w:trPr>
          <w:trHeight w:val="50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583B4C08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3.2.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Cambio de aceite y filtros al motor diésel cada 250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hrs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 de trabajo o 1 año lo que ocurra primero.</w:t>
            </w:r>
          </w:p>
        </w:tc>
        <w:tc>
          <w:tcPr>
            <w:tcW w:w="549" w:type="pct"/>
            <w:vAlign w:val="center"/>
          </w:tcPr>
          <w:p w14:paraId="75E0B28F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82F081E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4F573D97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0E2A9C3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6542F9FB" w14:textId="77777777" w:rsidTr="002541A0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3AB6FEC7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3.3.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Revisión del sistema de combustible y cambios de filtros de combustible cada 250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hrs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 de trabajo o 1 año lo que ocurra primero.</w:t>
            </w:r>
          </w:p>
        </w:tc>
        <w:tc>
          <w:tcPr>
            <w:tcW w:w="549" w:type="pct"/>
            <w:vAlign w:val="center"/>
          </w:tcPr>
          <w:p w14:paraId="1958DEA7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16275A7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394837FF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299118C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016552E5" w14:textId="77777777" w:rsidTr="002541A0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557CEF05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3.4.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Revisión del sistema de enfriamiento y aplicación de anticongelante y anticorrosivo al motor diésel de acuerdo con su requerimiento.</w:t>
            </w:r>
          </w:p>
        </w:tc>
        <w:tc>
          <w:tcPr>
            <w:tcW w:w="549" w:type="pct"/>
            <w:vAlign w:val="center"/>
          </w:tcPr>
          <w:p w14:paraId="34EA6EAE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0A4D737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6EE10FD3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B29105B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096E8E27" w14:textId="77777777" w:rsidTr="002541A0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2729DAE2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3.5.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Cambio de filtro de aire cada 250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hrs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. de trabajo o 1 año lo que ocurra primero.</w:t>
            </w:r>
          </w:p>
        </w:tc>
        <w:tc>
          <w:tcPr>
            <w:tcW w:w="549" w:type="pct"/>
            <w:vAlign w:val="center"/>
          </w:tcPr>
          <w:p w14:paraId="0BBED2B8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2A687D1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39B52A24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61E74AA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254A54D4" w14:textId="77777777" w:rsidTr="002541A0">
        <w:trPr>
          <w:trHeight w:val="561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71503353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3.6.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Pruebas generales de rutina, de protecciones. </w:t>
            </w:r>
          </w:p>
        </w:tc>
        <w:tc>
          <w:tcPr>
            <w:tcW w:w="549" w:type="pct"/>
            <w:vAlign w:val="center"/>
          </w:tcPr>
          <w:p w14:paraId="2CCDEA18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29A66C5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28657B6B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83C886B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6D4D489C" w14:textId="77777777" w:rsidTr="002541A0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2FA50855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lastRenderedPageBreak/>
              <w:t>3.7.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Mantenimiento preventivo y ajuste de interruptor de transferencia.</w:t>
            </w:r>
          </w:p>
        </w:tc>
        <w:tc>
          <w:tcPr>
            <w:tcW w:w="549" w:type="pct"/>
            <w:vAlign w:val="center"/>
          </w:tcPr>
          <w:p w14:paraId="693D6B02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43F2C87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369C1A19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DA21005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0264ACE9" w14:textId="77777777" w:rsidTr="002541A0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48E77CBC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3.8.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Pruebas de transferencias y </w:t>
            </w:r>
            <w:proofErr w:type="spellStart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retransferencias</w:t>
            </w:r>
            <w:proofErr w:type="spellEnd"/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con el total de su carga.</w:t>
            </w:r>
          </w:p>
        </w:tc>
        <w:tc>
          <w:tcPr>
            <w:tcW w:w="549" w:type="pct"/>
            <w:vAlign w:val="center"/>
          </w:tcPr>
          <w:p w14:paraId="73A92012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A404255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4E3D9104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AF13400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02CDCD96" w14:textId="77777777" w:rsidTr="002541A0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6B4A1001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3.9.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Visitas mensuales de servicio técnico, por cada planta de emergencia, bitácora de servicios preventivos y diagnóstico de mantenimiento mayor.</w:t>
            </w:r>
          </w:p>
        </w:tc>
        <w:tc>
          <w:tcPr>
            <w:tcW w:w="549" w:type="pct"/>
            <w:vAlign w:val="center"/>
          </w:tcPr>
          <w:p w14:paraId="1354DA66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94B31FA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14C92322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35584A1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5F4FB933" w14:textId="77777777" w:rsidTr="002541A0">
        <w:trPr>
          <w:trHeight w:val="546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2C54B6B4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3.10.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En caso de emergencia se atiendan las 24 horas del día de los 365 días del año.</w:t>
            </w:r>
          </w:p>
        </w:tc>
        <w:tc>
          <w:tcPr>
            <w:tcW w:w="549" w:type="pct"/>
            <w:vAlign w:val="center"/>
          </w:tcPr>
          <w:p w14:paraId="48F1EE9C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45BB1A4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4CBA8152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A000F17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7C7347C5" w14:textId="77777777" w:rsidTr="002541A0">
        <w:trPr>
          <w:trHeight w:val="472"/>
          <w:jc w:val="center"/>
        </w:trPr>
        <w:tc>
          <w:tcPr>
            <w:tcW w:w="2515" w:type="pct"/>
            <w:shd w:val="clear" w:color="auto" w:fill="auto"/>
            <w:vAlign w:val="center"/>
          </w:tcPr>
          <w:p w14:paraId="1080BD2F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3.11.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Visitas de guardia con personal técnico, en caso de eventos de la SCJN que así lo requieran.</w:t>
            </w:r>
          </w:p>
        </w:tc>
        <w:tc>
          <w:tcPr>
            <w:tcW w:w="549" w:type="pct"/>
            <w:vAlign w:val="center"/>
          </w:tcPr>
          <w:p w14:paraId="35E67DE1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677F75A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23593700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09FC5C8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183886B4" w14:textId="77777777" w:rsidTr="002541A0">
        <w:trPr>
          <w:trHeight w:val="472"/>
          <w:jc w:val="center"/>
        </w:trPr>
        <w:tc>
          <w:tcPr>
            <w:tcW w:w="2515" w:type="pct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6D9540A8" w14:textId="77777777" w:rsidR="00470A93" w:rsidRPr="00470A93" w:rsidRDefault="00470A93" w:rsidP="002541A0">
            <w:pPr>
              <w:spacing w:after="0" w:line="288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3.12.</w:t>
            </w:r>
            <w:r w:rsidRPr="00470A93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 Un curso de operación básica a personal de mantenimiento.</w:t>
            </w:r>
          </w:p>
        </w:tc>
        <w:tc>
          <w:tcPr>
            <w:tcW w:w="549" w:type="pct"/>
            <w:tcBorders>
              <w:bottom w:val="single" w:sz="4" w:space="0" w:color="FFFFFF" w:themeColor="background1"/>
            </w:tcBorders>
            <w:vAlign w:val="center"/>
          </w:tcPr>
          <w:p w14:paraId="11DE630C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pct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1B8A7A22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549" w:type="pct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2A7C3BBA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B0C0C15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49A589F1" w14:textId="77777777" w:rsidTr="002541A0">
        <w:trPr>
          <w:trHeight w:val="472"/>
          <w:jc w:val="center"/>
        </w:trPr>
        <w:tc>
          <w:tcPr>
            <w:tcW w:w="4315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B9471A5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685" w:type="pct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8D8A102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62C29029" w14:textId="77777777" w:rsidTr="002541A0">
        <w:trPr>
          <w:trHeight w:val="472"/>
          <w:jc w:val="center"/>
        </w:trPr>
        <w:tc>
          <w:tcPr>
            <w:tcW w:w="4315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EA9AF93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  <w:t>IVA</w:t>
            </w:r>
          </w:p>
        </w:tc>
        <w:tc>
          <w:tcPr>
            <w:tcW w:w="685" w:type="pct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EC1901C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  <w:tr w:rsidR="00470A93" w:rsidRPr="00470A93" w14:paraId="7C14D6AC" w14:textId="77777777" w:rsidTr="002541A0">
        <w:trPr>
          <w:trHeight w:val="472"/>
          <w:jc w:val="center"/>
        </w:trPr>
        <w:tc>
          <w:tcPr>
            <w:tcW w:w="4315" w:type="pct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D2156D3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pacing w:val="100"/>
                <w:sz w:val="18"/>
                <w:szCs w:val="18"/>
                <w:lang w:eastAsia="es-MX"/>
              </w:rPr>
              <w:t>TOTAL CON IVA</w:t>
            </w:r>
          </w:p>
        </w:tc>
        <w:tc>
          <w:tcPr>
            <w:tcW w:w="685" w:type="pct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30CC600" w14:textId="77777777" w:rsidR="00470A93" w:rsidRPr="00470A93" w:rsidRDefault="00470A93" w:rsidP="002541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PRECIO CON NÚMERO </w:t>
            </w:r>
            <w:r w:rsidRPr="00470A9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br/>
              <w:t>Y LETRA</w:t>
            </w:r>
          </w:p>
        </w:tc>
      </w:tr>
    </w:tbl>
    <w:p w14:paraId="4B04507E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3F9AB107" w14:textId="77777777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9F176B" w14:textId="2DB62448" w:rsidR="005C175A" w:rsidRPr="0010046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253BF5A" w14:textId="77777777" w:rsidR="005C175A" w:rsidRPr="0010046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C1291C0" w14:textId="32D2CF42" w:rsidR="005C175A" w:rsidRDefault="005C175A" w:rsidP="005C175A">
      <w:pPr>
        <w:spacing w:before="120" w:after="120" w:line="288" w:lineRule="auto"/>
        <w:contextualSpacing/>
        <w:jc w:val="center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5C175A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C072E" w14:textId="77777777" w:rsidR="00216E48" w:rsidRDefault="00216E48" w:rsidP="00C451B3">
      <w:pPr>
        <w:spacing w:after="0" w:line="240" w:lineRule="auto"/>
      </w:pPr>
      <w:r>
        <w:separator/>
      </w:r>
    </w:p>
  </w:endnote>
  <w:endnote w:type="continuationSeparator" w:id="0">
    <w:p w14:paraId="6EFD178F" w14:textId="77777777" w:rsidR="00216E48" w:rsidRDefault="00216E4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A2CE" w14:textId="77777777" w:rsidR="0010046A" w:rsidRDefault="0010046A" w:rsidP="00125C49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619E5083" w14:textId="77777777" w:rsidR="005C175A" w:rsidRDefault="005C175A" w:rsidP="009B1F0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6C2693E" w:rsidR="001106E2" w:rsidRPr="00AA0EAA" w:rsidRDefault="00392608" w:rsidP="009B1F0C">
    <w:pPr>
      <w:pStyle w:val="Piedepgina"/>
      <w:ind w:right="-552"/>
      <w:jc w:val="right"/>
      <w:rPr>
        <w:lang w:val="en-US"/>
      </w:rPr>
    </w:pPr>
    <w:bookmarkStart w:id="2" w:name="_Hlk127446812"/>
    <w:bookmarkStart w:id="3" w:name="_Hlk127446813"/>
    <w:bookmarkStart w:id="4" w:name="_Hlk127446818"/>
    <w:bookmarkStart w:id="5" w:name="_Hlk127446819"/>
    <w:r w:rsidRPr="00392608">
      <w:rPr>
        <w:rFonts w:ascii="Arial" w:hAnsi="Arial" w:cs="Arial"/>
        <w:sz w:val="10"/>
        <w:szCs w:val="10"/>
        <w:lang w:val="en-US"/>
      </w:rPr>
      <w:t>SCJN/CPS/DGIF-DACC/0</w:t>
    </w:r>
    <w:r w:rsidR="005B5D3A">
      <w:rPr>
        <w:rFonts w:ascii="Arial" w:hAnsi="Arial" w:cs="Arial"/>
        <w:sz w:val="10"/>
        <w:szCs w:val="10"/>
        <w:lang w:val="en-US"/>
      </w:rPr>
      <w:t>02</w:t>
    </w:r>
    <w:r w:rsidR="00125C49">
      <w:rPr>
        <w:rFonts w:ascii="Arial" w:hAnsi="Arial" w:cs="Arial"/>
        <w:sz w:val="10"/>
        <w:szCs w:val="10"/>
        <w:lang w:val="en-US"/>
      </w:rPr>
      <w:t>/</w:t>
    </w:r>
    <w:r w:rsidRPr="00392608">
      <w:rPr>
        <w:rFonts w:ascii="Arial" w:hAnsi="Arial" w:cs="Arial"/>
        <w:sz w:val="10"/>
        <w:szCs w:val="10"/>
        <w:lang w:val="en-US"/>
      </w:rPr>
      <w:t>202</w:t>
    </w:r>
    <w:r w:rsidR="005B5D3A">
      <w:rPr>
        <w:rFonts w:ascii="Arial" w:hAnsi="Arial" w:cs="Arial"/>
        <w:sz w:val="10"/>
        <w:szCs w:val="10"/>
        <w:lang w:val="en-US"/>
      </w:rPr>
      <w:t xml:space="preserve">3 </w:t>
    </w:r>
    <w:r w:rsidR="00C343D2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1</w:t>
    </w:r>
    <w:r w:rsidR="00767B62">
      <w:rPr>
        <w:rFonts w:ascii="Arial" w:hAnsi="Arial" w:cs="Arial"/>
        <w:sz w:val="10"/>
        <w:szCs w:val="10"/>
        <w:lang w:val="en-US"/>
      </w:rPr>
      <w:t>2</w:t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68C07" w14:textId="77777777" w:rsidR="00216E48" w:rsidRDefault="00216E48" w:rsidP="00C451B3">
      <w:pPr>
        <w:spacing w:after="0" w:line="240" w:lineRule="auto"/>
      </w:pPr>
      <w:r>
        <w:separator/>
      </w:r>
    </w:p>
  </w:footnote>
  <w:footnote w:type="continuationSeparator" w:id="0">
    <w:p w14:paraId="687382EB" w14:textId="77777777" w:rsidR="00216E48" w:rsidRDefault="00216E4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473A" w14:textId="77777777" w:rsidR="005B5D3A" w:rsidRDefault="005B5D3A" w:rsidP="005B5D3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0" w:name="_Hlk107240364"/>
    <w:bookmarkStart w:id="1" w:name="_Hlk127446788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002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5B9C4307" w14:textId="77777777" w:rsidR="005B5D3A" w:rsidRDefault="005B5D3A" w:rsidP="005B5D3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14C43DE9" w14:textId="77777777" w:rsidR="005B5D3A" w:rsidRDefault="005B5D3A" w:rsidP="005B5D3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4787C95E" w14:textId="77777777" w:rsidR="005B5D3A" w:rsidRDefault="005B5D3A" w:rsidP="005B5D3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SUPREMA CORTE DE JUSTICIA DE LA NACIÓN EN LA CIUDAD DE MÉXICO”</w:t>
    </w:r>
    <w:bookmarkEnd w:id="0"/>
  </w:p>
  <w:bookmarkEnd w:id="1"/>
  <w:p w14:paraId="68D6FF5C" w14:textId="72D76381" w:rsidR="001106E2" w:rsidRPr="0045750C" w:rsidRDefault="001A025B" w:rsidP="002806D2">
    <w:pPr>
      <w:spacing w:after="0" w:line="240" w:lineRule="auto"/>
      <w:ind w:right="17"/>
      <w:jc w:val="center"/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1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F74637"/>
    <w:multiLevelType w:val="hybridMultilevel"/>
    <w:tmpl w:val="0D34EAD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30E93"/>
    <w:multiLevelType w:val="hybridMultilevel"/>
    <w:tmpl w:val="0D34EAD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5271C5"/>
    <w:multiLevelType w:val="hybridMultilevel"/>
    <w:tmpl w:val="42EE1F6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2128E"/>
    <w:multiLevelType w:val="hybridMultilevel"/>
    <w:tmpl w:val="0D34EAD8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1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4EDB757F"/>
    <w:multiLevelType w:val="hybridMultilevel"/>
    <w:tmpl w:val="0D1078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A0D0086"/>
    <w:multiLevelType w:val="hybridMultilevel"/>
    <w:tmpl w:val="0D34EAD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435AE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DA78A4"/>
    <w:multiLevelType w:val="hybridMultilevel"/>
    <w:tmpl w:val="FD9609FC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892085">
    <w:abstractNumId w:val="28"/>
  </w:num>
  <w:num w:numId="2" w16cid:durableId="1223323286">
    <w:abstractNumId w:val="11"/>
  </w:num>
  <w:num w:numId="3" w16cid:durableId="201334525">
    <w:abstractNumId w:val="36"/>
  </w:num>
  <w:num w:numId="4" w16cid:durableId="593488">
    <w:abstractNumId w:val="18"/>
  </w:num>
  <w:num w:numId="5" w16cid:durableId="1905145605">
    <w:abstractNumId w:val="7"/>
  </w:num>
  <w:num w:numId="6" w16cid:durableId="95250338">
    <w:abstractNumId w:val="26"/>
  </w:num>
  <w:num w:numId="7" w16cid:durableId="1344437959">
    <w:abstractNumId w:val="6"/>
  </w:num>
  <w:num w:numId="8" w16cid:durableId="1406605801">
    <w:abstractNumId w:val="8"/>
  </w:num>
  <w:num w:numId="9" w16cid:durableId="2121877757">
    <w:abstractNumId w:val="21"/>
  </w:num>
  <w:num w:numId="10" w16cid:durableId="1467621293">
    <w:abstractNumId w:val="32"/>
  </w:num>
  <w:num w:numId="11" w16cid:durableId="644434650">
    <w:abstractNumId w:val="37"/>
  </w:num>
  <w:num w:numId="12" w16cid:durableId="53742689">
    <w:abstractNumId w:val="29"/>
  </w:num>
  <w:num w:numId="13" w16cid:durableId="1595822487">
    <w:abstractNumId w:val="17"/>
  </w:num>
  <w:num w:numId="14" w16cid:durableId="738670899">
    <w:abstractNumId w:val="30"/>
  </w:num>
  <w:num w:numId="15" w16cid:durableId="574323970">
    <w:abstractNumId w:val="16"/>
  </w:num>
  <w:num w:numId="16" w16cid:durableId="1545865761">
    <w:abstractNumId w:val="35"/>
  </w:num>
  <w:num w:numId="17" w16cid:durableId="1773745879">
    <w:abstractNumId w:val="40"/>
  </w:num>
  <w:num w:numId="18" w16cid:durableId="1930500286">
    <w:abstractNumId w:val="5"/>
  </w:num>
  <w:num w:numId="19" w16cid:durableId="1107385598">
    <w:abstractNumId w:val="0"/>
  </w:num>
  <w:num w:numId="20" w16cid:durableId="379936806">
    <w:abstractNumId w:val="12"/>
  </w:num>
  <w:num w:numId="21" w16cid:durableId="691536663">
    <w:abstractNumId w:val="19"/>
  </w:num>
  <w:num w:numId="22" w16cid:durableId="654071028">
    <w:abstractNumId w:val="10"/>
  </w:num>
  <w:num w:numId="23" w16cid:durableId="507212168">
    <w:abstractNumId w:val="33"/>
  </w:num>
  <w:num w:numId="24" w16cid:durableId="477310807">
    <w:abstractNumId w:val="14"/>
  </w:num>
  <w:num w:numId="25" w16cid:durableId="1304307097">
    <w:abstractNumId w:val="2"/>
  </w:num>
  <w:num w:numId="26" w16cid:durableId="1858812262">
    <w:abstractNumId w:val="31"/>
  </w:num>
  <w:num w:numId="27" w16cid:durableId="924847292">
    <w:abstractNumId w:val="13"/>
  </w:num>
  <w:num w:numId="28" w16cid:durableId="364211145">
    <w:abstractNumId w:val="24"/>
  </w:num>
  <w:num w:numId="29" w16cid:durableId="7279919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6406385">
    <w:abstractNumId w:val="34"/>
  </w:num>
  <w:num w:numId="31" w16cid:durableId="15739232">
    <w:abstractNumId w:val="15"/>
  </w:num>
  <w:num w:numId="32" w16cid:durableId="50152525">
    <w:abstractNumId w:val="3"/>
  </w:num>
  <w:num w:numId="33" w16cid:durableId="1176191929">
    <w:abstractNumId w:val="38"/>
  </w:num>
  <w:num w:numId="34" w16cid:durableId="596988851">
    <w:abstractNumId w:val="27"/>
  </w:num>
  <w:num w:numId="35" w16cid:durableId="175657034">
    <w:abstractNumId w:val="22"/>
  </w:num>
  <w:num w:numId="36" w16cid:durableId="362100411">
    <w:abstractNumId w:val="23"/>
  </w:num>
  <w:num w:numId="37" w16cid:durableId="1113131556">
    <w:abstractNumId w:val="25"/>
  </w:num>
  <w:num w:numId="38" w16cid:durableId="666712257">
    <w:abstractNumId w:val="39"/>
  </w:num>
  <w:num w:numId="39" w16cid:durableId="1721778692">
    <w:abstractNumId w:val="1"/>
  </w:num>
  <w:num w:numId="40" w16cid:durableId="1838306096">
    <w:abstractNumId w:val="9"/>
  </w:num>
  <w:num w:numId="41" w16cid:durableId="1084186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55B"/>
    <w:rsid w:val="00006DE0"/>
    <w:rsid w:val="0001454A"/>
    <w:rsid w:val="00026B1B"/>
    <w:rsid w:val="00027949"/>
    <w:rsid w:val="0003723C"/>
    <w:rsid w:val="000964B0"/>
    <w:rsid w:val="000A2969"/>
    <w:rsid w:val="000A4B6A"/>
    <w:rsid w:val="000A5520"/>
    <w:rsid w:val="000C5B9D"/>
    <w:rsid w:val="000D2B49"/>
    <w:rsid w:val="000D44D5"/>
    <w:rsid w:val="0010046A"/>
    <w:rsid w:val="00102445"/>
    <w:rsid w:val="0010720D"/>
    <w:rsid w:val="00125C49"/>
    <w:rsid w:val="00127E85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06BA0"/>
    <w:rsid w:val="00216E48"/>
    <w:rsid w:val="00225D75"/>
    <w:rsid w:val="002309D7"/>
    <w:rsid w:val="00230DC1"/>
    <w:rsid w:val="00230FAB"/>
    <w:rsid w:val="00236AEC"/>
    <w:rsid w:val="0025195F"/>
    <w:rsid w:val="0026392C"/>
    <w:rsid w:val="0026751A"/>
    <w:rsid w:val="00277993"/>
    <w:rsid w:val="002806D2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56201"/>
    <w:rsid w:val="00357047"/>
    <w:rsid w:val="0036487F"/>
    <w:rsid w:val="0036612D"/>
    <w:rsid w:val="00372885"/>
    <w:rsid w:val="00377CDA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62133"/>
    <w:rsid w:val="00464755"/>
    <w:rsid w:val="00470A93"/>
    <w:rsid w:val="00480BE1"/>
    <w:rsid w:val="004B300A"/>
    <w:rsid w:val="004C32A4"/>
    <w:rsid w:val="004E27E1"/>
    <w:rsid w:val="004E3DD8"/>
    <w:rsid w:val="004E7FDB"/>
    <w:rsid w:val="004F1090"/>
    <w:rsid w:val="00506C96"/>
    <w:rsid w:val="00567E01"/>
    <w:rsid w:val="00571F1D"/>
    <w:rsid w:val="00573BC3"/>
    <w:rsid w:val="005B3E2D"/>
    <w:rsid w:val="005B498D"/>
    <w:rsid w:val="005B5D3A"/>
    <w:rsid w:val="005C175A"/>
    <w:rsid w:val="005D336A"/>
    <w:rsid w:val="005E68BD"/>
    <w:rsid w:val="005F46C0"/>
    <w:rsid w:val="005F5671"/>
    <w:rsid w:val="006474CA"/>
    <w:rsid w:val="00650A36"/>
    <w:rsid w:val="00676416"/>
    <w:rsid w:val="006811E6"/>
    <w:rsid w:val="00695EC3"/>
    <w:rsid w:val="006964D6"/>
    <w:rsid w:val="006B1686"/>
    <w:rsid w:val="006C5789"/>
    <w:rsid w:val="006C6940"/>
    <w:rsid w:val="0072152D"/>
    <w:rsid w:val="00736BFC"/>
    <w:rsid w:val="00744C8A"/>
    <w:rsid w:val="00745DD4"/>
    <w:rsid w:val="00750D3F"/>
    <w:rsid w:val="00757404"/>
    <w:rsid w:val="00766362"/>
    <w:rsid w:val="00767B62"/>
    <w:rsid w:val="00775D21"/>
    <w:rsid w:val="007D49DB"/>
    <w:rsid w:val="007E53CB"/>
    <w:rsid w:val="007E75A0"/>
    <w:rsid w:val="00802FA4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77821"/>
    <w:rsid w:val="008821EF"/>
    <w:rsid w:val="00884100"/>
    <w:rsid w:val="00887597"/>
    <w:rsid w:val="008964B1"/>
    <w:rsid w:val="008B483E"/>
    <w:rsid w:val="008B4A58"/>
    <w:rsid w:val="008C483C"/>
    <w:rsid w:val="008C742E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2A22"/>
    <w:rsid w:val="009975DD"/>
    <w:rsid w:val="009A0DF1"/>
    <w:rsid w:val="009A3654"/>
    <w:rsid w:val="009B1F0C"/>
    <w:rsid w:val="009D0A63"/>
    <w:rsid w:val="009D2669"/>
    <w:rsid w:val="009D74E5"/>
    <w:rsid w:val="009F0C2B"/>
    <w:rsid w:val="009F4660"/>
    <w:rsid w:val="00A1779A"/>
    <w:rsid w:val="00A31C1E"/>
    <w:rsid w:val="00A36096"/>
    <w:rsid w:val="00A53937"/>
    <w:rsid w:val="00A65441"/>
    <w:rsid w:val="00A72513"/>
    <w:rsid w:val="00A85B4B"/>
    <w:rsid w:val="00A9018C"/>
    <w:rsid w:val="00A974C1"/>
    <w:rsid w:val="00AA0EAA"/>
    <w:rsid w:val="00AA19DB"/>
    <w:rsid w:val="00AB3A28"/>
    <w:rsid w:val="00AB6076"/>
    <w:rsid w:val="00AD3F66"/>
    <w:rsid w:val="00AF4502"/>
    <w:rsid w:val="00B132BD"/>
    <w:rsid w:val="00B23FB0"/>
    <w:rsid w:val="00B24C4F"/>
    <w:rsid w:val="00B30D36"/>
    <w:rsid w:val="00B31557"/>
    <w:rsid w:val="00B357EE"/>
    <w:rsid w:val="00B5447A"/>
    <w:rsid w:val="00B759A8"/>
    <w:rsid w:val="00B810E1"/>
    <w:rsid w:val="00B87C1A"/>
    <w:rsid w:val="00B97A1C"/>
    <w:rsid w:val="00BA11E5"/>
    <w:rsid w:val="00BA512E"/>
    <w:rsid w:val="00BB0450"/>
    <w:rsid w:val="00BB1C07"/>
    <w:rsid w:val="00BC2751"/>
    <w:rsid w:val="00BD0E01"/>
    <w:rsid w:val="00BE449A"/>
    <w:rsid w:val="00BE6B5F"/>
    <w:rsid w:val="00BF4857"/>
    <w:rsid w:val="00C22DA0"/>
    <w:rsid w:val="00C230C0"/>
    <w:rsid w:val="00C343D2"/>
    <w:rsid w:val="00C40132"/>
    <w:rsid w:val="00C451B3"/>
    <w:rsid w:val="00C518C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1946"/>
    <w:rsid w:val="00C93A96"/>
    <w:rsid w:val="00C94FA0"/>
    <w:rsid w:val="00CA5B56"/>
    <w:rsid w:val="00CC5CA3"/>
    <w:rsid w:val="00CD3C8C"/>
    <w:rsid w:val="00CD3D1B"/>
    <w:rsid w:val="00CF4099"/>
    <w:rsid w:val="00D05A3E"/>
    <w:rsid w:val="00D10607"/>
    <w:rsid w:val="00D138D8"/>
    <w:rsid w:val="00D14F0D"/>
    <w:rsid w:val="00D159D4"/>
    <w:rsid w:val="00D21124"/>
    <w:rsid w:val="00D22305"/>
    <w:rsid w:val="00D25CD9"/>
    <w:rsid w:val="00D42F63"/>
    <w:rsid w:val="00D473A3"/>
    <w:rsid w:val="00D91A6A"/>
    <w:rsid w:val="00D94312"/>
    <w:rsid w:val="00DA243B"/>
    <w:rsid w:val="00DB39C2"/>
    <w:rsid w:val="00DB63E6"/>
    <w:rsid w:val="00DC2551"/>
    <w:rsid w:val="00DE47C6"/>
    <w:rsid w:val="00E12F7A"/>
    <w:rsid w:val="00E72281"/>
    <w:rsid w:val="00E97B5C"/>
    <w:rsid w:val="00EB3CEC"/>
    <w:rsid w:val="00EB6FC8"/>
    <w:rsid w:val="00EE3766"/>
    <w:rsid w:val="00EF7700"/>
    <w:rsid w:val="00EF7776"/>
    <w:rsid w:val="00F02BE5"/>
    <w:rsid w:val="00F15130"/>
    <w:rsid w:val="00F244F2"/>
    <w:rsid w:val="00F37E08"/>
    <w:rsid w:val="00F46B1C"/>
    <w:rsid w:val="00F51557"/>
    <w:rsid w:val="00F60A9C"/>
    <w:rsid w:val="00F74070"/>
    <w:rsid w:val="00F74B8E"/>
    <w:rsid w:val="00F82CE6"/>
    <w:rsid w:val="00F861E5"/>
    <w:rsid w:val="00F878F2"/>
    <w:rsid w:val="00FB5072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1925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7</cp:revision>
  <cp:lastPrinted>2020-02-10T18:59:00Z</cp:lastPrinted>
  <dcterms:created xsi:type="dcterms:W3CDTF">2022-12-13T20:15:00Z</dcterms:created>
  <dcterms:modified xsi:type="dcterms:W3CDTF">2023-02-16T20:03:00Z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