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134228">
      <w:pPr>
        <w:pStyle w:val="Ttulo1"/>
        <w:spacing w:before="70" w:after="240"/>
        <w:ind w:left="-142" w:right="0"/>
        <w:rPr>
          <w:rFonts w:ascii="Arial" w:hAnsi="Arial" w:cs="Arial"/>
          <w:sz w:val="20"/>
          <w:szCs w:val="20"/>
        </w:rPr>
      </w:pPr>
      <w:r w:rsidRPr="00F97A84">
        <w:rPr>
          <w:rFonts w:ascii="Arial" w:hAnsi="Arial" w:cs="Arial"/>
          <w:sz w:val="20"/>
          <w:szCs w:val="20"/>
        </w:rPr>
        <w:t>FORMATO DE GARANTÍA DE ANTICIPO</w:t>
      </w:r>
    </w:p>
    <w:p w14:paraId="581701C2" w14:textId="3298BE79"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$XXXXXX,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resultando  un monto total de $</w:t>
      </w:r>
      <w:proofErr w:type="spellStart"/>
      <w:r w:rsidR="00CF396E" w:rsidRPr="00CF396E">
        <w:rPr>
          <w:rFonts w:ascii="Arial" w:hAnsi="Arial" w:cs="Arial"/>
          <w:sz w:val="20"/>
          <w:szCs w:val="20"/>
        </w:rPr>
        <w:t>XXXXXXXXX</w:t>
      </w:r>
      <w:proofErr w:type="spellEnd"/>
      <w:r w:rsidR="00CF396E" w:rsidRPr="00CF396E">
        <w:rPr>
          <w:rFonts w:ascii="Arial" w:hAnsi="Arial" w:cs="Arial"/>
          <w:sz w:val="20"/>
          <w:szCs w:val="20"/>
        </w:rPr>
        <w:t xml:space="preserve">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 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w:t>
      </w:r>
      <w:r w:rsidR="00423F29" w:rsidRPr="00423F29">
        <w:rPr>
          <w:rFonts w:ascii="Arial" w:hAnsi="Arial" w:cs="Arial"/>
          <w:b/>
          <w:bCs/>
          <w:sz w:val="20"/>
          <w:szCs w:val="20"/>
        </w:rPr>
        <w:t>“</w:t>
      </w:r>
      <w:r w:rsidR="00BF55D1" w:rsidRPr="00BF55D1">
        <w:rPr>
          <w:rFonts w:ascii="Arial" w:hAnsi="Arial" w:cs="Arial"/>
          <w:b/>
          <w:bCs/>
          <w:sz w:val="20"/>
          <w:szCs w:val="20"/>
        </w:rPr>
        <w:t>Adecuación de fachada principal y trabajos diversos en la Casa de la Cultura Jurídica en la Paz, Baja California Sur</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734B09E1"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23F29">
        <w:rPr>
          <w:rFonts w:ascii="Arial" w:hAnsi="Arial" w:cs="Arial"/>
          <w:sz w:val="20"/>
          <w:szCs w:val="20"/>
        </w:rPr>
        <w:t xml:space="preserve"> </w:t>
      </w:r>
      <w:r w:rsidR="00423F29" w:rsidRPr="00423F29">
        <w:rPr>
          <w:rFonts w:ascii="Arial" w:hAnsi="Arial" w:cs="Arial"/>
          <w:b/>
          <w:bCs/>
          <w:sz w:val="20"/>
          <w:szCs w:val="20"/>
        </w:rPr>
        <w:t>“</w:t>
      </w:r>
      <w:r w:rsidR="00BF55D1" w:rsidRPr="00BF55D1">
        <w:rPr>
          <w:rFonts w:ascii="Arial" w:hAnsi="Arial" w:cs="Arial"/>
          <w:b/>
          <w:bCs/>
          <w:sz w:val="20"/>
          <w:szCs w:val="20"/>
        </w:rPr>
        <w:t>Adecuación de fachada principal y trabajos diversos en la Casa de la Cultura Jurídica en la Paz, Baja California Sur</w:t>
      </w:r>
      <w:r w:rsidR="00BF55D1" w:rsidRPr="00BF55D1">
        <w:rPr>
          <w:rFonts w:ascii="Arial" w:hAnsi="Arial" w:cs="Arial"/>
          <w:b/>
          <w:bCs/>
          <w:sz w:val="20"/>
          <w:szCs w:val="20"/>
        </w:rPr>
        <w:t xml:space="preserve"> </w:t>
      </w:r>
      <w:proofErr w:type="spellStart"/>
      <w:r w:rsidR="00134228" w:rsidRPr="00134228">
        <w:rPr>
          <w:rFonts w:ascii="Arial" w:hAnsi="Arial" w:cs="Arial"/>
          <w:b/>
          <w:bCs/>
          <w:sz w:val="20"/>
          <w:szCs w:val="20"/>
        </w:rPr>
        <w:t>co</w:t>
      </w:r>
      <w:proofErr w:type="spellEnd"/>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lastRenderedPageBreak/>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Default="00A637D8" w:rsidP="00134228">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5D1A22CC" w14:textId="2885848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w:t>
      </w:r>
      <w:r w:rsidRPr="00423F29">
        <w:rPr>
          <w:rFonts w:ascii="Arial" w:hAnsi="Arial" w:cs="Arial"/>
          <w:b/>
          <w:bCs/>
          <w:sz w:val="20"/>
          <w:szCs w:val="20"/>
        </w:rPr>
        <w:t>“</w:t>
      </w:r>
      <w:r w:rsidR="00BF55D1" w:rsidRPr="00BF55D1">
        <w:rPr>
          <w:rFonts w:ascii="Arial" w:hAnsi="Arial" w:cs="Arial"/>
          <w:b/>
          <w:bCs/>
          <w:sz w:val="20"/>
          <w:szCs w:val="20"/>
        </w:rPr>
        <w:t>Adecuación de fachada principal y trabajos diversos en la Casa de la Cultura Jurídica en la Paz, Baja California Sur</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Default="00081211" w:rsidP="00134228">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798F266B"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w:t>
      </w:r>
      <w:r w:rsidRPr="00F97A84">
        <w:rPr>
          <w:rFonts w:ascii="Arial" w:hAnsi="Arial" w:cs="Arial"/>
          <w:sz w:val="20"/>
          <w:szCs w:val="20"/>
        </w:rPr>
        <w:t xml:space="preserve"> </w:t>
      </w:r>
      <w:r w:rsidR="00423F29" w:rsidRPr="00423F29">
        <w:rPr>
          <w:rFonts w:ascii="Arial" w:hAnsi="Arial" w:cs="Arial"/>
          <w:b/>
          <w:bCs/>
          <w:sz w:val="20"/>
          <w:szCs w:val="20"/>
        </w:rPr>
        <w:t>“</w:t>
      </w:r>
      <w:r w:rsidR="00BF55D1" w:rsidRPr="00BF55D1">
        <w:rPr>
          <w:rFonts w:ascii="Arial" w:hAnsi="Arial" w:cs="Arial"/>
          <w:b/>
          <w:bCs/>
          <w:sz w:val="20"/>
          <w:szCs w:val="20"/>
        </w:rPr>
        <w:t>Adecuación de fachada principal y trabajos diversos en la Casa de la Cultura Jurídica en la Paz, Baja California Sur</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36D1941F"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w:t>
      </w:r>
      <w:r w:rsidR="00423F29" w:rsidRPr="00423F29">
        <w:rPr>
          <w:rFonts w:ascii="Arial" w:hAnsi="Arial" w:cs="Arial"/>
          <w:b/>
          <w:bCs/>
          <w:sz w:val="20"/>
          <w:szCs w:val="20"/>
        </w:rPr>
        <w:t>“</w:t>
      </w:r>
      <w:r w:rsidR="00BF55D1" w:rsidRPr="00BF55D1">
        <w:rPr>
          <w:rFonts w:ascii="Arial" w:hAnsi="Arial" w:cs="Arial"/>
          <w:b/>
          <w:bCs/>
          <w:sz w:val="20"/>
          <w:szCs w:val="20"/>
        </w:rPr>
        <w:t>Adecuación de fachada principal y trabajos diversos en la Casa de la Cultura Jurídica en la Paz, Baja California Sur</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lastRenderedPageBreak/>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9B7734A" w14:textId="77777777" w:rsidR="00BF55D1" w:rsidRDefault="00BF55D1" w:rsidP="00BF55D1">
      <w:pPr>
        <w:pStyle w:val="Textoindependiente"/>
        <w:tabs>
          <w:tab w:val="left" w:pos="4649"/>
          <w:tab w:val="left" w:pos="5971"/>
          <w:tab w:val="left" w:pos="6078"/>
          <w:tab w:val="left" w:pos="7236"/>
          <w:tab w:val="left" w:pos="8640"/>
        </w:tabs>
        <w:spacing w:before="120" w:after="120"/>
        <w:ind w:left="578" w:right="119"/>
        <w:jc w:val="both"/>
        <w:rPr>
          <w:rFonts w:ascii="Arial" w:hAnsi="Arial" w:cs="Arial"/>
          <w:sz w:val="20"/>
          <w:szCs w:val="20"/>
        </w:rPr>
      </w:pPr>
    </w:p>
    <w:p w14:paraId="733C4115" w14:textId="77777777" w:rsidR="00BF55D1" w:rsidRPr="000169A5" w:rsidRDefault="00BF55D1" w:rsidP="00BF55D1">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6999BEA2" w14:textId="77777777" w:rsidR="00BF55D1" w:rsidRPr="000169A5" w:rsidRDefault="00BF55D1" w:rsidP="00BF55D1">
      <w:pPr>
        <w:pStyle w:val="Textoindependiente"/>
        <w:spacing w:before="1"/>
        <w:rPr>
          <w:rFonts w:ascii="Arial" w:hAnsi="Arial" w:cs="Arial"/>
          <w:b/>
          <w:sz w:val="20"/>
          <w:szCs w:val="20"/>
        </w:rPr>
      </w:pPr>
    </w:p>
    <w:p w14:paraId="4A333E5E" w14:textId="77777777" w:rsidR="00BF55D1" w:rsidRPr="00784A74" w:rsidRDefault="00BF55D1" w:rsidP="00BF55D1">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2AEC7D1B" w14:textId="77777777" w:rsidR="00BF55D1" w:rsidRPr="00784A74" w:rsidRDefault="00BF55D1" w:rsidP="00BF55D1">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4D88504C" w14:textId="77777777" w:rsidR="00BF55D1" w:rsidRPr="00784A74" w:rsidRDefault="00BF55D1" w:rsidP="00BF55D1">
      <w:pPr>
        <w:pStyle w:val="Textoindependiente"/>
        <w:spacing w:before="11"/>
        <w:rPr>
          <w:rFonts w:ascii="Arial" w:hAnsi="Arial" w:cs="Arial"/>
          <w:sz w:val="20"/>
          <w:szCs w:val="20"/>
        </w:rPr>
      </w:pPr>
    </w:p>
    <w:p w14:paraId="017D4523" w14:textId="77777777" w:rsidR="00BF55D1" w:rsidRPr="00784A74" w:rsidRDefault="00BF55D1" w:rsidP="00BF55D1">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3DD1F4CE" w14:textId="77777777" w:rsidR="00BF55D1" w:rsidRPr="00784A74" w:rsidRDefault="00BF55D1" w:rsidP="00BF55D1">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3AA9594E" w14:textId="77777777" w:rsidR="00BF55D1" w:rsidRPr="00784A74" w:rsidRDefault="00BF55D1" w:rsidP="00BF55D1">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DD3DBCE" w14:textId="77777777" w:rsidR="00BF55D1" w:rsidRPr="00784A74" w:rsidRDefault="00BF55D1" w:rsidP="00BF55D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3A438D8" w14:textId="77777777" w:rsidR="00BF55D1" w:rsidRPr="00784A74" w:rsidRDefault="00BF55D1" w:rsidP="00BF55D1">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1E256321" w14:textId="77777777" w:rsidR="00BF55D1" w:rsidRPr="00784A74" w:rsidRDefault="00BF55D1" w:rsidP="00BF55D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1B58A65B" w14:textId="77777777" w:rsidR="00BF55D1" w:rsidRPr="00784A74" w:rsidRDefault="00BF55D1" w:rsidP="00BF55D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32F2C1D5" w14:textId="77777777" w:rsidR="00BF55D1" w:rsidRPr="00784A74" w:rsidRDefault="00BF55D1" w:rsidP="00BF55D1">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2602DAE0" w14:textId="77777777" w:rsidR="00BF55D1" w:rsidRPr="00784A74" w:rsidRDefault="00BF55D1" w:rsidP="00BF55D1">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6939CB0" w14:textId="77777777" w:rsidR="00BF55D1" w:rsidRPr="00784A74" w:rsidRDefault="00BF55D1" w:rsidP="00BF55D1">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77EEF98E" w14:textId="77777777" w:rsidR="00BF55D1" w:rsidRPr="00784A74" w:rsidRDefault="00BF55D1" w:rsidP="00BF55D1">
      <w:pPr>
        <w:pStyle w:val="Textoindependiente"/>
        <w:spacing w:before="10"/>
        <w:rPr>
          <w:rFonts w:ascii="Arial" w:hAnsi="Arial" w:cs="Arial"/>
          <w:sz w:val="20"/>
          <w:szCs w:val="20"/>
        </w:rPr>
      </w:pPr>
    </w:p>
    <w:p w14:paraId="25E8B2D3" w14:textId="77777777" w:rsidR="00BF55D1" w:rsidRPr="00784A74" w:rsidRDefault="00BF55D1" w:rsidP="00BF55D1">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6B211467" w14:textId="77777777" w:rsidR="00BF55D1" w:rsidRPr="00423F29" w:rsidRDefault="00BF55D1" w:rsidP="00BF55D1">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E3931E6" w14:textId="77777777" w:rsidR="00BF55D1" w:rsidRPr="00423F29" w:rsidRDefault="00BF55D1"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BF55D1"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668B" w14:textId="77777777" w:rsidR="00763A1E" w:rsidRDefault="00763A1E" w:rsidP="007D40E9">
      <w:r>
        <w:separator/>
      </w:r>
    </w:p>
  </w:endnote>
  <w:endnote w:type="continuationSeparator" w:id="0">
    <w:p w14:paraId="3E5B75F0" w14:textId="77777777" w:rsidR="00763A1E" w:rsidRDefault="00763A1E" w:rsidP="007D40E9">
      <w:r>
        <w:continuationSeparator/>
      </w:r>
    </w:p>
  </w:endnote>
  <w:endnote w:type="continuationNotice" w:id="1">
    <w:p w14:paraId="012DA626" w14:textId="77777777" w:rsidR="00763A1E" w:rsidRDefault="00763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4184EC7"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134228">
      <w:rPr>
        <w:rFonts w:ascii="Arial" w:hAnsi="Arial" w:cs="Arial"/>
        <w:sz w:val="10"/>
        <w:szCs w:val="10"/>
        <w:lang w:val="en-US"/>
      </w:rPr>
      <w:t>1</w:t>
    </w:r>
    <w:r w:rsidR="00FC1432">
      <w:rPr>
        <w:rFonts w:ascii="Arial" w:hAnsi="Arial" w:cs="Arial"/>
        <w:sz w:val="10"/>
        <w:szCs w:val="10"/>
        <w:lang w:val="en-US"/>
      </w:rPr>
      <w:t>4</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9940D" w14:textId="77777777" w:rsidR="00763A1E" w:rsidRDefault="00763A1E" w:rsidP="007D40E9">
      <w:r>
        <w:separator/>
      </w:r>
    </w:p>
  </w:footnote>
  <w:footnote w:type="continuationSeparator" w:id="0">
    <w:p w14:paraId="03A8D83E" w14:textId="77777777" w:rsidR="00763A1E" w:rsidRDefault="00763A1E" w:rsidP="007D40E9">
      <w:r>
        <w:continuationSeparator/>
      </w:r>
    </w:p>
  </w:footnote>
  <w:footnote w:type="continuationNotice" w:id="1">
    <w:p w14:paraId="66659D0C" w14:textId="77777777" w:rsidR="00763A1E" w:rsidRDefault="00763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EF3A8" w14:textId="77777777" w:rsidR="00FC1432" w:rsidRPr="00C31A8F" w:rsidRDefault="00FC1432" w:rsidP="00FC1432">
    <w:pPr>
      <w:ind w:right="17"/>
      <w:jc w:val="center"/>
      <w:rPr>
        <w:rFonts w:ascii="Arial Unicode MS" w:eastAsia="Arial Unicode MS" w:hAnsi="Arial Unicode MS" w:cs="Arial Unicode MS"/>
        <w:b/>
        <w:color w:val="7F7F7F" w:themeColor="text1" w:themeTint="80"/>
        <w:sz w:val="20"/>
        <w:szCs w:val="20"/>
      </w:rPr>
    </w:pPr>
    <w:r w:rsidRPr="00C31A8F">
      <w:rPr>
        <w:rFonts w:ascii="Arial Unicode MS" w:eastAsia="Arial Unicode MS" w:hAnsi="Arial Unicode MS" w:cs="Arial Unicode MS"/>
        <w:b/>
        <w:color w:val="7F7F7F" w:themeColor="text1" w:themeTint="80"/>
        <w:sz w:val="20"/>
        <w:szCs w:val="20"/>
      </w:rPr>
      <w:t>CONCURSO PÚBLICO SUMARIO SCJN/CPS/DGIF-DACCI/014/2023</w:t>
    </w:r>
  </w:p>
  <w:p w14:paraId="1546428F" w14:textId="77777777" w:rsidR="00FC1432" w:rsidRPr="00C31A8F" w:rsidRDefault="00FC1432" w:rsidP="00FC1432">
    <w:pPr>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sidRPr="00C31A8F">
      <w:rPr>
        <w:rFonts w:ascii="Arial Unicode MS" w:eastAsia="Arial Unicode MS" w:hAnsi="Arial Unicode MS" w:cs="Arial Unicode MS"/>
        <w:b/>
        <w:color w:val="7F7F7F" w:themeColor="text1" w:themeTint="80"/>
        <w:sz w:val="20"/>
        <w:szCs w:val="20"/>
      </w:rPr>
      <w:t xml:space="preserve">ADECUACIÓN DE FACHADA PRINCIPAL Y TRABAJOS DIVERSOS EN LA </w:t>
    </w:r>
  </w:p>
  <w:p w14:paraId="43742936" w14:textId="77777777" w:rsidR="00FC1432" w:rsidRPr="008015A3" w:rsidRDefault="00FC1432" w:rsidP="00FC1432">
    <w:pPr>
      <w:ind w:right="17"/>
      <w:jc w:val="center"/>
      <w:rPr>
        <w:rFonts w:ascii="Arial Unicode MS" w:eastAsia="Arial Unicode MS" w:hAnsi="Arial Unicode MS" w:cs="Arial Unicode MS"/>
        <w:b/>
        <w:color w:val="7F7F7F" w:themeColor="text1" w:themeTint="80"/>
        <w:sz w:val="20"/>
        <w:szCs w:val="20"/>
      </w:rPr>
    </w:pPr>
    <w:r w:rsidRPr="00C31A8F">
      <w:rPr>
        <w:rFonts w:ascii="Arial Unicode MS" w:eastAsia="Arial Unicode MS" w:hAnsi="Arial Unicode MS" w:cs="Arial Unicode MS"/>
        <w:b/>
        <w:color w:val="7F7F7F" w:themeColor="text1" w:themeTint="80"/>
        <w:sz w:val="20"/>
        <w:szCs w:val="20"/>
      </w:rPr>
      <w:t>CASA DE LA CULTURA JURÍDICA EN LA PAZ, BAJA CALIFORNIA SUR</w:t>
    </w:r>
    <w:r w:rsidRPr="004D5C30">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4228"/>
    <w:rsid w:val="00135477"/>
    <w:rsid w:val="00146EAD"/>
    <w:rsid w:val="00165AAE"/>
    <w:rsid w:val="00174C0C"/>
    <w:rsid w:val="00175289"/>
    <w:rsid w:val="00185B26"/>
    <w:rsid w:val="001A00B6"/>
    <w:rsid w:val="001A04C1"/>
    <w:rsid w:val="001A0CFE"/>
    <w:rsid w:val="001D2398"/>
    <w:rsid w:val="00251425"/>
    <w:rsid w:val="002677E5"/>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94A24"/>
    <w:rsid w:val="003B1713"/>
    <w:rsid w:val="003C5B7C"/>
    <w:rsid w:val="003F601C"/>
    <w:rsid w:val="00412852"/>
    <w:rsid w:val="00416E39"/>
    <w:rsid w:val="00417740"/>
    <w:rsid w:val="00422622"/>
    <w:rsid w:val="00423F29"/>
    <w:rsid w:val="00437CA6"/>
    <w:rsid w:val="00446741"/>
    <w:rsid w:val="00491E12"/>
    <w:rsid w:val="004B490E"/>
    <w:rsid w:val="004C5238"/>
    <w:rsid w:val="004D19CB"/>
    <w:rsid w:val="004E150C"/>
    <w:rsid w:val="004F3306"/>
    <w:rsid w:val="00540590"/>
    <w:rsid w:val="005564F6"/>
    <w:rsid w:val="00556767"/>
    <w:rsid w:val="00567CA6"/>
    <w:rsid w:val="00597600"/>
    <w:rsid w:val="005A01D2"/>
    <w:rsid w:val="005A1E8B"/>
    <w:rsid w:val="005B37FB"/>
    <w:rsid w:val="005D03A6"/>
    <w:rsid w:val="005D200B"/>
    <w:rsid w:val="005E60B5"/>
    <w:rsid w:val="005F0D80"/>
    <w:rsid w:val="00650973"/>
    <w:rsid w:val="0065310B"/>
    <w:rsid w:val="00694E27"/>
    <w:rsid w:val="006A73E0"/>
    <w:rsid w:val="006C5F02"/>
    <w:rsid w:val="006E1078"/>
    <w:rsid w:val="00701D42"/>
    <w:rsid w:val="00713BF2"/>
    <w:rsid w:val="0073055F"/>
    <w:rsid w:val="00730773"/>
    <w:rsid w:val="00741548"/>
    <w:rsid w:val="00746BE2"/>
    <w:rsid w:val="00763A1E"/>
    <w:rsid w:val="00793500"/>
    <w:rsid w:val="007A7D18"/>
    <w:rsid w:val="007A7D78"/>
    <w:rsid w:val="007B7B21"/>
    <w:rsid w:val="007D40E9"/>
    <w:rsid w:val="007E4F3C"/>
    <w:rsid w:val="007F2544"/>
    <w:rsid w:val="00800C5A"/>
    <w:rsid w:val="00837ED3"/>
    <w:rsid w:val="00851D2C"/>
    <w:rsid w:val="008651B6"/>
    <w:rsid w:val="00866C90"/>
    <w:rsid w:val="008945E7"/>
    <w:rsid w:val="008A1EEE"/>
    <w:rsid w:val="008A5D05"/>
    <w:rsid w:val="008C349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9F0CF6"/>
    <w:rsid w:val="00A0125D"/>
    <w:rsid w:val="00A1283F"/>
    <w:rsid w:val="00A16383"/>
    <w:rsid w:val="00A22A8F"/>
    <w:rsid w:val="00A3671A"/>
    <w:rsid w:val="00A637D8"/>
    <w:rsid w:val="00AA3012"/>
    <w:rsid w:val="00AB0C6F"/>
    <w:rsid w:val="00AC060F"/>
    <w:rsid w:val="00AD26AD"/>
    <w:rsid w:val="00AD6FE0"/>
    <w:rsid w:val="00AE0B58"/>
    <w:rsid w:val="00B050A7"/>
    <w:rsid w:val="00B201EE"/>
    <w:rsid w:val="00B2533F"/>
    <w:rsid w:val="00B75E58"/>
    <w:rsid w:val="00B85BF5"/>
    <w:rsid w:val="00BB0FA1"/>
    <w:rsid w:val="00BF55D1"/>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E1AD3"/>
    <w:rsid w:val="00DE2ED2"/>
    <w:rsid w:val="00DF4124"/>
    <w:rsid w:val="00DF7E85"/>
    <w:rsid w:val="00E21338"/>
    <w:rsid w:val="00E30E1D"/>
    <w:rsid w:val="00E76237"/>
    <w:rsid w:val="00E7785F"/>
    <w:rsid w:val="00ED61AF"/>
    <w:rsid w:val="00EE5F1A"/>
    <w:rsid w:val="00EF1CB7"/>
    <w:rsid w:val="00F01542"/>
    <w:rsid w:val="00F656DB"/>
    <w:rsid w:val="00F7615E"/>
    <w:rsid w:val="00F87A0D"/>
    <w:rsid w:val="00F97A84"/>
    <w:rsid w:val="00FB06BA"/>
    <w:rsid w:val="00FC1432"/>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2463</Words>
  <Characters>13549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18</cp:revision>
  <dcterms:created xsi:type="dcterms:W3CDTF">2023-05-04T20:51:00Z</dcterms:created>
  <dcterms:modified xsi:type="dcterms:W3CDTF">2023-08-08T00:58:00Z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