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6C36DE9" w:rsidR="0003536A" w:rsidRPr="005E0DEC" w:rsidRDefault="0003536A" w:rsidP="00435C19">
      <w:pPr>
        <w:spacing w:after="0" w:line="240" w:lineRule="auto"/>
        <w:jc w:val="center"/>
        <w:rPr>
          <w:rFonts w:ascii="Arial" w:eastAsia="Times New Roman" w:hAnsi="Arial" w:cs="Arial"/>
          <w:b/>
          <w:snapToGrid w:val="0"/>
          <w:sz w:val="18"/>
          <w:szCs w:val="18"/>
          <w:lang w:val="pt-PT" w:eastAsia="es-ES"/>
        </w:rPr>
      </w:pPr>
      <w:r w:rsidRPr="002C6878">
        <w:rPr>
          <w:rFonts w:ascii="Arial" w:eastAsia="Times New Roman" w:hAnsi="Arial" w:cs="Arial"/>
          <w:b/>
          <w:snapToGrid w:val="0"/>
          <w:sz w:val="18"/>
          <w:szCs w:val="18"/>
          <w:lang w:val="pt-PT" w:eastAsia="es-ES"/>
        </w:rPr>
        <w:t xml:space="preserve">Anexo </w:t>
      </w:r>
      <w:r w:rsidR="00492AFE" w:rsidRPr="002C6878">
        <w:rPr>
          <w:rFonts w:ascii="Arial" w:eastAsia="Times New Roman" w:hAnsi="Arial" w:cs="Arial"/>
          <w:b/>
          <w:snapToGrid w:val="0"/>
          <w:sz w:val="18"/>
          <w:szCs w:val="18"/>
          <w:lang w:val="pt-PT" w:eastAsia="es-ES"/>
        </w:rPr>
        <w:t>13</w:t>
      </w:r>
    </w:p>
    <w:p w14:paraId="1E83A31E" w14:textId="77777777" w:rsidR="00435C19" w:rsidRPr="005E0DEC"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lang w:val="pt-PT"/>
        </w:rPr>
      </w:pPr>
      <w:r w:rsidRPr="005E0DEC">
        <w:rPr>
          <w:rFonts w:ascii="Arial" w:hAnsi="Arial" w:cs="Arial"/>
          <w:b/>
          <w:bCs/>
          <w:sz w:val="18"/>
          <w:szCs w:val="18"/>
          <w:lang w:val="pt-PT"/>
        </w:rPr>
        <w:t>MODELO DE CONTRATO SIMPLIFICADO</w:t>
      </w:r>
    </w:p>
    <w:p w14:paraId="3B1587A5" w14:textId="7D5DC7F1" w:rsidR="00435C19" w:rsidRPr="005E0DEC"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lang w:val="pt-PT"/>
        </w:rPr>
      </w:pPr>
      <w:r w:rsidRPr="005E0DEC">
        <w:rPr>
          <w:rFonts w:ascii="Arial" w:hAnsi="Arial" w:cs="Arial"/>
          <w:b/>
          <w:bCs/>
          <w:sz w:val="18"/>
          <w:szCs w:val="18"/>
          <w:lang w:val="pt-PT"/>
        </w:rPr>
        <w:t>TEXTO PERSONA MORAL</w:t>
      </w:r>
    </w:p>
    <w:p w14:paraId="4401A54D" w14:textId="77777777" w:rsidR="00435C19" w:rsidRPr="005E0DEC"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lang w:val="pt-PT"/>
        </w:rPr>
      </w:pPr>
      <w:r w:rsidRPr="005E0DEC">
        <w:rPr>
          <w:rFonts w:ascii="Arial" w:hAnsi="Arial" w:cs="Arial"/>
          <w:b/>
          <w:bCs/>
          <w:sz w:val="18"/>
          <w:szCs w:val="18"/>
          <w:lang w:val="pt-PT"/>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6B4866D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 xml:space="preserve">La presente contratación realizada mediante </w:t>
      </w:r>
      <w:r w:rsidR="0050679A">
        <w:rPr>
          <w:rFonts w:ascii="Arial" w:hAnsi="Arial" w:cs="Arial"/>
          <w:bCs/>
          <w:sz w:val="18"/>
          <w:szCs w:val="18"/>
        </w:rPr>
        <w:t>Licitación Pública Nacional</w:t>
      </w:r>
      <w:r w:rsidRPr="00B52A63">
        <w:rPr>
          <w:rFonts w:ascii="Arial" w:hAnsi="Arial" w:cs="Arial"/>
          <w:bCs/>
          <w:sz w:val="18"/>
          <w:szCs w:val="18"/>
        </w:rPr>
        <w:t>, fue autorizada por el</w:t>
      </w:r>
      <w:r w:rsidR="00E63E55">
        <w:rPr>
          <w:rFonts w:ascii="Arial" w:hAnsi="Arial" w:cs="Arial"/>
          <w:bCs/>
          <w:sz w:val="18"/>
          <w:szCs w:val="18"/>
        </w:rPr>
        <w:t xml:space="preserve"> </w:t>
      </w:r>
      <w:r w:rsidR="00D10C6E">
        <w:rPr>
          <w:rFonts w:ascii="Arial" w:hAnsi="Arial" w:cs="Arial"/>
          <w:bCs/>
          <w:sz w:val="18"/>
          <w:szCs w:val="18"/>
        </w:rPr>
        <w:t>Comité de Adquisiciones</w:t>
      </w:r>
      <w:r w:rsidR="006E2D28">
        <w:rPr>
          <w:rFonts w:ascii="Arial" w:hAnsi="Arial" w:cs="Arial"/>
          <w:bCs/>
          <w:sz w:val="18"/>
          <w:szCs w:val="18"/>
        </w:rPr>
        <w:t xml:space="preserve"> y Servicios, Obras y Desincorporaciones, en </w:t>
      </w:r>
      <w:r w:rsidR="00FE7C7F">
        <w:rPr>
          <w:rFonts w:ascii="Arial" w:hAnsi="Arial" w:cs="Arial"/>
          <w:bCs/>
          <w:sz w:val="18"/>
          <w:szCs w:val="18"/>
        </w:rPr>
        <w:t>su</w:t>
      </w:r>
      <w:r w:rsidR="006E2D28">
        <w:rPr>
          <w:rFonts w:ascii="Arial" w:hAnsi="Arial" w:cs="Arial"/>
          <w:bCs/>
          <w:sz w:val="18"/>
          <w:szCs w:val="18"/>
        </w:rPr>
        <w:t xml:space="preserve"> sesión ________</w:t>
      </w:r>
      <w:r w:rsidR="007830E4">
        <w:rPr>
          <w:rFonts w:ascii="Arial" w:hAnsi="Arial" w:cs="Arial"/>
          <w:bCs/>
          <w:sz w:val="18"/>
          <w:szCs w:val="18"/>
        </w:rPr>
        <w:t xml:space="preserve">, </w:t>
      </w:r>
      <w:r w:rsidR="0058118E">
        <w:rPr>
          <w:rFonts w:ascii="Arial" w:hAnsi="Arial" w:cs="Arial"/>
          <w:bCs/>
          <w:sz w:val="18"/>
          <w:szCs w:val="18"/>
        </w:rPr>
        <w:t>celebrada el</w:t>
      </w:r>
      <w:r w:rsidR="007830E4">
        <w:rPr>
          <w:rFonts w:ascii="Arial" w:hAnsi="Arial" w:cs="Arial"/>
          <w:bCs/>
          <w:sz w:val="18"/>
          <w:szCs w:val="18"/>
        </w:rPr>
        <w:t xml:space="preserve"> ________</w:t>
      </w:r>
      <w:r w:rsidRPr="00B52A63">
        <w:rPr>
          <w:rFonts w:ascii="Arial" w:hAnsi="Arial" w:cs="Arial"/>
          <w:bCs/>
          <w:sz w:val="18"/>
          <w:szCs w:val="18"/>
        </w:rPr>
        <w:t>, de conformidad con lo previsto en los artículos 46, 47, fracción I,</w:t>
      </w:r>
      <w:r w:rsidR="00FE5FB4">
        <w:rPr>
          <w:rFonts w:ascii="Arial" w:hAnsi="Arial" w:cs="Arial"/>
          <w:bCs/>
          <w:sz w:val="18"/>
          <w:szCs w:val="18"/>
        </w:rPr>
        <w:t xml:space="preserve"> 76, 77, fracción I </w:t>
      </w:r>
      <w:r w:rsidRPr="00B52A63">
        <w:rPr>
          <w:rFonts w:ascii="Arial" w:hAnsi="Arial" w:cs="Arial"/>
          <w:bCs/>
          <w:sz w:val="18"/>
          <w:szCs w:val="18"/>
        </w:rPr>
        <w:t xml:space="preserve">y </w:t>
      </w:r>
      <w:r w:rsidR="00FE5FB4">
        <w:rPr>
          <w:rFonts w:ascii="Arial" w:hAnsi="Arial" w:cs="Arial"/>
          <w:bCs/>
          <w:sz w:val="18"/>
          <w:szCs w:val="18"/>
        </w:rPr>
        <w:t>78</w:t>
      </w:r>
      <w:r w:rsidRPr="00B52A63">
        <w:rPr>
          <w:rFonts w:ascii="Arial" w:hAnsi="Arial" w:cs="Arial"/>
          <w:bCs/>
          <w:sz w:val="18"/>
          <w:szCs w:val="18"/>
        </w:rPr>
        <w:t>,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2168087E"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38600F">
        <w:rPr>
          <w:rFonts w:ascii="Arial" w:hAnsi="Arial" w:cs="Arial"/>
          <w:b/>
          <w:sz w:val="18"/>
          <w:szCs w:val="18"/>
        </w:rPr>
        <w:t xml:space="preserve">I.3.- </w:t>
      </w:r>
      <w:r w:rsidR="00E63E55" w:rsidRPr="0038600F">
        <w:rPr>
          <w:rFonts w:ascii="Arial" w:hAnsi="Arial" w:cs="Arial"/>
          <w:bCs/>
          <w:sz w:val="18"/>
          <w:szCs w:val="18"/>
        </w:rPr>
        <w:t>La</w:t>
      </w:r>
      <w:r w:rsidRPr="0038600F">
        <w:rPr>
          <w:rFonts w:ascii="Arial" w:hAnsi="Arial" w:cs="Arial"/>
          <w:bCs/>
          <w:sz w:val="18"/>
          <w:szCs w:val="18"/>
        </w:rPr>
        <w:t xml:space="preserve"> Director</w:t>
      </w:r>
      <w:r w:rsidR="00E63E55" w:rsidRPr="0038600F">
        <w:rPr>
          <w:rFonts w:ascii="Arial" w:hAnsi="Arial" w:cs="Arial"/>
          <w:bCs/>
          <w:sz w:val="18"/>
          <w:szCs w:val="18"/>
        </w:rPr>
        <w:t>a</w:t>
      </w:r>
      <w:r w:rsidRPr="0038600F">
        <w:rPr>
          <w:rFonts w:ascii="Arial" w:hAnsi="Arial" w:cs="Arial"/>
          <w:bCs/>
          <w:sz w:val="18"/>
          <w:szCs w:val="18"/>
        </w:rPr>
        <w:t xml:space="preserve"> General de Infraestructura Física está facultad</w:t>
      </w:r>
      <w:r w:rsidR="00E63E55" w:rsidRPr="0038600F">
        <w:rPr>
          <w:rFonts w:ascii="Arial" w:hAnsi="Arial" w:cs="Arial"/>
          <w:bCs/>
          <w:sz w:val="18"/>
          <w:szCs w:val="18"/>
        </w:rPr>
        <w:t>a</w:t>
      </w:r>
      <w:r w:rsidRPr="0038600F">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578307B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I.5</w:t>
      </w:r>
      <w:bookmarkStart w:id="1" w:name="_Hlk134455916"/>
      <w:r w:rsidRPr="00DC3DE3">
        <w:rPr>
          <w:rFonts w:ascii="Arial" w:hAnsi="Arial" w:cs="Arial"/>
          <w:b/>
          <w:sz w:val="18"/>
          <w:szCs w:val="18"/>
        </w:rPr>
        <w:t xml:space="preserve">.- </w:t>
      </w:r>
      <w:r w:rsidRPr="00B52A63">
        <w:rPr>
          <w:rFonts w:ascii="Arial" w:hAnsi="Arial" w:cs="Arial"/>
          <w:bCs/>
          <w:sz w:val="18"/>
          <w:szCs w:val="18"/>
        </w:rPr>
        <w:t xml:space="preserve">La erogación que implica la presente contratación se realizará con cargo a la Unidad Responsable </w:t>
      </w:r>
      <w:r w:rsidR="00DF48ED" w:rsidRPr="00DF48ED">
        <w:rPr>
          <w:rFonts w:ascii="Arial" w:hAnsi="Arial" w:cs="Arial"/>
          <w:bCs/>
          <w:sz w:val="18"/>
          <w:szCs w:val="18"/>
        </w:rPr>
        <w:t>24510930S0010001</w:t>
      </w:r>
      <w:r w:rsidRPr="00B52A63">
        <w:rPr>
          <w:rFonts w:ascii="Arial" w:hAnsi="Arial" w:cs="Arial"/>
          <w:bCs/>
          <w:sz w:val="18"/>
          <w:szCs w:val="18"/>
        </w:rPr>
        <w:t xml:space="preserve">, Partida Presupuestal </w:t>
      </w:r>
      <w:r w:rsidR="00B52A63">
        <w:rPr>
          <w:rFonts w:ascii="Arial" w:hAnsi="Arial" w:cs="Arial"/>
          <w:bCs/>
          <w:sz w:val="18"/>
          <w:szCs w:val="18"/>
        </w:rPr>
        <w:t>35</w:t>
      </w:r>
      <w:r w:rsidR="0098231E">
        <w:rPr>
          <w:rFonts w:ascii="Arial" w:hAnsi="Arial" w:cs="Arial"/>
          <w:bCs/>
          <w:sz w:val="18"/>
          <w:szCs w:val="18"/>
        </w:rPr>
        <w:t>2</w:t>
      </w:r>
      <w:r w:rsidR="00B52A63">
        <w:rPr>
          <w:rFonts w:ascii="Arial" w:hAnsi="Arial" w:cs="Arial"/>
          <w:bCs/>
          <w:sz w:val="18"/>
          <w:szCs w:val="18"/>
        </w:rPr>
        <w:t>01</w:t>
      </w:r>
      <w:r w:rsidRPr="00B52A63">
        <w:rPr>
          <w:rFonts w:ascii="Arial" w:hAnsi="Arial" w:cs="Arial"/>
          <w:bCs/>
          <w:sz w:val="18"/>
          <w:szCs w:val="18"/>
        </w:rPr>
        <w:t>, destino</w:t>
      </w:r>
      <w:r w:rsidR="00B52A63">
        <w:rPr>
          <w:rFonts w:ascii="Arial" w:hAnsi="Arial" w:cs="Arial"/>
          <w:bCs/>
          <w:sz w:val="18"/>
          <w:szCs w:val="18"/>
        </w:rPr>
        <w:t xml:space="preserve"> </w:t>
      </w:r>
      <w:r w:rsidR="00E63E55">
        <w:rPr>
          <w:rFonts w:ascii="Arial" w:hAnsi="Arial" w:cs="Arial"/>
          <w:bCs/>
          <w:sz w:val="18"/>
          <w:szCs w:val="18"/>
        </w:rPr>
        <w:t>edificio</w:t>
      </w:r>
      <w:r w:rsidR="007E55E8">
        <w:rPr>
          <w:rFonts w:ascii="Arial" w:hAnsi="Arial" w:cs="Arial"/>
          <w:bCs/>
          <w:sz w:val="18"/>
          <w:szCs w:val="18"/>
        </w:rPr>
        <w:t>s</w:t>
      </w:r>
      <w:r w:rsidR="00B52A63" w:rsidRPr="00B52A63">
        <w:rPr>
          <w:rFonts w:ascii="Arial" w:hAnsi="Arial" w:cs="Arial"/>
          <w:bCs/>
          <w:sz w:val="18"/>
          <w:szCs w:val="18"/>
        </w:rPr>
        <w:t xml:space="preserve"> </w:t>
      </w:r>
      <w:r w:rsidR="004B17B4">
        <w:rPr>
          <w:rFonts w:ascii="Arial" w:hAnsi="Arial" w:cs="Arial"/>
          <w:bCs/>
          <w:sz w:val="18"/>
          <w:szCs w:val="18"/>
        </w:rPr>
        <w:t xml:space="preserve">Sede, </w:t>
      </w:r>
      <w:r w:rsidR="0098231E">
        <w:rPr>
          <w:rFonts w:ascii="Arial" w:hAnsi="Arial" w:cs="Arial"/>
          <w:bCs/>
          <w:sz w:val="18"/>
          <w:szCs w:val="18"/>
        </w:rPr>
        <w:t xml:space="preserve">Alterno, Bolívar, </w:t>
      </w:r>
      <w:r w:rsidR="00B52A63" w:rsidRPr="00B52A63">
        <w:rPr>
          <w:rFonts w:ascii="Arial" w:hAnsi="Arial" w:cs="Arial"/>
          <w:bCs/>
          <w:sz w:val="18"/>
          <w:szCs w:val="18"/>
        </w:rPr>
        <w:t>Centro de Desarrollo Infantil</w:t>
      </w:r>
      <w:r w:rsidR="00C956EA">
        <w:rPr>
          <w:rFonts w:ascii="Arial" w:hAnsi="Arial" w:cs="Arial"/>
          <w:bCs/>
          <w:sz w:val="18"/>
          <w:szCs w:val="18"/>
        </w:rPr>
        <w:t xml:space="preserve"> y Estancia Infantil</w:t>
      </w:r>
      <w:r w:rsidR="003E6578">
        <w:rPr>
          <w:rFonts w:ascii="Arial" w:hAnsi="Arial" w:cs="Arial"/>
          <w:bCs/>
          <w:sz w:val="18"/>
          <w:szCs w:val="18"/>
        </w:rPr>
        <w:t xml:space="preserve">, 5 de </w:t>
      </w:r>
      <w:r w:rsidR="007B6EC1">
        <w:rPr>
          <w:rFonts w:ascii="Arial" w:hAnsi="Arial" w:cs="Arial"/>
          <w:bCs/>
          <w:sz w:val="18"/>
          <w:szCs w:val="18"/>
        </w:rPr>
        <w:t>Febrero,</w:t>
      </w:r>
      <w:r w:rsidR="003E6578">
        <w:rPr>
          <w:rFonts w:ascii="Arial" w:hAnsi="Arial" w:cs="Arial"/>
          <w:bCs/>
          <w:sz w:val="18"/>
          <w:szCs w:val="18"/>
        </w:rPr>
        <w:t xml:space="preserve"> Revolución</w:t>
      </w:r>
      <w:r w:rsidR="00EE3E8F">
        <w:rPr>
          <w:rFonts w:ascii="Arial" w:hAnsi="Arial" w:cs="Arial"/>
          <w:bCs/>
          <w:sz w:val="18"/>
          <w:szCs w:val="18"/>
        </w:rPr>
        <w:t xml:space="preserve"> y</w:t>
      </w:r>
      <w:r w:rsidR="00DF48ED">
        <w:rPr>
          <w:rFonts w:ascii="Arial" w:hAnsi="Arial" w:cs="Arial"/>
          <w:bCs/>
          <w:sz w:val="18"/>
          <w:szCs w:val="18"/>
        </w:rPr>
        <w:t xml:space="preserve"> </w:t>
      </w:r>
      <w:r w:rsidR="00EE3E8F">
        <w:rPr>
          <w:rFonts w:ascii="Arial" w:hAnsi="Arial" w:cs="Arial"/>
          <w:bCs/>
          <w:sz w:val="18"/>
          <w:szCs w:val="18"/>
        </w:rPr>
        <w:t>Justicia T.V</w:t>
      </w:r>
      <w:r w:rsidR="004B17B4">
        <w:rPr>
          <w:rFonts w:ascii="Arial" w:hAnsi="Arial" w:cs="Arial"/>
          <w:bCs/>
          <w:sz w:val="18"/>
          <w:szCs w:val="18"/>
        </w:rPr>
        <w:t>.</w:t>
      </w:r>
    </w:p>
    <w:bookmarkEnd w:id="1"/>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4DD833D3"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w:t>
      </w:r>
      <w:r w:rsidR="00EC2E78">
        <w:rPr>
          <w:rFonts w:ascii="Arial" w:hAnsi="Arial" w:cs="Arial"/>
          <w:bCs/>
          <w:sz w:val="18"/>
          <w:szCs w:val="18"/>
        </w:rPr>
        <w:t>l</w:t>
      </w:r>
      <w:r w:rsidRPr="00B52A63">
        <w:rPr>
          <w:rFonts w:ascii="Arial" w:hAnsi="Arial" w:cs="Arial"/>
          <w:bCs/>
          <w:sz w:val="18"/>
          <w:szCs w:val="18"/>
        </w:rPr>
        <w:t xml:space="preserve"> servicio requerido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5E0DEC" w:rsidRDefault="00DC3DE3" w:rsidP="00B52A63">
      <w:pPr>
        <w:pStyle w:val="Prrafodelista"/>
        <w:tabs>
          <w:tab w:val="left" w:pos="243"/>
        </w:tabs>
        <w:spacing w:after="0" w:line="240" w:lineRule="auto"/>
        <w:ind w:left="-426" w:right="-283"/>
        <w:jc w:val="center"/>
        <w:rPr>
          <w:rFonts w:ascii="Arial" w:hAnsi="Arial" w:cs="Arial"/>
          <w:b/>
          <w:sz w:val="18"/>
          <w:szCs w:val="18"/>
          <w:lang w:val="pt-PT"/>
        </w:rPr>
      </w:pPr>
      <w:r w:rsidRPr="005E0DEC">
        <w:rPr>
          <w:rFonts w:ascii="Arial" w:hAnsi="Arial" w:cs="Arial"/>
          <w:b/>
          <w:sz w:val="18"/>
          <w:szCs w:val="18"/>
          <w:lang w:val="pt-PT"/>
        </w:rPr>
        <w:t>C L Á U S U L A S</w:t>
      </w:r>
    </w:p>
    <w:p w14:paraId="413837C9" w14:textId="77777777" w:rsidR="00DC3DE3" w:rsidRPr="005E0DEC" w:rsidRDefault="00DC3DE3" w:rsidP="00DC3DE3">
      <w:pPr>
        <w:pStyle w:val="Prrafodelista"/>
        <w:tabs>
          <w:tab w:val="left" w:pos="243"/>
        </w:tabs>
        <w:spacing w:after="0" w:line="240" w:lineRule="auto"/>
        <w:ind w:left="-426" w:right="-283"/>
        <w:jc w:val="both"/>
        <w:rPr>
          <w:rFonts w:ascii="Arial" w:hAnsi="Arial" w:cs="Arial"/>
          <w:b/>
          <w:sz w:val="18"/>
          <w:szCs w:val="18"/>
          <w:lang w:val="pt-PT"/>
        </w:rPr>
      </w:pPr>
    </w:p>
    <w:p w14:paraId="24C0ED91" w14:textId="6B430DBC"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5E0DEC">
        <w:rPr>
          <w:rFonts w:ascii="Arial" w:hAnsi="Arial" w:cs="Arial"/>
          <w:b/>
          <w:sz w:val="18"/>
          <w:szCs w:val="18"/>
          <w:lang w:val="pt-PT"/>
        </w:rPr>
        <w:t xml:space="preserve">Primera. </w:t>
      </w:r>
      <w:r w:rsidRPr="00DC3DE3">
        <w:rPr>
          <w:rFonts w:ascii="Arial" w:hAnsi="Arial" w:cs="Arial"/>
          <w:b/>
          <w:sz w:val="18"/>
          <w:szCs w:val="18"/>
        </w:rPr>
        <w:t xml:space="preserve">Condiciones generales. </w:t>
      </w:r>
      <w:r w:rsidRPr="00B52A63">
        <w:rPr>
          <w:rFonts w:ascii="Arial" w:hAnsi="Arial" w:cs="Arial"/>
          <w:bCs/>
          <w:sz w:val="18"/>
          <w:szCs w:val="18"/>
        </w:rPr>
        <w:t xml:space="preserve">El “Prestador de Servicios” se compromete a proporcionar </w:t>
      </w:r>
      <w:r w:rsidR="00DF48ED">
        <w:rPr>
          <w:rFonts w:ascii="Arial" w:hAnsi="Arial" w:cs="Arial"/>
          <w:bCs/>
          <w:sz w:val="18"/>
          <w:szCs w:val="18"/>
        </w:rPr>
        <w:t>el</w:t>
      </w:r>
      <w:r w:rsidRPr="00B52A63">
        <w:rPr>
          <w:rFonts w:ascii="Arial" w:hAnsi="Arial" w:cs="Arial"/>
          <w:bCs/>
          <w:sz w:val="18"/>
          <w:szCs w:val="18"/>
        </w:rPr>
        <w:t xml:space="preserve"> servicio descrito en el presente instrumento</w:t>
      </w:r>
      <w:r w:rsidR="00DF48ED">
        <w:rPr>
          <w:rFonts w:ascii="Arial" w:hAnsi="Arial" w:cs="Arial"/>
          <w:bCs/>
          <w:sz w:val="18"/>
          <w:szCs w:val="18"/>
        </w:rPr>
        <w:t xml:space="preserve"> contractual</w:t>
      </w:r>
      <w:r w:rsidRPr="00B52A63">
        <w:rPr>
          <w:rFonts w:ascii="Arial" w:hAnsi="Arial" w:cs="Arial"/>
          <w:bCs/>
          <w:sz w:val="18"/>
          <w:szCs w:val="18"/>
        </w:rPr>
        <w:t xml:space="preserve">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2CB9203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w:t>
      </w:r>
      <w:r w:rsidR="00EC2E78">
        <w:rPr>
          <w:rFonts w:ascii="Arial" w:hAnsi="Arial" w:cs="Arial"/>
          <w:bCs/>
          <w:sz w:val="18"/>
          <w:szCs w:val="18"/>
        </w:rPr>
        <w:t>l</w:t>
      </w:r>
      <w:r w:rsidRPr="00B52A63">
        <w:rPr>
          <w:rFonts w:ascii="Arial" w:hAnsi="Arial" w:cs="Arial"/>
          <w:bCs/>
          <w:sz w:val="18"/>
          <w:szCs w:val="18"/>
        </w:rPr>
        <w:t xml:space="preserve"> servicio contratado, por lo cual la “Suprema Corte” no tiene obligación de cubrir ningún importe adicional.</w:t>
      </w:r>
    </w:p>
    <w:p w14:paraId="46293AA3" w14:textId="3C7D543C"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w:t>
      </w:r>
      <w:r w:rsidR="003179AD" w:rsidRPr="003179AD">
        <w:rPr>
          <w:rFonts w:ascii="Arial" w:hAnsi="Arial" w:cs="Arial"/>
          <w:bCs/>
          <w:sz w:val="18"/>
          <w:szCs w:val="18"/>
        </w:rPr>
        <w:t>el monto señalado en la cláusula Segunda, a través</w:t>
      </w:r>
      <w:r w:rsidR="003179AD">
        <w:rPr>
          <w:rFonts w:ascii="Arial" w:hAnsi="Arial" w:cs="Arial"/>
          <w:bCs/>
          <w:sz w:val="18"/>
          <w:szCs w:val="18"/>
        </w:rPr>
        <w:t xml:space="preserve"> de</w:t>
      </w:r>
      <w:r w:rsidR="006C175D">
        <w:rPr>
          <w:rFonts w:ascii="Arial" w:hAnsi="Arial" w:cs="Arial"/>
          <w:bCs/>
          <w:sz w:val="18"/>
          <w:szCs w:val="18"/>
        </w:rPr>
        <w:t xml:space="preserve"> </w:t>
      </w:r>
      <w:r w:rsidR="00995F66" w:rsidRPr="00E5280F">
        <w:rPr>
          <w:rFonts w:ascii="Arial" w:hAnsi="Arial" w:cs="Arial"/>
          <w:bCs/>
          <w:color w:val="000000" w:themeColor="text1"/>
          <w:sz w:val="18"/>
          <w:szCs w:val="18"/>
        </w:rPr>
        <w:t>estimaciones mensuales por servicio devengado debidamente ejecutado y a entera</w:t>
      </w:r>
      <w:r w:rsidR="00995F66">
        <w:rPr>
          <w:rFonts w:ascii="Arial" w:hAnsi="Arial" w:cs="Arial"/>
          <w:bCs/>
          <w:color w:val="000000" w:themeColor="text1"/>
          <w:sz w:val="18"/>
          <w:szCs w:val="18"/>
        </w:rPr>
        <w:t xml:space="preserve"> </w:t>
      </w:r>
      <w:r w:rsidR="00995F66" w:rsidRPr="00E5280F">
        <w:rPr>
          <w:rFonts w:ascii="Arial" w:hAnsi="Arial" w:cs="Arial"/>
          <w:bCs/>
          <w:color w:val="000000" w:themeColor="text1"/>
          <w:sz w:val="18"/>
          <w:szCs w:val="18"/>
        </w:rPr>
        <w:t xml:space="preserve">satisfacción de la </w:t>
      </w:r>
      <w:r w:rsidRPr="00B52A63">
        <w:rPr>
          <w:rFonts w:ascii="Arial" w:hAnsi="Arial" w:cs="Arial"/>
          <w:bCs/>
          <w:sz w:val="18"/>
          <w:szCs w:val="18"/>
        </w:rPr>
        <w:t>“Suprema Corte”. Para efectos fiscales el “Prestador de Servicios” deberá presentar el o los Comprobantes Fiscales Digitales</w:t>
      </w:r>
      <w:r w:rsidR="003179AD">
        <w:rPr>
          <w:rFonts w:ascii="Arial" w:hAnsi="Arial" w:cs="Arial"/>
          <w:bCs/>
          <w:sz w:val="18"/>
          <w:szCs w:val="18"/>
        </w:rPr>
        <w:t xml:space="preserve"> generados</w:t>
      </w:r>
      <w:r w:rsidRPr="00B52A63">
        <w:rPr>
          <w:rFonts w:ascii="Arial" w:hAnsi="Arial" w:cs="Arial"/>
          <w:bCs/>
          <w:sz w:val="18"/>
          <w:szCs w:val="18"/>
        </w:rPr>
        <w:t xml:space="preserve">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C543FC2" w14:textId="5D213312"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 xml:space="preserve">Para que proceda el pago, el “Administrador” del contrato deberá entregar a la instancia correspondiente copia del instrumento contractual y copia del documento mediante el cual </w:t>
      </w:r>
      <w:r w:rsidR="003179AD">
        <w:rPr>
          <w:rFonts w:ascii="Arial" w:hAnsi="Arial" w:cs="Arial"/>
          <w:bCs/>
          <w:sz w:val="18"/>
          <w:szCs w:val="18"/>
        </w:rPr>
        <w:t xml:space="preserve">conste que </w:t>
      </w:r>
      <w:r w:rsidRPr="00B52A63">
        <w:rPr>
          <w:rFonts w:ascii="Arial" w:hAnsi="Arial" w:cs="Arial"/>
          <w:bCs/>
          <w:sz w:val="18"/>
          <w:szCs w:val="18"/>
        </w:rPr>
        <w:t>fue prestado</w:t>
      </w:r>
      <w:r w:rsidR="003179AD">
        <w:rPr>
          <w:rFonts w:ascii="Arial" w:hAnsi="Arial" w:cs="Arial"/>
          <w:bCs/>
          <w:sz w:val="18"/>
          <w:szCs w:val="18"/>
        </w:rPr>
        <w:t xml:space="preserve"> el</w:t>
      </w:r>
      <w:r w:rsidRPr="00B52A63">
        <w:rPr>
          <w:rFonts w:ascii="Arial" w:hAnsi="Arial" w:cs="Arial"/>
          <w:bCs/>
          <w:sz w:val="18"/>
          <w:szCs w:val="18"/>
        </w:rPr>
        <w:t xml:space="preserve"> servicio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1418F1ED" w14:textId="207C75F1" w:rsidR="00A81E8C" w:rsidRDefault="00C956EA"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a</w:t>
      </w:r>
      <w:r w:rsidR="00A81E8C">
        <w:rPr>
          <w:rFonts w:ascii="Arial" w:hAnsi="Arial" w:cs="Arial"/>
          <w:b/>
          <w:sz w:val="18"/>
          <w:szCs w:val="18"/>
        </w:rPr>
        <w:t xml:space="preserve">. </w:t>
      </w:r>
      <w:r w:rsidR="00A81E8C" w:rsidRPr="00A81E8C">
        <w:rPr>
          <w:rFonts w:ascii="Arial" w:hAnsi="Arial" w:cs="Arial"/>
          <w:bCs/>
          <w:sz w:val="18"/>
          <w:szCs w:val="18"/>
        </w:rPr>
        <w:t>Edificio Sede, ubicado en avenida José María Pino Suárez número 2, colonia Centro, código postal 06060, alcaldía Cuauhtémoc, Ciudad de México.</w:t>
      </w:r>
    </w:p>
    <w:p w14:paraId="36F82F5E" w14:textId="0E782523" w:rsidR="00C956EA" w:rsidRDefault="00C956EA"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lastRenderedPageBreak/>
        <w:t>b</w:t>
      </w:r>
      <w:r w:rsidR="00A81E8C">
        <w:rPr>
          <w:rFonts w:ascii="Arial" w:hAnsi="Arial" w:cs="Arial"/>
          <w:b/>
          <w:sz w:val="18"/>
          <w:szCs w:val="18"/>
        </w:rPr>
        <w:t xml:space="preserve">. </w:t>
      </w:r>
      <w:r w:rsidRPr="00A81E8C">
        <w:rPr>
          <w:rFonts w:ascii="Arial" w:hAnsi="Arial" w:cs="Arial"/>
          <w:bCs/>
          <w:sz w:val="18"/>
          <w:szCs w:val="18"/>
        </w:rPr>
        <w:t>Edificio Alterno, ubicado en calle 16 de Septiembre número 38, colonia Centro, código postal 06000, alcaldía Cuauhtémoc, Ciudad de México.</w:t>
      </w:r>
    </w:p>
    <w:p w14:paraId="3904C458" w14:textId="3329A1A5" w:rsidR="00C956EA" w:rsidRDefault="00C956EA"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c</w:t>
      </w:r>
      <w:r>
        <w:rPr>
          <w:rFonts w:ascii="Arial" w:hAnsi="Arial" w:cs="Arial"/>
          <w:b/>
          <w:sz w:val="18"/>
          <w:szCs w:val="18"/>
        </w:rPr>
        <w:t xml:space="preserve">. </w:t>
      </w:r>
      <w:r w:rsidRPr="00A81E8C">
        <w:rPr>
          <w:rFonts w:ascii="Arial" w:hAnsi="Arial" w:cs="Arial"/>
          <w:bCs/>
          <w:sz w:val="18"/>
          <w:szCs w:val="18"/>
        </w:rPr>
        <w:t>Edificio Bolívar, ubicado en calle Bolívar número 30, colonia Centro, código postal 06010, alcaldía Cuauhtémoc, Ciudad de México.</w:t>
      </w:r>
    </w:p>
    <w:p w14:paraId="5EA692F2"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w:t>
      </w:r>
      <w:r>
        <w:rPr>
          <w:rFonts w:ascii="Arial" w:hAnsi="Arial" w:cs="Arial"/>
          <w:bCs/>
          <w:sz w:val="18"/>
          <w:szCs w:val="18"/>
        </w:rPr>
        <w:t xml:space="preserve"> </w:t>
      </w:r>
      <w:r w:rsidRPr="00C956EA">
        <w:rPr>
          <w:rFonts w:ascii="Arial" w:hAnsi="Arial" w:cs="Arial"/>
          <w:bCs/>
          <w:sz w:val="18"/>
          <w:szCs w:val="18"/>
        </w:rPr>
        <w:t>Edificio Centro de Desarrollo Infantil y Estancia Infantil</w:t>
      </w:r>
      <w:r>
        <w:rPr>
          <w:rFonts w:ascii="Arial" w:hAnsi="Arial" w:cs="Arial"/>
          <w:bCs/>
          <w:sz w:val="18"/>
          <w:szCs w:val="18"/>
        </w:rPr>
        <w:t xml:space="preserve"> (CENDI)</w:t>
      </w:r>
      <w:r w:rsidRPr="00A81E8C">
        <w:rPr>
          <w:rFonts w:ascii="Arial" w:hAnsi="Arial" w:cs="Arial"/>
          <w:bCs/>
          <w:sz w:val="18"/>
          <w:szCs w:val="18"/>
        </w:rPr>
        <w:t>, ubicado en Chimalpopoca número 112, esquina San Salvador el Verde, colonia Centro, código postal 06080, alcaldía Cuauhtémoc, Ciudad de México.</w:t>
      </w:r>
    </w:p>
    <w:p w14:paraId="67D482B0" w14:textId="1DAF862A" w:rsidR="00C956EA" w:rsidRDefault="00C956EA"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1A5E5251" w14:textId="7560AB71" w:rsidR="00C956EA" w:rsidRDefault="00C956EA" w:rsidP="00A81E8C">
      <w:pPr>
        <w:pStyle w:val="Prrafodelista"/>
        <w:tabs>
          <w:tab w:val="left" w:pos="243"/>
        </w:tabs>
        <w:spacing w:after="0" w:line="240" w:lineRule="auto"/>
        <w:ind w:left="-426" w:right="-283"/>
        <w:jc w:val="both"/>
        <w:rPr>
          <w:rFonts w:ascii="Arial" w:hAnsi="Arial" w:cs="Arial"/>
          <w:color w:val="000000" w:themeColor="text1"/>
          <w:sz w:val="18"/>
          <w:szCs w:val="18"/>
        </w:rPr>
      </w:pPr>
      <w:r>
        <w:rPr>
          <w:rFonts w:ascii="Arial" w:hAnsi="Arial" w:cs="Arial"/>
          <w:b/>
          <w:bCs/>
          <w:color w:val="000000" w:themeColor="text1"/>
          <w:sz w:val="18"/>
          <w:szCs w:val="18"/>
        </w:rPr>
        <w:t xml:space="preserve">f. </w:t>
      </w:r>
      <w:r w:rsidRPr="00C956EA">
        <w:rPr>
          <w:rFonts w:ascii="Arial" w:hAnsi="Arial" w:cs="Arial"/>
          <w:color w:val="000000" w:themeColor="text1"/>
          <w:sz w:val="18"/>
          <w:szCs w:val="18"/>
        </w:rPr>
        <w:t>Edificio Revolución,</w:t>
      </w:r>
      <w:r>
        <w:rPr>
          <w:rFonts w:ascii="Arial" w:hAnsi="Arial" w:cs="Arial"/>
          <w:b/>
          <w:bCs/>
          <w:color w:val="000000" w:themeColor="text1"/>
          <w:sz w:val="18"/>
          <w:szCs w:val="18"/>
        </w:rPr>
        <w:t xml:space="preserve"> </w:t>
      </w:r>
      <w:r w:rsidRPr="00D9354E">
        <w:rPr>
          <w:rFonts w:ascii="Arial" w:hAnsi="Arial" w:cs="Arial"/>
          <w:color w:val="000000" w:themeColor="text1"/>
          <w:sz w:val="18"/>
          <w:szCs w:val="18"/>
        </w:rPr>
        <w:t xml:space="preserve">ubicado en avenida Revolución número 1508, pisos 5 y 6, colonia Guadalupe </w:t>
      </w:r>
      <w:proofErr w:type="spellStart"/>
      <w:r w:rsidRPr="00D9354E">
        <w:rPr>
          <w:rFonts w:ascii="Arial" w:hAnsi="Arial" w:cs="Arial"/>
          <w:color w:val="000000" w:themeColor="text1"/>
          <w:sz w:val="18"/>
          <w:szCs w:val="18"/>
        </w:rPr>
        <w:t>Inn</w:t>
      </w:r>
      <w:proofErr w:type="spellEnd"/>
      <w:r w:rsidRPr="00D9354E">
        <w:rPr>
          <w:rFonts w:ascii="Arial" w:hAnsi="Arial" w:cs="Arial"/>
          <w:color w:val="000000" w:themeColor="text1"/>
          <w:sz w:val="18"/>
          <w:szCs w:val="18"/>
        </w:rPr>
        <w:t>, alcaldía Álvaro Obregón, código postal 01020, Ciudad de México</w:t>
      </w:r>
      <w:r>
        <w:rPr>
          <w:rFonts w:ascii="Arial" w:hAnsi="Arial" w:cs="Arial"/>
          <w:color w:val="000000" w:themeColor="text1"/>
          <w:sz w:val="18"/>
          <w:szCs w:val="18"/>
        </w:rPr>
        <w:t>.</w:t>
      </w:r>
    </w:p>
    <w:p w14:paraId="7C4E5589" w14:textId="4552DE5C" w:rsidR="007D08A1" w:rsidRPr="00C956EA" w:rsidRDefault="00C956EA" w:rsidP="00C956EA">
      <w:pPr>
        <w:pStyle w:val="Prrafodelista"/>
        <w:tabs>
          <w:tab w:val="left" w:pos="243"/>
        </w:tabs>
        <w:spacing w:after="0" w:line="240" w:lineRule="auto"/>
        <w:ind w:left="-426" w:right="-283"/>
        <w:jc w:val="both"/>
        <w:rPr>
          <w:rFonts w:ascii="Arial" w:hAnsi="Arial" w:cs="Arial"/>
          <w:bCs/>
          <w:sz w:val="18"/>
          <w:szCs w:val="18"/>
        </w:rPr>
      </w:pPr>
      <w:r w:rsidRPr="00C956EA">
        <w:rPr>
          <w:rFonts w:ascii="Arial" w:hAnsi="Arial" w:cs="Arial"/>
          <w:b/>
          <w:bCs/>
          <w:color w:val="000000" w:themeColor="text1"/>
          <w:sz w:val="18"/>
          <w:szCs w:val="18"/>
        </w:rPr>
        <w:t>g.</w:t>
      </w:r>
      <w:r>
        <w:rPr>
          <w:rFonts w:ascii="Arial" w:hAnsi="Arial" w:cs="Arial"/>
          <w:color w:val="000000" w:themeColor="text1"/>
          <w:sz w:val="18"/>
          <w:szCs w:val="18"/>
        </w:rPr>
        <w:t xml:space="preserve"> </w:t>
      </w:r>
      <w:r w:rsidRPr="007D08A1">
        <w:rPr>
          <w:rFonts w:ascii="Arial" w:hAnsi="Arial" w:cs="Arial"/>
          <w:bCs/>
          <w:sz w:val="18"/>
          <w:szCs w:val="18"/>
        </w:rPr>
        <w:t xml:space="preserve">Edificio Justicia </w:t>
      </w:r>
      <w:proofErr w:type="spellStart"/>
      <w:r w:rsidRPr="007D08A1">
        <w:rPr>
          <w:rFonts w:ascii="Arial" w:hAnsi="Arial" w:cs="Arial"/>
          <w:bCs/>
          <w:sz w:val="18"/>
          <w:szCs w:val="18"/>
        </w:rPr>
        <w:t>T.V</w:t>
      </w:r>
      <w:proofErr w:type="spellEnd"/>
      <w:r w:rsidRPr="007D08A1">
        <w:rPr>
          <w:rFonts w:ascii="Arial" w:hAnsi="Arial" w:cs="Arial"/>
          <w:bCs/>
          <w:sz w:val="18"/>
          <w:szCs w:val="18"/>
        </w:rPr>
        <w:t>., ubicado en calle República de El Salvador número 56, colonia Centro, código postal 06010, alcaldía Cuauhtémoc, Ciudad de México.</w:t>
      </w:r>
    </w:p>
    <w:p w14:paraId="28C01A9D" w14:textId="12C945D6" w:rsidR="00DC3DE3" w:rsidRPr="00DC3DE3" w:rsidRDefault="00DC3DE3"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00124AC2" w:rsidRPr="00124AC2">
        <w:rPr>
          <w:rFonts w:ascii="Arial" w:hAnsi="Arial" w:cs="Arial"/>
          <w:bCs/>
          <w:sz w:val="18"/>
          <w:szCs w:val="18"/>
        </w:rPr>
        <w:t xml:space="preserve">a partir de la notificación del fallo </w:t>
      </w:r>
      <w:r w:rsidR="009650A1">
        <w:rPr>
          <w:rFonts w:ascii="Arial" w:hAnsi="Arial" w:cs="Arial"/>
          <w:bCs/>
          <w:sz w:val="18"/>
          <w:szCs w:val="18"/>
        </w:rPr>
        <w:t>y entrega de las garantías correspondientes y hasta e</w:t>
      </w:r>
      <w:r w:rsidR="00124AC2" w:rsidRPr="00124AC2">
        <w:rPr>
          <w:rFonts w:ascii="Arial" w:hAnsi="Arial" w:cs="Arial"/>
          <w:bCs/>
          <w:sz w:val="18"/>
          <w:szCs w:val="18"/>
        </w:rPr>
        <w:t>l treinta y uno de diciembre de dos mil vein</w:t>
      </w:r>
      <w:r w:rsidR="00653CF4">
        <w:rPr>
          <w:rFonts w:ascii="Arial" w:hAnsi="Arial" w:cs="Arial"/>
          <w:bCs/>
          <w:sz w:val="18"/>
          <w:szCs w:val="18"/>
        </w:rPr>
        <w:t>ticuatro</w:t>
      </w:r>
      <w:r w:rsidR="00124AC2" w:rsidRPr="00124AC2">
        <w:rPr>
          <w:rFonts w:ascii="Arial" w:hAnsi="Arial" w:cs="Arial"/>
          <w:bCs/>
          <w:sz w:val="18"/>
          <w:szCs w:val="18"/>
        </w:rPr>
        <w:t>.</w:t>
      </w:r>
    </w:p>
    <w:p w14:paraId="60932096"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4D1B5F20"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sidR="00C25106">
        <w:rPr>
          <w:rFonts w:ascii="Arial" w:hAnsi="Arial" w:cs="Arial"/>
          <w:bCs/>
          <w:sz w:val="18"/>
          <w:szCs w:val="18"/>
        </w:rPr>
        <w:t>10%</w:t>
      </w:r>
      <w:r w:rsidRPr="00DA01DB">
        <w:rPr>
          <w:rFonts w:ascii="Arial" w:hAnsi="Arial" w:cs="Arial"/>
          <w:bCs/>
          <w:sz w:val="18"/>
          <w:szCs w:val="18"/>
        </w:rPr>
        <w:t xml:space="preserve"> </w:t>
      </w:r>
      <w:r w:rsidR="00C25106">
        <w:rPr>
          <w:rFonts w:ascii="Arial" w:hAnsi="Arial" w:cs="Arial"/>
          <w:bCs/>
          <w:sz w:val="18"/>
          <w:szCs w:val="18"/>
        </w:rPr>
        <w:t>(diez p</w:t>
      </w:r>
      <w:r w:rsidRPr="00DA01DB">
        <w:rPr>
          <w:rFonts w:ascii="Arial" w:hAnsi="Arial" w:cs="Arial"/>
          <w:bCs/>
          <w:sz w:val="18"/>
          <w:szCs w:val="18"/>
        </w:rPr>
        <w:t>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68D156" w14:textId="3398BD9D" w:rsidR="00C25106" w:rsidRPr="00DA01DB" w:rsidRDefault="00C25106" w:rsidP="00DC3DE3">
      <w:pPr>
        <w:pStyle w:val="Prrafodelista"/>
        <w:tabs>
          <w:tab w:val="left" w:pos="243"/>
        </w:tabs>
        <w:spacing w:after="0" w:line="240" w:lineRule="auto"/>
        <w:ind w:left="-426" w:right="-283"/>
        <w:jc w:val="both"/>
        <w:rPr>
          <w:rFonts w:ascii="Arial" w:hAnsi="Arial" w:cs="Arial"/>
          <w:bCs/>
          <w:sz w:val="18"/>
          <w:szCs w:val="18"/>
        </w:rPr>
      </w:pPr>
      <w:r w:rsidRPr="00C25106">
        <w:rPr>
          <w:rFonts w:ascii="Arial" w:hAnsi="Arial" w:cs="Arial"/>
          <w:bCs/>
          <w:sz w:val="18"/>
          <w:szCs w:val="18"/>
        </w:rPr>
        <w:t>De existir incumplimiento parcial, la pena se ajustará proporcionalmente al porcentaje incumplido.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5483A33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 garantía otorgada</w:t>
      </w:r>
      <w:r w:rsidR="00C25106">
        <w:rPr>
          <w:rFonts w:ascii="Arial" w:hAnsi="Arial" w:cs="Arial"/>
          <w:bCs/>
          <w:sz w:val="18"/>
          <w:szCs w:val="18"/>
        </w:rPr>
        <w:t>.</w:t>
      </w:r>
    </w:p>
    <w:p w14:paraId="5C98AFFB" w14:textId="33A9D403" w:rsidR="00C25106"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w:t>
      </w:r>
      <w:r w:rsidR="00B44426">
        <w:rPr>
          <w:rFonts w:ascii="Arial" w:hAnsi="Arial" w:cs="Arial"/>
          <w:b/>
          <w:sz w:val="18"/>
          <w:szCs w:val="18"/>
        </w:rPr>
        <w:t>p</w:t>
      </w:r>
      <w:r>
        <w:rPr>
          <w:rFonts w:ascii="Arial" w:hAnsi="Arial" w:cs="Arial"/>
          <w:b/>
          <w:sz w:val="18"/>
          <w:szCs w:val="18"/>
        </w:rPr>
        <w:t>tima</w:t>
      </w:r>
      <w:r w:rsidR="00DC3DE3" w:rsidRPr="00DC3DE3">
        <w:rPr>
          <w:rFonts w:ascii="Arial" w:hAnsi="Arial" w:cs="Arial"/>
          <w:b/>
          <w:sz w:val="18"/>
          <w:szCs w:val="18"/>
        </w:rPr>
        <w:t>. Garantía de cumplimiento</w:t>
      </w:r>
      <w:r w:rsidR="00DC3DE3" w:rsidRPr="00016144">
        <w:rPr>
          <w:rFonts w:ascii="Arial" w:hAnsi="Arial" w:cs="Arial"/>
          <w:bCs/>
          <w:sz w:val="18"/>
          <w:szCs w:val="18"/>
        </w:rPr>
        <w:t xml:space="preserve">. </w:t>
      </w:r>
      <w:r w:rsidR="00C6549E" w:rsidRPr="00C6549E">
        <w:rPr>
          <w:rFonts w:ascii="Arial" w:hAnsi="Arial" w:cs="Arial"/>
          <w:bCs/>
          <w:sz w:val="18"/>
          <w:szCs w:val="18"/>
        </w:rPr>
        <w:t>De conformidad con lo establecido en el artículo 169, fracción II, del Acuerdo General de Administración XIV/2019, el “</w:t>
      </w:r>
      <w:r w:rsidR="00754601">
        <w:rPr>
          <w:rFonts w:ascii="Arial" w:hAnsi="Arial" w:cs="Arial"/>
          <w:bCs/>
          <w:sz w:val="18"/>
          <w:szCs w:val="18"/>
        </w:rPr>
        <w:t>Prestador de Servicios</w:t>
      </w:r>
      <w:r w:rsidR="00C6549E" w:rsidRPr="00C6549E">
        <w:rPr>
          <w:rFonts w:ascii="Arial" w:hAnsi="Arial" w:cs="Arial"/>
          <w:bCs/>
          <w:sz w:val="18"/>
          <w:szCs w:val="18"/>
        </w:rPr>
        <w:t>” se obliga a otorgar fianza expedida por institución debidamente autorizada, dentro de los diez días hábiles siguientes a la firma del contrato, por el equivalente al 10</w:t>
      </w:r>
      <w:r w:rsidR="00C25106">
        <w:rPr>
          <w:rFonts w:ascii="Arial" w:hAnsi="Arial" w:cs="Arial"/>
          <w:bCs/>
          <w:sz w:val="18"/>
          <w:szCs w:val="18"/>
        </w:rPr>
        <w:t>% (diez</w:t>
      </w:r>
      <w:r w:rsidR="00C6549E" w:rsidRPr="00C6549E">
        <w:rPr>
          <w:rFonts w:ascii="Arial" w:hAnsi="Arial" w:cs="Arial"/>
          <w:bCs/>
          <w:sz w:val="18"/>
          <w:szCs w:val="18"/>
        </w:rPr>
        <w:t xml:space="preserve"> por ciento</w:t>
      </w:r>
      <w:r w:rsidR="00C25106">
        <w:rPr>
          <w:rFonts w:ascii="Arial" w:hAnsi="Arial" w:cs="Arial"/>
          <w:bCs/>
          <w:sz w:val="18"/>
          <w:szCs w:val="18"/>
        </w:rPr>
        <w:t>)</w:t>
      </w:r>
      <w:r w:rsidR="00C6549E" w:rsidRPr="00C6549E">
        <w:rPr>
          <w:rFonts w:ascii="Arial" w:hAnsi="Arial" w:cs="Arial"/>
          <w:bCs/>
          <w:sz w:val="18"/>
          <w:szCs w:val="18"/>
        </w:rPr>
        <w:t xml:space="preserve">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3B369A">
        <w:rPr>
          <w:rFonts w:ascii="Arial" w:hAnsi="Arial" w:cs="Arial"/>
          <w:bCs/>
          <w:sz w:val="18"/>
          <w:szCs w:val="18"/>
        </w:rPr>
        <w:t xml:space="preserve">. / </w:t>
      </w:r>
      <w:r w:rsidR="003B369A" w:rsidRPr="003B369A">
        <w:rPr>
          <w:rFonts w:ascii="Arial" w:hAnsi="Arial" w:cs="Arial"/>
          <w:bCs/>
          <w:i/>
          <w:iCs/>
          <w:sz w:val="18"/>
          <w:szCs w:val="18"/>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de manera posterior a la prestación de los servicios</w:t>
      </w:r>
      <w:r w:rsidR="003B369A" w:rsidRPr="003B369A">
        <w:rPr>
          <w:rFonts w:ascii="Arial" w:hAnsi="Arial" w:cs="Arial"/>
          <w:bCs/>
          <w:sz w:val="18"/>
          <w:szCs w:val="18"/>
        </w:rPr>
        <w:t>.</w:t>
      </w:r>
    </w:p>
    <w:p w14:paraId="19886AC9" w14:textId="5B27DE78" w:rsidR="00DD4239" w:rsidRPr="00027DBF" w:rsidRDefault="0062215C" w:rsidP="00DC3DE3">
      <w:pPr>
        <w:pStyle w:val="Prrafodelista"/>
        <w:tabs>
          <w:tab w:val="left" w:pos="243"/>
        </w:tabs>
        <w:spacing w:after="0" w:line="240" w:lineRule="auto"/>
        <w:ind w:left="-426" w:right="-283"/>
        <w:jc w:val="both"/>
        <w:rPr>
          <w:rFonts w:ascii="Arial" w:hAnsi="Arial" w:cs="Arial"/>
          <w:bCs/>
          <w:i/>
          <w:iCs/>
          <w:sz w:val="18"/>
          <w:szCs w:val="18"/>
        </w:rPr>
      </w:pPr>
      <w:r>
        <w:rPr>
          <w:rFonts w:ascii="Arial" w:hAnsi="Arial" w:cs="Arial"/>
          <w:b/>
          <w:sz w:val="18"/>
          <w:szCs w:val="18"/>
        </w:rPr>
        <w:t>Octava</w:t>
      </w:r>
      <w:r w:rsidR="00DC3DE3" w:rsidRPr="00DC3DE3">
        <w:rPr>
          <w:rFonts w:ascii="Arial" w:hAnsi="Arial" w:cs="Arial"/>
          <w:b/>
          <w:sz w:val="18"/>
          <w:szCs w:val="18"/>
        </w:rPr>
        <w:t xml:space="preserve">. </w:t>
      </w:r>
      <w:r w:rsidR="00B277C5" w:rsidRPr="00B277C5">
        <w:rPr>
          <w:rFonts w:ascii="Arial" w:hAnsi="Arial" w:cs="Arial"/>
          <w:b/>
          <w:sz w:val="18"/>
          <w:szCs w:val="18"/>
        </w:rPr>
        <w:t xml:space="preserve">Garantía de responsabilidad civil por daños a terceros. </w:t>
      </w:r>
      <w:r w:rsidR="00B277C5" w:rsidRPr="00B277C5">
        <w:rPr>
          <w:rFonts w:ascii="Arial" w:hAnsi="Arial" w:cs="Arial"/>
          <w:bCs/>
          <w:sz w:val="18"/>
          <w:szCs w:val="18"/>
        </w:rPr>
        <w:t>El “</w:t>
      </w:r>
      <w:r w:rsidR="00434ACA">
        <w:rPr>
          <w:rFonts w:ascii="Arial" w:hAnsi="Arial" w:cs="Arial"/>
          <w:bCs/>
          <w:sz w:val="18"/>
          <w:szCs w:val="18"/>
        </w:rPr>
        <w:t>Prestador de Servicios</w:t>
      </w:r>
      <w:r w:rsidR="00B277C5" w:rsidRPr="00B277C5">
        <w:rPr>
          <w:rFonts w:ascii="Arial" w:hAnsi="Arial" w:cs="Arial"/>
          <w:bCs/>
          <w:sz w:val="18"/>
          <w:szCs w:val="18"/>
        </w:rPr>
        <w:t>” otorgará a la “Suprema Corte” garantía de responsabilidad civil por daños a terceros con motivo de la conducta que asuma el “</w:t>
      </w:r>
      <w:r w:rsidR="00434ACA">
        <w:rPr>
          <w:rFonts w:ascii="Arial" w:hAnsi="Arial" w:cs="Arial"/>
          <w:bCs/>
          <w:sz w:val="18"/>
          <w:szCs w:val="18"/>
        </w:rPr>
        <w:t>Prestador de Servicios</w:t>
      </w:r>
      <w:r w:rsidR="00B277C5" w:rsidRPr="00B277C5">
        <w:rPr>
          <w:rFonts w:ascii="Arial" w:hAnsi="Arial" w:cs="Arial"/>
          <w:bCs/>
          <w:sz w:val="18"/>
          <w:szCs w:val="18"/>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00027DBF">
        <w:rPr>
          <w:rFonts w:ascii="Arial" w:hAnsi="Arial" w:cs="Arial"/>
          <w:bCs/>
          <w:sz w:val="18"/>
          <w:szCs w:val="18"/>
        </w:rPr>
        <w:t xml:space="preserve"> / </w:t>
      </w:r>
      <w:r w:rsidR="00027DBF" w:rsidRPr="00027DBF">
        <w:rPr>
          <w:rFonts w:ascii="Arial" w:hAnsi="Arial" w:cs="Arial"/>
          <w:bCs/>
          <w:i/>
          <w:iCs/>
          <w:sz w:val="18"/>
          <w:szCs w:val="18"/>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04E3595E" w14:textId="1D6EF3F4" w:rsidR="00DC3DE3" w:rsidRPr="00016144" w:rsidRDefault="00B277C5"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Novena. </w:t>
      </w:r>
      <w:r w:rsidR="00DC3DE3" w:rsidRPr="00DC3DE3">
        <w:rPr>
          <w:rFonts w:ascii="Arial" w:hAnsi="Arial" w:cs="Arial"/>
          <w:b/>
          <w:sz w:val="18"/>
          <w:szCs w:val="18"/>
        </w:rPr>
        <w:t>Pagos en exceso</w:t>
      </w:r>
      <w:r w:rsidR="00DC3DE3"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16B69DBD" w:rsidR="00DC3DE3" w:rsidRPr="00016144" w:rsidRDefault="007215D3"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Décima</w:t>
      </w:r>
      <w:r w:rsidR="00DC3DE3" w:rsidRPr="00DC3DE3">
        <w:rPr>
          <w:rFonts w:ascii="Arial" w:hAnsi="Arial" w:cs="Arial"/>
          <w:b/>
          <w:sz w:val="18"/>
          <w:szCs w:val="18"/>
        </w:rPr>
        <w:t xml:space="preserve">. Propiedad intelectual. </w:t>
      </w:r>
      <w:r w:rsidR="00DC3DE3"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4C41B98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7215D3">
        <w:rPr>
          <w:rFonts w:ascii="Arial" w:hAnsi="Arial" w:cs="Arial"/>
          <w:b/>
          <w:sz w:val="18"/>
          <w:szCs w:val="18"/>
        </w:rPr>
        <w:t xml:space="preserve"> Primera</w:t>
      </w:r>
      <w:r w:rsidRPr="00DC3DE3">
        <w:rPr>
          <w:rFonts w:ascii="Arial" w:hAnsi="Arial" w:cs="Arial"/>
          <w:b/>
          <w:sz w:val="18"/>
          <w:szCs w:val="18"/>
        </w:rPr>
        <w:t xml:space="preserve">.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01E4F3E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CDBE57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4EE2F5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768B06F3" w14:textId="043F006C"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Las </w:t>
      </w:r>
      <w:r w:rsidR="00027DBF">
        <w:rPr>
          <w:rFonts w:ascii="Arial" w:hAnsi="Arial" w:cs="Arial"/>
          <w:bCs/>
          <w:sz w:val="18"/>
          <w:szCs w:val="18"/>
        </w:rPr>
        <w:t>“</w:t>
      </w:r>
      <w:r w:rsidRPr="00016144">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2710E26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7215D3">
        <w:rPr>
          <w:rFonts w:ascii="Arial" w:hAnsi="Arial" w:cs="Arial"/>
          <w:b/>
          <w:sz w:val="18"/>
          <w:szCs w:val="18"/>
        </w:rPr>
        <w:t>Segunda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0CD99D1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7215D3">
        <w:rPr>
          <w:rFonts w:ascii="Arial" w:hAnsi="Arial" w:cs="Arial"/>
          <w:b/>
          <w:sz w:val="18"/>
          <w:szCs w:val="18"/>
        </w:rPr>
        <w:t>Tercera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6372E6B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1D16D8">
        <w:rPr>
          <w:rFonts w:ascii="Arial" w:hAnsi="Arial" w:cs="Arial"/>
          <w:b/>
          <w:sz w:val="18"/>
          <w:szCs w:val="18"/>
        </w:rPr>
        <w:t>Cuarta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07BF27F9"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1D16D8">
        <w:rPr>
          <w:rFonts w:ascii="Arial" w:hAnsi="Arial" w:cs="Arial"/>
          <w:b/>
          <w:sz w:val="18"/>
          <w:szCs w:val="18"/>
        </w:rPr>
        <w:t>Quinta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5FF5A9A5"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sidR="00E26820">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6436F01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8A703A">
        <w:rPr>
          <w:rFonts w:ascii="Arial" w:hAnsi="Arial" w:cs="Arial"/>
          <w:b/>
          <w:sz w:val="18"/>
          <w:szCs w:val="18"/>
        </w:rPr>
        <w:t>Sexta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18163B95"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w:t>
      </w:r>
      <w:r w:rsidR="007E55E8">
        <w:rPr>
          <w:rFonts w:ascii="Arial" w:hAnsi="Arial" w:cs="Arial"/>
          <w:bCs/>
          <w:sz w:val="18"/>
          <w:szCs w:val="18"/>
        </w:rPr>
        <w:t>s</w:t>
      </w:r>
      <w:r w:rsidRPr="00016144">
        <w:rPr>
          <w:rFonts w:ascii="Arial" w:hAnsi="Arial" w:cs="Arial"/>
          <w:bCs/>
          <w:sz w:val="18"/>
          <w:szCs w:val="18"/>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62576D0A" w:rsidR="00DC3DE3" w:rsidRPr="00027DBF" w:rsidRDefault="00DC3DE3" w:rsidP="00DC3DE3">
      <w:pPr>
        <w:pStyle w:val="Prrafodelista"/>
        <w:tabs>
          <w:tab w:val="left" w:pos="243"/>
        </w:tabs>
        <w:spacing w:after="0" w:line="240" w:lineRule="auto"/>
        <w:ind w:left="-426" w:right="-283"/>
        <w:jc w:val="both"/>
        <w:rPr>
          <w:rFonts w:ascii="Arial" w:hAnsi="Arial" w:cs="Arial"/>
          <w:bCs/>
          <w:i/>
          <w:iCs/>
          <w:sz w:val="18"/>
          <w:szCs w:val="18"/>
        </w:rPr>
      </w:pPr>
      <w:r w:rsidRPr="00016144">
        <w:rPr>
          <w:rFonts w:ascii="Arial" w:hAnsi="Arial" w:cs="Arial"/>
          <w:bCs/>
          <w:sz w:val="18"/>
          <w:szCs w:val="18"/>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00151771">
        <w:rPr>
          <w:rFonts w:ascii="Arial" w:hAnsi="Arial" w:cs="Arial"/>
          <w:bCs/>
          <w:sz w:val="18"/>
          <w:szCs w:val="18"/>
        </w:rPr>
        <w:t>.</w:t>
      </w:r>
      <w:r w:rsidR="00027DBF">
        <w:rPr>
          <w:rFonts w:ascii="Arial" w:hAnsi="Arial" w:cs="Arial"/>
          <w:bCs/>
          <w:sz w:val="18"/>
          <w:szCs w:val="18"/>
        </w:rPr>
        <w:t xml:space="preserve"> </w:t>
      </w:r>
      <w:r w:rsidR="00027DBF" w:rsidRPr="00027DBF">
        <w:rPr>
          <w:rFonts w:ascii="Arial" w:hAnsi="Arial" w:cs="Arial"/>
          <w:bCs/>
          <w:sz w:val="18"/>
          <w:szCs w:val="18"/>
        </w:rPr>
        <w:t>4</w:t>
      </w:r>
      <w:r w:rsidR="00027DBF" w:rsidRPr="00027DBF">
        <w:rPr>
          <w:rFonts w:ascii="Arial" w:hAnsi="Arial" w:cs="Arial"/>
          <w:bCs/>
          <w:i/>
          <w:iCs/>
          <w:sz w:val="18"/>
          <w:szCs w:val="18"/>
        </w:rPr>
        <w:t>) Si el “Prestador de Servicios” no exhibe las garantías en los términos y condiciones indicados en este contrato de conformidad con el artículo 169, del Acuerdo General de Administración XIV/2019.</w:t>
      </w:r>
    </w:p>
    <w:p w14:paraId="7AD5A9C0" w14:textId="22BF5CA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00B44426" w:rsidRPr="00DC3DE3">
        <w:rPr>
          <w:rFonts w:ascii="Arial" w:hAnsi="Arial" w:cs="Arial"/>
          <w:b/>
          <w:sz w:val="18"/>
          <w:szCs w:val="18"/>
        </w:rPr>
        <w:t>S</w:t>
      </w:r>
      <w:r w:rsidR="008A703A">
        <w:rPr>
          <w:rFonts w:ascii="Arial" w:hAnsi="Arial" w:cs="Arial"/>
          <w:b/>
          <w:sz w:val="18"/>
          <w:szCs w:val="18"/>
        </w:rPr>
        <w:t>éptima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404F574A"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Décima </w:t>
      </w:r>
      <w:r w:rsidR="008A703A">
        <w:rPr>
          <w:rFonts w:ascii="Arial" w:hAnsi="Arial" w:cs="Arial"/>
          <w:b/>
          <w:sz w:val="18"/>
          <w:szCs w:val="18"/>
        </w:rPr>
        <w:t>Octava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2279014" w14:textId="5B1FF977" w:rsidR="0098231E" w:rsidRPr="0098231E" w:rsidRDefault="00DC3DE3" w:rsidP="0001722C">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sidR="008A703A">
        <w:rPr>
          <w:rFonts w:ascii="Arial" w:hAnsi="Arial" w:cs="Arial"/>
          <w:b/>
          <w:sz w:val="18"/>
          <w:szCs w:val="18"/>
        </w:rPr>
        <w:t>Novena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sidR="00E26820">
        <w:rPr>
          <w:rFonts w:ascii="Arial" w:hAnsi="Arial" w:cs="Arial"/>
          <w:bCs/>
          <w:sz w:val="18"/>
          <w:szCs w:val="18"/>
        </w:rPr>
        <w:t>el</w:t>
      </w:r>
      <w:r w:rsidR="00E26820" w:rsidRPr="00016144">
        <w:rPr>
          <w:rFonts w:ascii="Arial" w:hAnsi="Arial" w:cs="Arial"/>
          <w:bCs/>
          <w:sz w:val="18"/>
          <w:szCs w:val="18"/>
        </w:rPr>
        <w:t xml:space="preserve"> </w:t>
      </w:r>
      <w:r w:rsidRPr="00016144">
        <w:rPr>
          <w:rFonts w:ascii="Arial" w:hAnsi="Arial" w:cs="Arial"/>
          <w:bCs/>
          <w:sz w:val="18"/>
          <w:szCs w:val="18"/>
        </w:rPr>
        <w:t>artículo 148, del Acuerdo General de Administración XIV/2019.</w:t>
      </w:r>
    </w:p>
    <w:p w14:paraId="659826C5" w14:textId="66A5764F" w:rsidR="00DC3DE3" w:rsidRPr="00016144" w:rsidRDefault="000C5491"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Vigésima</w:t>
      </w:r>
      <w:r w:rsidR="00DC3DE3" w:rsidRPr="00DC3DE3">
        <w:rPr>
          <w:rFonts w:ascii="Arial" w:hAnsi="Arial" w:cs="Arial"/>
          <w:b/>
          <w:sz w:val="18"/>
          <w:szCs w:val="18"/>
        </w:rPr>
        <w:t xml:space="preserve">. Vicios Ocultos. </w:t>
      </w:r>
      <w:r w:rsidR="00DC3DE3"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69203AE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Vigésima</w:t>
      </w:r>
      <w:r w:rsidR="000C5491">
        <w:rPr>
          <w:rFonts w:ascii="Arial" w:hAnsi="Arial" w:cs="Arial"/>
          <w:b/>
          <w:sz w:val="18"/>
          <w:szCs w:val="18"/>
        </w:rPr>
        <w:t xml:space="preserve"> Primera</w:t>
      </w:r>
      <w:r w:rsidRPr="00DC3DE3">
        <w:rPr>
          <w:rFonts w:ascii="Arial" w:hAnsi="Arial" w:cs="Arial"/>
          <w:b/>
          <w:sz w:val="18"/>
          <w:szCs w:val="18"/>
        </w:rPr>
        <w:t xml:space="preserve">.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de Mantenimiento de la Subdirección General de Servicios</w:t>
      </w:r>
      <w:r w:rsidRPr="00016144">
        <w:rPr>
          <w:rFonts w:ascii="Arial" w:hAnsi="Arial" w:cs="Arial"/>
          <w:bCs/>
          <w:sz w:val="18"/>
          <w:szCs w:val="18"/>
        </w:rPr>
        <w:t>, adscrita a la</w:t>
      </w:r>
      <w:r w:rsidR="0001722C" w:rsidRPr="00016144">
        <w:rPr>
          <w:rFonts w:ascii="Arial" w:hAnsi="Arial" w:cs="Arial"/>
          <w:bCs/>
          <w:sz w:val="18"/>
          <w:szCs w:val="18"/>
        </w:rPr>
        <w:t xml:space="preserve"> Dirección General de Infraestructura Física</w:t>
      </w:r>
      <w:r w:rsidRPr="00016144">
        <w:rPr>
          <w:rFonts w:ascii="Arial" w:hAnsi="Arial" w:cs="Arial"/>
          <w:bCs/>
          <w:sz w:val="18"/>
          <w:szCs w:val="18"/>
        </w:rPr>
        <w:t xml:space="preserve">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7192D0F9" w:rsidR="00DC3DE3" w:rsidRPr="00016144" w:rsidRDefault="0001722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00DC3DE3" w:rsidRPr="00016144">
        <w:rPr>
          <w:rFonts w:ascii="Arial" w:hAnsi="Arial" w:cs="Arial"/>
          <w:bCs/>
          <w:sz w:val="18"/>
          <w:szCs w:val="18"/>
        </w:rPr>
        <w:t xml:space="preserve"> Director</w:t>
      </w:r>
      <w:r>
        <w:rPr>
          <w:rFonts w:ascii="Arial" w:hAnsi="Arial" w:cs="Arial"/>
          <w:bCs/>
          <w:sz w:val="18"/>
          <w:szCs w:val="18"/>
        </w:rPr>
        <w:t>a</w:t>
      </w:r>
      <w:r w:rsidR="00DC3DE3" w:rsidRPr="00016144">
        <w:rPr>
          <w:rFonts w:ascii="Arial" w:hAnsi="Arial" w:cs="Arial"/>
          <w:bCs/>
          <w:sz w:val="18"/>
          <w:szCs w:val="18"/>
        </w:rPr>
        <w:t xml:space="preserve"> General de </w:t>
      </w:r>
      <w:r w:rsidR="00016144" w:rsidRPr="00016144">
        <w:rPr>
          <w:rFonts w:ascii="Arial" w:hAnsi="Arial" w:cs="Arial"/>
          <w:bCs/>
          <w:sz w:val="18"/>
          <w:szCs w:val="18"/>
        </w:rPr>
        <w:t>Infraestructura Física</w:t>
      </w:r>
      <w:r w:rsidR="00DC3DE3" w:rsidRPr="00016144">
        <w:rPr>
          <w:rFonts w:ascii="Arial" w:hAnsi="Arial" w:cs="Arial"/>
          <w:bCs/>
          <w:sz w:val="18"/>
          <w:szCs w:val="18"/>
        </w:rPr>
        <w:t xml:space="preserve"> de la “Suprema Corte” podrá sustituir al “Administrador” del contrato, lo que informará por escrito al “Prestador de Servicios”.</w:t>
      </w:r>
    </w:p>
    <w:p w14:paraId="3D56A945" w14:textId="1E931EF7" w:rsidR="00DC3DE3" w:rsidRPr="00016144" w:rsidRDefault="00B44426"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00DC3DE3" w:rsidRPr="00DC3DE3">
        <w:rPr>
          <w:rFonts w:ascii="Arial" w:hAnsi="Arial" w:cs="Arial"/>
          <w:b/>
          <w:sz w:val="18"/>
          <w:szCs w:val="18"/>
        </w:rPr>
        <w:t xml:space="preserve">Resolución de controversias. </w:t>
      </w:r>
      <w:r w:rsidR="00DC3DE3"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7F230C2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B44426">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2E880C84"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F44116" w:rsidRPr="00F44116" w14:paraId="32B42E6E" w14:textId="77777777" w:rsidTr="00176B2F">
        <w:trPr>
          <w:trHeight w:val="494"/>
          <w:jc w:val="center"/>
        </w:trPr>
        <w:tc>
          <w:tcPr>
            <w:tcW w:w="4531" w:type="dxa"/>
          </w:tcPr>
          <w:p w14:paraId="72D47719" w14:textId="77777777" w:rsid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3A9DEF68" w14:textId="77777777" w:rsidR="00176B2F" w:rsidRDefault="00176B2F" w:rsidP="008C76C9">
            <w:pPr>
              <w:autoSpaceDE w:val="0"/>
              <w:autoSpaceDN w:val="0"/>
              <w:adjustRightInd w:val="0"/>
              <w:jc w:val="center"/>
              <w:rPr>
                <w:rFonts w:ascii="Arial" w:hAnsi="Arial" w:cs="Arial"/>
                <w:b/>
                <w:color w:val="000000"/>
                <w:sz w:val="18"/>
                <w:szCs w:val="18"/>
              </w:rPr>
            </w:pPr>
          </w:p>
          <w:p w14:paraId="3B99266B" w14:textId="5BE9FD0E" w:rsidR="00176B2F" w:rsidRPr="00F44116" w:rsidRDefault="00176B2F" w:rsidP="008C76C9">
            <w:pPr>
              <w:autoSpaceDE w:val="0"/>
              <w:autoSpaceDN w:val="0"/>
              <w:adjustRightInd w:val="0"/>
              <w:jc w:val="center"/>
              <w:rPr>
                <w:rFonts w:ascii="Arial" w:hAnsi="Arial" w:cs="Arial"/>
                <w:b/>
                <w:color w:val="000000"/>
                <w:sz w:val="18"/>
                <w:szCs w:val="18"/>
              </w:rPr>
            </w:pPr>
          </w:p>
        </w:tc>
        <w:tc>
          <w:tcPr>
            <w:tcW w:w="3119" w:type="dxa"/>
          </w:tcPr>
          <w:p w14:paraId="7D63B04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746DC890"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4565FE03" w14:textId="77777777" w:rsidR="00F44116" w:rsidRPr="009C2B41" w:rsidRDefault="00F44116" w:rsidP="00F44116">
      <w:pPr>
        <w:rPr>
          <w:rFonts w:ascii="Arial" w:hAnsi="Arial" w:cs="Arial"/>
          <w:sz w:val="24"/>
          <w:szCs w:val="24"/>
        </w:rPr>
      </w:pPr>
    </w:p>
    <w:p w14:paraId="385B0079" w14:textId="1525CAF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5E0DEC"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lang w:val="pt-PT"/>
        </w:rPr>
      </w:pPr>
      <w:r w:rsidRPr="005E0DEC">
        <w:rPr>
          <w:rFonts w:ascii="Arial" w:hAnsi="Arial" w:cs="Arial"/>
          <w:b/>
          <w:bCs/>
          <w:sz w:val="18"/>
          <w:szCs w:val="18"/>
          <w:lang w:val="pt-PT"/>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28D03AC5" w14:textId="77777777" w:rsidR="00A81E8C" w:rsidRPr="00DC3DE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FF07F69" w14:textId="77777777" w:rsidR="00275A2A" w:rsidRPr="00B52A63" w:rsidRDefault="00A81E8C" w:rsidP="00275A2A">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00275A2A" w:rsidRPr="00B52A63">
        <w:rPr>
          <w:rFonts w:ascii="Arial" w:hAnsi="Arial" w:cs="Arial"/>
          <w:bCs/>
          <w:sz w:val="18"/>
          <w:szCs w:val="18"/>
        </w:rPr>
        <w:t xml:space="preserve">La presente contratación realizada mediante </w:t>
      </w:r>
      <w:r w:rsidR="00275A2A">
        <w:rPr>
          <w:rFonts w:ascii="Arial" w:hAnsi="Arial" w:cs="Arial"/>
          <w:bCs/>
          <w:sz w:val="18"/>
          <w:szCs w:val="18"/>
        </w:rPr>
        <w:t>Licitación Pública Nacional</w:t>
      </w:r>
      <w:r w:rsidR="00275A2A" w:rsidRPr="00B52A63">
        <w:rPr>
          <w:rFonts w:ascii="Arial" w:hAnsi="Arial" w:cs="Arial"/>
          <w:bCs/>
          <w:sz w:val="18"/>
          <w:szCs w:val="18"/>
        </w:rPr>
        <w:t>, fue autorizada por el</w:t>
      </w:r>
      <w:r w:rsidR="00275A2A">
        <w:rPr>
          <w:rFonts w:ascii="Arial" w:hAnsi="Arial" w:cs="Arial"/>
          <w:bCs/>
          <w:sz w:val="18"/>
          <w:szCs w:val="18"/>
        </w:rPr>
        <w:t xml:space="preserve"> Comité de Adquisiciones y Servicios, Obras y Desincorporaciones, en su sesión ________, celebrada el ________</w:t>
      </w:r>
      <w:r w:rsidR="00275A2A" w:rsidRPr="00B52A63">
        <w:rPr>
          <w:rFonts w:ascii="Arial" w:hAnsi="Arial" w:cs="Arial"/>
          <w:bCs/>
          <w:sz w:val="18"/>
          <w:szCs w:val="18"/>
        </w:rPr>
        <w:t>, de conformidad con lo previsto en los artículos 46, 47, fracción I,</w:t>
      </w:r>
      <w:r w:rsidR="00275A2A">
        <w:rPr>
          <w:rFonts w:ascii="Arial" w:hAnsi="Arial" w:cs="Arial"/>
          <w:bCs/>
          <w:sz w:val="18"/>
          <w:szCs w:val="18"/>
        </w:rPr>
        <w:t xml:space="preserve"> 76, 77, fracción I </w:t>
      </w:r>
      <w:r w:rsidR="00275A2A" w:rsidRPr="00B52A63">
        <w:rPr>
          <w:rFonts w:ascii="Arial" w:hAnsi="Arial" w:cs="Arial"/>
          <w:bCs/>
          <w:sz w:val="18"/>
          <w:szCs w:val="18"/>
        </w:rPr>
        <w:t xml:space="preserve">y </w:t>
      </w:r>
      <w:r w:rsidR="00275A2A">
        <w:rPr>
          <w:rFonts w:ascii="Arial" w:hAnsi="Arial" w:cs="Arial"/>
          <w:bCs/>
          <w:sz w:val="18"/>
          <w:szCs w:val="18"/>
        </w:rPr>
        <w:t>78</w:t>
      </w:r>
      <w:r w:rsidR="00275A2A" w:rsidRPr="00B52A63">
        <w:rPr>
          <w:rFonts w:ascii="Arial" w:hAnsi="Arial" w:cs="Arial"/>
          <w:bCs/>
          <w:sz w:val="18"/>
          <w:szCs w:val="18"/>
        </w:rPr>
        <w:t>,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DB42DEE" w14:textId="2854C44D"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Pr>
          <w:rFonts w:ascii="Arial" w:hAnsi="Arial" w:cs="Arial"/>
          <w:bCs/>
          <w:sz w:val="18"/>
          <w:szCs w:val="18"/>
        </w:rPr>
        <w:t>La</w:t>
      </w:r>
      <w:r w:rsidRPr="00B52A63">
        <w:rPr>
          <w:rFonts w:ascii="Arial" w:hAnsi="Arial" w:cs="Arial"/>
          <w:bCs/>
          <w:sz w:val="18"/>
          <w:szCs w:val="18"/>
        </w:rPr>
        <w:t xml:space="preserve"> Director</w:t>
      </w:r>
      <w:r>
        <w:rPr>
          <w:rFonts w:ascii="Arial" w:hAnsi="Arial" w:cs="Arial"/>
          <w:bCs/>
          <w:sz w:val="18"/>
          <w:szCs w:val="18"/>
        </w:rPr>
        <w:t>a</w:t>
      </w:r>
      <w:r w:rsidRPr="00B52A63">
        <w:rPr>
          <w:rFonts w:ascii="Arial" w:hAnsi="Arial" w:cs="Arial"/>
          <w:bCs/>
          <w:sz w:val="18"/>
          <w:szCs w:val="18"/>
        </w:rPr>
        <w:t xml:space="preserve"> General de Infraestructura Física está facultad</w:t>
      </w:r>
      <w:r>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1452E313"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455C4E77" w14:textId="0F1300AD" w:rsidR="00C956EA" w:rsidRPr="00DC3DE3" w:rsidRDefault="00A81E8C" w:rsidP="00C956EA">
      <w:pPr>
        <w:pStyle w:val="Prrafodelista"/>
        <w:tabs>
          <w:tab w:val="left" w:pos="243"/>
        </w:tabs>
        <w:spacing w:after="0" w:line="240" w:lineRule="auto"/>
        <w:ind w:left="-426" w:right="-283"/>
        <w:jc w:val="both"/>
        <w:rPr>
          <w:rFonts w:ascii="Arial" w:hAnsi="Arial" w:cs="Arial"/>
          <w:b/>
          <w:sz w:val="18"/>
          <w:szCs w:val="18"/>
        </w:rPr>
      </w:pPr>
      <w:proofErr w:type="spellStart"/>
      <w:r w:rsidRPr="00DC3DE3">
        <w:rPr>
          <w:rFonts w:ascii="Arial" w:hAnsi="Arial" w:cs="Arial"/>
          <w:b/>
          <w:sz w:val="18"/>
          <w:szCs w:val="18"/>
        </w:rPr>
        <w:t>I.</w:t>
      </w:r>
      <w:r w:rsidR="00C956EA">
        <w:rPr>
          <w:rFonts w:ascii="Arial" w:hAnsi="Arial" w:cs="Arial"/>
          <w:b/>
          <w:sz w:val="18"/>
          <w:szCs w:val="18"/>
        </w:rPr>
        <w:t>5</w:t>
      </w:r>
      <w:proofErr w:type="spellEnd"/>
      <w:r w:rsidR="00C956EA" w:rsidRPr="00DC3DE3">
        <w:rPr>
          <w:rFonts w:ascii="Arial" w:hAnsi="Arial" w:cs="Arial"/>
          <w:b/>
          <w:sz w:val="18"/>
          <w:szCs w:val="18"/>
        </w:rPr>
        <w:t xml:space="preserve">.- </w:t>
      </w:r>
      <w:r w:rsidR="00C956EA" w:rsidRPr="00B52A63">
        <w:rPr>
          <w:rFonts w:ascii="Arial" w:hAnsi="Arial" w:cs="Arial"/>
          <w:bCs/>
          <w:sz w:val="18"/>
          <w:szCs w:val="18"/>
        </w:rPr>
        <w:t xml:space="preserve">La erogación que implica la presente contratación se realizará con cargo a la Unidad Responsable </w:t>
      </w:r>
      <w:proofErr w:type="spellStart"/>
      <w:r w:rsidR="00C956EA" w:rsidRPr="00DF48ED">
        <w:rPr>
          <w:rFonts w:ascii="Arial" w:hAnsi="Arial" w:cs="Arial"/>
          <w:bCs/>
          <w:sz w:val="18"/>
          <w:szCs w:val="18"/>
        </w:rPr>
        <w:t>24510930S0010001</w:t>
      </w:r>
      <w:proofErr w:type="spellEnd"/>
      <w:r w:rsidR="00C956EA" w:rsidRPr="00B52A63">
        <w:rPr>
          <w:rFonts w:ascii="Arial" w:hAnsi="Arial" w:cs="Arial"/>
          <w:bCs/>
          <w:sz w:val="18"/>
          <w:szCs w:val="18"/>
        </w:rPr>
        <w:t xml:space="preserve">, Partida Presupuestal </w:t>
      </w:r>
      <w:r w:rsidR="00C956EA">
        <w:rPr>
          <w:rFonts w:ascii="Arial" w:hAnsi="Arial" w:cs="Arial"/>
          <w:bCs/>
          <w:sz w:val="18"/>
          <w:szCs w:val="18"/>
        </w:rPr>
        <w:t>35201</w:t>
      </w:r>
      <w:r w:rsidR="00C956EA" w:rsidRPr="00B52A63">
        <w:rPr>
          <w:rFonts w:ascii="Arial" w:hAnsi="Arial" w:cs="Arial"/>
          <w:bCs/>
          <w:sz w:val="18"/>
          <w:szCs w:val="18"/>
        </w:rPr>
        <w:t>, destino</w:t>
      </w:r>
      <w:r w:rsidR="00C956EA">
        <w:rPr>
          <w:rFonts w:ascii="Arial" w:hAnsi="Arial" w:cs="Arial"/>
          <w:bCs/>
          <w:sz w:val="18"/>
          <w:szCs w:val="18"/>
        </w:rPr>
        <w:t xml:space="preserve"> edificios</w:t>
      </w:r>
      <w:r w:rsidR="00C956EA" w:rsidRPr="00B52A63">
        <w:rPr>
          <w:rFonts w:ascii="Arial" w:hAnsi="Arial" w:cs="Arial"/>
          <w:bCs/>
          <w:sz w:val="18"/>
          <w:szCs w:val="18"/>
        </w:rPr>
        <w:t xml:space="preserve"> </w:t>
      </w:r>
      <w:r w:rsidR="00C956EA">
        <w:rPr>
          <w:rFonts w:ascii="Arial" w:hAnsi="Arial" w:cs="Arial"/>
          <w:bCs/>
          <w:sz w:val="18"/>
          <w:szCs w:val="18"/>
        </w:rPr>
        <w:t xml:space="preserve">Sede, Alterno, Bolívar, </w:t>
      </w:r>
      <w:r w:rsidR="00C956EA" w:rsidRPr="00B52A63">
        <w:rPr>
          <w:rFonts w:ascii="Arial" w:hAnsi="Arial" w:cs="Arial"/>
          <w:bCs/>
          <w:sz w:val="18"/>
          <w:szCs w:val="18"/>
        </w:rPr>
        <w:t>Centro de Desarrollo Infantil</w:t>
      </w:r>
      <w:r w:rsidR="00C956EA">
        <w:rPr>
          <w:rFonts w:ascii="Arial" w:hAnsi="Arial" w:cs="Arial"/>
          <w:bCs/>
          <w:sz w:val="18"/>
          <w:szCs w:val="18"/>
        </w:rPr>
        <w:t xml:space="preserve"> y Estancia Infantil, 5 de Febrero, Revolución y Justicia </w:t>
      </w:r>
      <w:proofErr w:type="spellStart"/>
      <w:r w:rsidR="00C956EA">
        <w:rPr>
          <w:rFonts w:ascii="Arial" w:hAnsi="Arial" w:cs="Arial"/>
          <w:bCs/>
          <w:sz w:val="18"/>
          <w:szCs w:val="18"/>
        </w:rPr>
        <w:t>T.V</w:t>
      </w:r>
      <w:proofErr w:type="spellEnd"/>
      <w:r w:rsidR="00C956EA">
        <w:rPr>
          <w:rFonts w:ascii="Arial" w:hAnsi="Arial" w:cs="Arial"/>
          <w:bCs/>
          <w:sz w:val="18"/>
          <w:szCs w:val="18"/>
        </w:rPr>
        <w:t>.</w:t>
      </w:r>
    </w:p>
    <w:p w14:paraId="71EFFC50" w14:textId="0B36B71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152C26B6"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w:t>
      </w:r>
      <w:r w:rsidR="00EC2E78">
        <w:rPr>
          <w:rFonts w:ascii="Arial" w:hAnsi="Arial" w:cs="Arial"/>
          <w:bCs/>
          <w:sz w:val="18"/>
          <w:szCs w:val="18"/>
        </w:rPr>
        <w:t>l</w:t>
      </w:r>
      <w:r w:rsidRPr="002F004F">
        <w:rPr>
          <w:rFonts w:ascii="Arial" w:hAnsi="Arial" w:cs="Arial"/>
          <w:bCs/>
          <w:sz w:val="18"/>
          <w:szCs w:val="18"/>
        </w:rPr>
        <w:t xml:space="preserve"> servicio requerido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lastRenderedPageBreak/>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42EA3E9" w14:textId="1BF4C81F" w:rsidR="008F5F7D" w:rsidRDefault="008F5F7D" w:rsidP="002C66C4">
      <w:pPr>
        <w:pStyle w:val="Prrafodelista"/>
        <w:tabs>
          <w:tab w:val="left" w:pos="243"/>
        </w:tabs>
        <w:spacing w:after="120" w:line="240" w:lineRule="auto"/>
        <w:ind w:left="-425" w:right="-284"/>
        <w:contextualSpacing w:val="0"/>
        <w:jc w:val="center"/>
        <w:rPr>
          <w:rFonts w:ascii="Arial" w:hAnsi="Arial" w:cs="Arial"/>
          <w:b/>
          <w:sz w:val="18"/>
          <w:szCs w:val="18"/>
          <w:lang w:val="pt-PT"/>
        </w:rPr>
      </w:pPr>
      <w:r w:rsidRPr="005E0DEC">
        <w:rPr>
          <w:rFonts w:ascii="Arial" w:hAnsi="Arial" w:cs="Arial"/>
          <w:b/>
          <w:sz w:val="18"/>
          <w:szCs w:val="18"/>
          <w:lang w:val="pt-PT"/>
        </w:rPr>
        <w:t>C L Á U S U L A S</w:t>
      </w:r>
    </w:p>
    <w:p w14:paraId="19AE0C57" w14:textId="77777777" w:rsidR="00DD3543" w:rsidRPr="00DC3DE3" w:rsidRDefault="00DD3543" w:rsidP="00DD3543">
      <w:pPr>
        <w:pStyle w:val="Prrafodelista"/>
        <w:tabs>
          <w:tab w:val="left" w:pos="243"/>
        </w:tabs>
        <w:spacing w:after="0" w:line="240" w:lineRule="auto"/>
        <w:ind w:left="-426" w:right="-283"/>
        <w:jc w:val="both"/>
        <w:rPr>
          <w:rFonts w:ascii="Arial" w:hAnsi="Arial" w:cs="Arial"/>
          <w:b/>
          <w:sz w:val="18"/>
          <w:szCs w:val="18"/>
        </w:rPr>
      </w:pPr>
      <w:r w:rsidRPr="005E0DEC">
        <w:rPr>
          <w:rFonts w:ascii="Arial" w:hAnsi="Arial" w:cs="Arial"/>
          <w:b/>
          <w:sz w:val="18"/>
          <w:szCs w:val="18"/>
          <w:lang w:val="pt-PT"/>
        </w:rPr>
        <w:t xml:space="preserve">Primera. </w:t>
      </w:r>
      <w:r w:rsidRPr="00DC3DE3">
        <w:rPr>
          <w:rFonts w:ascii="Arial" w:hAnsi="Arial" w:cs="Arial"/>
          <w:b/>
          <w:sz w:val="18"/>
          <w:szCs w:val="18"/>
        </w:rPr>
        <w:t xml:space="preserve">Condiciones generales. </w:t>
      </w:r>
      <w:r w:rsidRPr="00B52A63">
        <w:rPr>
          <w:rFonts w:ascii="Arial" w:hAnsi="Arial" w:cs="Arial"/>
          <w:bCs/>
          <w:sz w:val="18"/>
          <w:szCs w:val="18"/>
        </w:rPr>
        <w:t xml:space="preserve">El “Prestador de Servicios” se compromete a proporcionar </w:t>
      </w:r>
      <w:r>
        <w:rPr>
          <w:rFonts w:ascii="Arial" w:hAnsi="Arial" w:cs="Arial"/>
          <w:bCs/>
          <w:sz w:val="18"/>
          <w:szCs w:val="18"/>
        </w:rPr>
        <w:t>el</w:t>
      </w:r>
      <w:r w:rsidRPr="00B52A63">
        <w:rPr>
          <w:rFonts w:ascii="Arial" w:hAnsi="Arial" w:cs="Arial"/>
          <w:bCs/>
          <w:sz w:val="18"/>
          <w:szCs w:val="18"/>
        </w:rPr>
        <w:t xml:space="preserve"> servicio descrito en el presente instrumento</w:t>
      </w:r>
      <w:r>
        <w:rPr>
          <w:rFonts w:ascii="Arial" w:hAnsi="Arial" w:cs="Arial"/>
          <w:bCs/>
          <w:sz w:val="18"/>
          <w:szCs w:val="18"/>
        </w:rPr>
        <w:t xml:space="preserve"> contractual</w:t>
      </w:r>
      <w:r w:rsidRPr="00B52A63">
        <w:rPr>
          <w:rFonts w:ascii="Arial" w:hAnsi="Arial" w:cs="Arial"/>
          <w:bCs/>
          <w:sz w:val="18"/>
          <w:szCs w:val="18"/>
        </w:rPr>
        <w:t xml:space="preserve">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451C376E"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66874EED"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w:t>
      </w:r>
      <w:r>
        <w:rPr>
          <w:rFonts w:ascii="Arial" w:hAnsi="Arial" w:cs="Arial"/>
          <w:bCs/>
          <w:sz w:val="18"/>
          <w:szCs w:val="18"/>
        </w:rPr>
        <w:t>l</w:t>
      </w:r>
      <w:r w:rsidRPr="00B52A63">
        <w:rPr>
          <w:rFonts w:ascii="Arial" w:hAnsi="Arial" w:cs="Arial"/>
          <w:bCs/>
          <w:sz w:val="18"/>
          <w:szCs w:val="18"/>
        </w:rPr>
        <w:t xml:space="preserve"> servicio contratado, por lo cual la “Suprema Corte” no tiene obligación de cubrir ningún importe adicional.</w:t>
      </w:r>
    </w:p>
    <w:p w14:paraId="6FEBBD60"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w:t>
      </w:r>
      <w:r w:rsidRPr="003179AD">
        <w:rPr>
          <w:rFonts w:ascii="Arial" w:hAnsi="Arial" w:cs="Arial"/>
          <w:bCs/>
          <w:sz w:val="18"/>
          <w:szCs w:val="18"/>
        </w:rPr>
        <w:t>el monto señalado en la cláusula Segunda, a través</w:t>
      </w:r>
      <w:r>
        <w:rPr>
          <w:rFonts w:ascii="Arial" w:hAnsi="Arial" w:cs="Arial"/>
          <w:bCs/>
          <w:sz w:val="18"/>
          <w:szCs w:val="18"/>
        </w:rPr>
        <w:t xml:space="preserve"> de </w:t>
      </w:r>
      <w:r w:rsidRPr="00E5280F">
        <w:rPr>
          <w:rFonts w:ascii="Arial" w:hAnsi="Arial" w:cs="Arial"/>
          <w:bCs/>
          <w:color w:val="000000" w:themeColor="text1"/>
          <w:sz w:val="18"/>
          <w:szCs w:val="18"/>
        </w:rPr>
        <w:t>estimaciones mensuales por servicio devengado debidamente ejecutado y a entera</w:t>
      </w:r>
      <w:r>
        <w:rPr>
          <w:rFonts w:ascii="Arial" w:hAnsi="Arial" w:cs="Arial"/>
          <w:bCs/>
          <w:color w:val="000000" w:themeColor="text1"/>
          <w:sz w:val="18"/>
          <w:szCs w:val="18"/>
        </w:rPr>
        <w:t xml:space="preserve"> </w:t>
      </w:r>
      <w:r w:rsidRPr="00E5280F">
        <w:rPr>
          <w:rFonts w:ascii="Arial" w:hAnsi="Arial" w:cs="Arial"/>
          <w:bCs/>
          <w:color w:val="000000" w:themeColor="text1"/>
          <w:sz w:val="18"/>
          <w:szCs w:val="18"/>
        </w:rPr>
        <w:t xml:space="preserve">satisfacción de la </w:t>
      </w:r>
      <w:r w:rsidRPr="00B52A63">
        <w:rPr>
          <w:rFonts w:ascii="Arial" w:hAnsi="Arial" w:cs="Arial"/>
          <w:bCs/>
          <w:sz w:val="18"/>
          <w:szCs w:val="18"/>
        </w:rPr>
        <w:t>“Suprema Corte”. Para efectos fiscales el “Prestador de Servicios” deberá presentar el o los Comprobantes Fiscales Digitales</w:t>
      </w:r>
      <w:r>
        <w:rPr>
          <w:rFonts w:ascii="Arial" w:hAnsi="Arial" w:cs="Arial"/>
          <w:bCs/>
          <w:sz w:val="18"/>
          <w:szCs w:val="18"/>
        </w:rPr>
        <w:t xml:space="preserve"> generados</w:t>
      </w:r>
      <w:r w:rsidRPr="00B52A63">
        <w:rPr>
          <w:rFonts w:ascii="Arial" w:hAnsi="Arial" w:cs="Arial"/>
          <w:bCs/>
          <w:sz w:val="18"/>
          <w:szCs w:val="18"/>
        </w:rPr>
        <w:t xml:space="preserve">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1CCFF91"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 xml:space="preserve">Para que proceda el pago, el “Administrador” del contrato deberá entregar a la instancia correspondiente copia del instrumento contractual y copia del documento mediante el cual </w:t>
      </w:r>
      <w:r>
        <w:rPr>
          <w:rFonts w:ascii="Arial" w:hAnsi="Arial" w:cs="Arial"/>
          <w:bCs/>
          <w:sz w:val="18"/>
          <w:szCs w:val="18"/>
        </w:rPr>
        <w:t xml:space="preserve">conste que </w:t>
      </w:r>
      <w:r w:rsidRPr="00B52A63">
        <w:rPr>
          <w:rFonts w:ascii="Arial" w:hAnsi="Arial" w:cs="Arial"/>
          <w:bCs/>
          <w:sz w:val="18"/>
          <w:szCs w:val="18"/>
        </w:rPr>
        <w:t>fue prestado</w:t>
      </w:r>
      <w:r>
        <w:rPr>
          <w:rFonts w:ascii="Arial" w:hAnsi="Arial" w:cs="Arial"/>
          <w:bCs/>
          <w:sz w:val="18"/>
          <w:szCs w:val="18"/>
        </w:rPr>
        <w:t xml:space="preserve"> el</w:t>
      </w:r>
      <w:r w:rsidRPr="00B52A63">
        <w:rPr>
          <w:rFonts w:ascii="Arial" w:hAnsi="Arial" w:cs="Arial"/>
          <w:bCs/>
          <w:sz w:val="18"/>
          <w:szCs w:val="18"/>
        </w:rPr>
        <w:t xml:space="preserve"> servicio a entera satisfacción de la “Suprema Corte”.</w:t>
      </w:r>
    </w:p>
    <w:p w14:paraId="70752288"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0596EFD7"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A81E8C">
        <w:rPr>
          <w:rFonts w:ascii="Arial" w:hAnsi="Arial" w:cs="Arial"/>
          <w:bCs/>
          <w:sz w:val="18"/>
          <w:szCs w:val="18"/>
        </w:rPr>
        <w:t>Edificio Sede, ubicado en avenida José María Pino Suárez número 2, colonia Centro, código postal 06060, alcaldía Cuauhtémoc, Ciudad de México.</w:t>
      </w:r>
    </w:p>
    <w:p w14:paraId="0A7BB43F"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A81E8C">
        <w:rPr>
          <w:rFonts w:ascii="Arial" w:hAnsi="Arial" w:cs="Arial"/>
          <w:bCs/>
          <w:sz w:val="18"/>
          <w:szCs w:val="18"/>
        </w:rPr>
        <w:t>Edificio Alterno, ubicado en calle 16 de Septiembre número 38, colonia Centro, código postal 06000, alcaldía Cuauhtémoc, Ciudad de México.</w:t>
      </w:r>
    </w:p>
    <w:p w14:paraId="46BE7DA6"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A81E8C">
        <w:rPr>
          <w:rFonts w:ascii="Arial" w:hAnsi="Arial" w:cs="Arial"/>
          <w:bCs/>
          <w:sz w:val="18"/>
          <w:szCs w:val="18"/>
        </w:rPr>
        <w:t>Edificio Bolívar, ubicado en calle Bolívar número 30, colonia Centro, código postal 06010, alcaldía Cuauhtémoc, Ciudad de México.</w:t>
      </w:r>
    </w:p>
    <w:p w14:paraId="14E71BF4"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w:t>
      </w:r>
      <w:r>
        <w:rPr>
          <w:rFonts w:ascii="Arial" w:hAnsi="Arial" w:cs="Arial"/>
          <w:bCs/>
          <w:sz w:val="18"/>
          <w:szCs w:val="18"/>
        </w:rPr>
        <w:t xml:space="preserve"> </w:t>
      </w:r>
      <w:r w:rsidRPr="00C956EA">
        <w:rPr>
          <w:rFonts w:ascii="Arial" w:hAnsi="Arial" w:cs="Arial"/>
          <w:bCs/>
          <w:sz w:val="18"/>
          <w:szCs w:val="18"/>
        </w:rPr>
        <w:t>Edificio Centro de Desarrollo Infantil y Estancia Infantil</w:t>
      </w:r>
      <w:r>
        <w:rPr>
          <w:rFonts w:ascii="Arial" w:hAnsi="Arial" w:cs="Arial"/>
          <w:bCs/>
          <w:sz w:val="18"/>
          <w:szCs w:val="18"/>
        </w:rPr>
        <w:t xml:space="preserve"> (CENDI)</w:t>
      </w:r>
      <w:r w:rsidRPr="00A81E8C">
        <w:rPr>
          <w:rFonts w:ascii="Arial" w:hAnsi="Arial" w:cs="Arial"/>
          <w:bCs/>
          <w:sz w:val="18"/>
          <w:szCs w:val="18"/>
        </w:rPr>
        <w:t>, ubicado en Chimalpopoca número 112, esquina San Salvador el Verde, colonia Centro, código postal 06080, alcaldía Cuauhtémoc, Ciudad de México.</w:t>
      </w:r>
    </w:p>
    <w:p w14:paraId="01282088" w14:textId="77777777" w:rsidR="00C956EA" w:rsidRDefault="00C956EA" w:rsidP="00C956EA">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7B74C06B" w14:textId="77777777" w:rsidR="00C956EA" w:rsidRDefault="00C956EA" w:rsidP="00C956EA">
      <w:pPr>
        <w:pStyle w:val="Prrafodelista"/>
        <w:tabs>
          <w:tab w:val="left" w:pos="243"/>
        </w:tabs>
        <w:spacing w:after="0" w:line="240" w:lineRule="auto"/>
        <w:ind w:left="-426" w:right="-283"/>
        <w:jc w:val="both"/>
        <w:rPr>
          <w:rFonts w:ascii="Arial" w:hAnsi="Arial" w:cs="Arial"/>
          <w:color w:val="000000" w:themeColor="text1"/>
          <w:sz w:val="18"/>
          <w:szCs w:val="18"/>
        </w:rPr>
      </w:pPr>
      <w:r>
        <w:rPr>
          <w:rFonts w:ascii="Arial" w:hAnsi="Arial" w:cs="Arial"/>
          <w:b/>
          <w:bCs/>
          <w:color w:val="000000" w:themeColor="text1"/>
          <w:sz w:val="18"/>
          <w:szCs w:val="18"/>
        </w:rPr>
        <w:t xml:space="preserve">f. </w:t>
      </w:r>
      <w:r w:rsidRPr="00C956EA">
        <w:rPr>
          <w:rFonts w:ascii="Arial" w:hAnsi="Arial" w:cs="Arial"/>
          <w:color w:val="000000" w:themeColor="text1"/>
          <w:sz w:val="18"/>
          <w:szCs w:val="18"/>
        </w:rPr>
        <w:t>Edificio Revolución,</w:t>
      </w:r>
      <w:r>
        <w:rPr>
          <w:rFonts w:ascii="Arial" w:hAnsi="Arial" w:cs="Arial"/>
          <w:b/>
          <w:bCs/>
          <w:color w:val="000000" w:themeColor="text1"/>
          <w:sz w:val="18"/>
          <w:szCs w:val="18"/>
        </w:rPr>
        <w:t xml:space="preserve"> </w:t>
      </w:r>
      <w:r w:rsidRPr="00D9354E">
        <w:rPr>
          <w:rFonts w:ascii="Arial" w:hAnsi="Arial" w:cs="Arial"/>
          <w:color w:val="000000" w:themeColor="text1"/>
          <w:sz w:val="18"/>
          <w:szCs w:val="18"/>
        </w:rPr>
        <w:t xml:space="preserve">ubicado en avenida Revolución número 1508, pisos 5 y 6, colonia Guadalupe </w:t>
      </w:r>
      <w:proofErr w:type="spellStart"/>
      <w:r w:rsidRPr="00D9354E">
        <w:rPr>
          <w:rFonts w:ascii="Arial" w:hAnsi="Arial" w:cs="Arial"/>
          <w:color w:val="000000" w:themeColor="text1"/>
          <w:sz w:val="18"/>
          <w:szCs w:val="18"/>
        </w:rPr>
        <w:t>Inn</w:t>
      </w:r>
      <w:proofErr w:type="spellEnd"/>
      <w:r w:rsidRPr="00D9354E">
        <w:rPr>
          <w:rFonts w:ascii="Arial" w:hAnsi="Arial" w:cs="Arial"/>
          <w:color w:val="000000" w:themeColor="text1"/>
          <w:sz w:val="18"/>
          <w:szCs w:val="18"/>
        </w:rPr>
        <w:t>, alcaldía Álvaro Obregón, código postal 01020, Ciudad de México</w:t>
      </w:r>
      <w:r>
        <w:rPr>
          <w:rFonts w:ascii="Arial" w:hAnsi="Arial" w:cs="Arial"/>
          <w:color w:val="000000" w:themeColor="text1"/>
          <w:sz w:val="18"/>
          <w:szCs w:val="18"/>
        </w:rPr>
        <w:t>.</w:t>
      </w:r>
    </w:p>
    <w:p w14:paraId="4906BFDC" w14:textId="77777777" w:rsidR="00C956EA" w:rsidRPr="00C956EA" w:rsidRDefault="00C956EA" w:rsidP="00C956EA">
      <w:pPr>
        <w:pStyle w:val="Prrafodelista"/>
        <w:tabs>
          <w:tab w:val="left" w:pos="243"/>
        </w:tabs>
        <w:spacing w:after="0" w:line="240" w:lineRule="auto"/>
        <w:ind w:left="-426" w:right="-283"/>
        <w:jc w:val="both"/>
        <w:rPr>
          <w:rFonts w:ascii="Arial" w:hAnsi="Arial" w:cs="Arial"/>
          <w:bCs/>
          <w:sz w:val="18"/>
          <w:szCs w:val="18"/>
        </w:rPr>
      </w:pPr>
      <w:r w:rsidRPr="00C956EA">
        <w:rPr>
          <w:rFonts w:ascii="Arial" w:hAnsi="Arial" w:cs="Arial"/>
          <w:b/>
          <w:bCs/>
          <w:color w:val="000000" w:themeColor="text1"/>
          <w:sz w:val="18"/>
          <w:szCs w:val="18"/>
        </w:rPr>
        <w:t>g.</w:t>
      </w:r>
      <w:r>
        <w:rPr>
          <w:rFonts w:ascii="Arial" w:hAnsi="Arial" w:cs="Arial"/>
          <w:color w:val="000000" w:themeColor="text1"/>
          <w:sz w:val="18"/>
          <w:szCs w:val="18"/>
        </w:rPr>
        <w:t xml:space="preserve"> </w:t>
      </w:r>
      <w:r w:rsidRPr="007D08A1">
        <w:rPr>
          <w:rFonts w:ascii="Arial" w:hAnsi="Arial" w:cs="Arial"/>
          <w:bCs/>
          <w:sz w:val="18"/>
          <w:szCs w:val="18"/>
        </w:rPr>
        <w:t xml:space="preserve">Edificio Justicia </w:t>
      </w:r>
      <w:proofErr w:type="spellStart"/>
      <w:r w:rsidRPr="007D08A1">
        <w:rPr>
          <w:rFonts w:ascii="Arial" w:hAnsi="Arial" w:cs="Arial"/>
          <w:bCs/>
          <w:sz w:val="18"/>
          <w:szCs w:val="18"/>
        </w:rPr>
        <w:t>T.V</w:t>
      </w:r>
      <w:proofErr w:type="spellEnd"/>
      <w:r w:rsidRPr="007D08A1">
        <w:rPr>
          <w:rFonts w:ascii="Arial" w:hAnsi="Arial" w:cs="Arial"/>
          <w:bCs/>
          <w:sz w:val="18"/>
          <w:szCs w:val="18"/>
        </w:rPr>
        <w:t>., ubicado en calle República de El Salvador número 56, colonia Centro, código postal 06010, alcaldía Cuauhtémoc, Ciudad de México.</w:t>
      </w:r>
    </w:p>
    <w:p w14:paraId="2B588790" w14:textId="77777777" w:rsidR="00DD3543" w:rsidRPr="00DC3DE3" w:rsidRDefault="00DD3543" w:rsidP="00DD354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Pr="00124AC2">
        <w:rPr>
          <w:rFonts w:ascii="Arial" w:hAnsi="Arial" w:cs="Arial"/>
          <w:bCs/>
          <w:sz w:val="18"/>
          <w:szCs w:val="18"/>
        </w:rPr>
        <w:t xml:space="preserve">a partir de la notificación del fallo </w:t>
      </w:r>
      <w:r>
        <w:rPr>
          <w:rFonts w:ascii="Arial" w:hAnsi="Arial" w:cs="Arial"/>
          <w:bCs/>
          <w:sz w:val="18"/>
          <w:szCs w:val="18"/>
        </w:rPr>
        <w:t>y entrega de las garantías correspondientes y hasta e</w:t>
      </w:r>
      <w:r w:rsidRPr="00124AC2">
        <w:rPr>
          <w:rFonts w:ascii="Arial" w:hAnsi="Arial" w:cs="Arial"/>
          <w:bCs/>
          <w:sz w:val="18"/>
          <w:szCs w:val="18"/>
        </w:rPr>
        <w:t>l treinta y uno de diciembre de dos mil vein</w:t>
      </w:r>
      <w:r>
        <w:rPr>
          <w:rFonts w:ascii="Arial" w:hAnsi="Arial" w:cs="Arial"/>
          <w:bCs/>
          <w:sz w:val="18"/>
          <w:szCs w:val="18"/>
        </w:rPr>
        <w:t>ticuatro</w:t>
      </w:r>
      <w:r w:rsidRPr="00124AC2">
        <w:rPr>
          <w:rFonts w:ascii="Arial" w:hAnsi="Arial" w:cs="Arial"/>
          <w:bCs/>
          <w:sz w:val="18"/>
          <w:szCs w:val="18"/>
        </w:rPr>
        <w:t>.</w:t>
      </w:r>
    </w:p>
    <w:p w14:paraId="7E555C3A"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2BC010C3" w14:textId="77777777" w:rsidR="00DD3543" w:rsidRPr="00B52A63" w:rsidRDefault="00DD3543" w:rsidP="00DD354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Pr>
          <w:rFonts w:ascii="Arial" w:hAnsi="Arial" w:cs="Arial"/>
          <w:bCs/>
          <w:sz w:val="18"/>
          <w:szCs w:val="18"/>
        </w:rPr>
        <w:t xml:space="preserve"> </w:t>
      </w:r>
      <w:r w:rsidRPr="00B52A63">
        <w:rPr>
          <w:rFonts w:ascii="Arial" w:hAnsi="Arial" w:cs="Arial"/>
          <w:bCs/>
          <w:sz w:val="18"/>
          <w:szCs w:val="18"/>
        </w:rPr>
        <w:t>del contrato al “Prestador de Servicios”.</w:t>
      </w:r>
    </w:p>
    <w:p w14:paraId="024FCDB4"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A932318"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Pr>
          <w:rFonts w:ascii="Arial" w:hAnsi="Arial" w:cs="Arial"/>
          <w:bCs/>
          <w:sz w:val="18"/>
          <w:szCs w:val="18"/>
        </w:rPr>
        <w:t>10%</w:t>
      </w:r>
      <w:r w:rsidRPr="00DA01DB">
        <w:rPr>
          <w:rFonts w:ascii="Arial" w:hAnsi="Arial" w:cs="Arial"/>
          <w:bCs/>
          <w:sz w:val="18"/>
          <w:szCs w:val="18"/>
        </w:rPr>
        <w:t xml:space="preserve"> </w:t>
      </w:r>
      <w:r>
        <w:rPr>
          <w:rFonts w:ascii="Arial" w:hAnsi="Arial" w:cs="Arial"/>
          <w:bCs/>
          <w:sz w:val="18"/>
          <w:szCs w:val="18"/>
        </w:rPr>
        <w:t>(diez p</w:t>
      </w:r>
      <w:r w:rsidRPr="00DA01DB">
        <w:rPr>
          <w:rFonts w:ascii="Arial" w:hAnsi="Arial" w:cs="Arial"/>
          <w:bCs/>
          <w:sz w:val="18"/>
          <w:szCs w:val="18"/>
        </w:rPr>
        <w:t>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09B62C1C" w14:textId="77777777" w:rsidR="00DD3543" w:rsidRDefault="00DD3543" w:rsidP="00DD354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CC6F73A"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C25106">
        <w:rPr>
          <w:rFonts w:ascii="Arial" w:hAnsi="Arial" w:cs="Arial"/>
          <w:bCs/>
          <w:sz w:val="18"/>
          <w:szCs w:val="18"/>
        </w:rPr>
        <w:t>De existir incumplimiento parcial, la pena se ajustará proporcionalmente al porcentaje incumplido.</w:t>
      </w:r>
    </w:p>
    <w:p w14:paraId="680749BB"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7AA466B8"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10058E3E" w14:textId="77777777" w:rsidR="00DD3543" w:rsidRPr="00DA01DB" w:rsidRDefault="00DD3543" w:rsidP="00DD354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 garantía otorgada</w:t>
      </w:r>
      <w:r>
        <w:rPr>
          <w:rFonts w:ascii="Arial" w:hAnsi="Arial" w:cs="Arial"/>
          <w:bCs/>
          <w:sz w:val="18"/>
          <w:szCs w:val="18"/>
        </w:rPr>
        <w:t>.</w:t>
      </w:r>
    </w:p>
    <w:p w14:paraId="402E9B7E" w14:textId="77777777" w:rsidR="00DD3543"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Séptima</w:t>
      </w:r>
      <w:r w:rsidRPr="00DC3DE3">
        <w:rPr>
          <w:rFonts w:ascii="Arial" w:hAnsi="Arial" w:cs="Arial"/>
          <w:b/>
          <w:sz w:val="18"/>
          <w:szCs w:val="18"/>
        </w:rPr>
        <w:t>. Garantía de cumplimiento</w:t>
      </w:r>
      <w:r w:rsidRPr="00016144">
        <w:rPr>
          <w:rFonts w:ascii="Arial" w:hAnsi="Arial" w:cs="Arial"/>
          <w:bCs/>
          <w:sz w:val="18"/>
          <w:szCs w:val="18"/>
        </w:rPr>
        <w:t xml:space="preserve">. </w:t>
      </w:r>
      <w:r w:rsidRPr="00C6549E">
        <w:rPr>
          <w:rFonts w:ascii="Arial" w:hAnsi="Arial" w:cs="Arial"/>
          <w:bCs/>
          <w:sz w:val="18"/>
          <w:szCs w:val="18"/>
        </w:rPr>
        <w:t>De conformidad con lo establecido en el artículo 169, fracción II, del Acuerdo General de Administración XIV/2019, el “</w:t>
      </w:r>
      <w:r>
        <w:rPr>
          <w:rFonts w:ascii="Arial" w:hAnsi="Arial" w:cs="Arial"/>
          <w:bCs/>
          <w:sz w:val="18"/>
          <w:szCs w:val="18"/>
        </w:rPr>
        <w:t>Prestador de Servicios</w:t>
      </w:r>
      <w:r w:rsidRPr="00C6549E">
        <w:rPr>
          <w:rFonts w:ascii="Arial" w:hAnsi="Arial" w:cs="Arial"/>
          <w:bCs/>
          <w:sz w:val="18"/>
          <w:szCs w:val="18"/>
        </w:rPr>
        <w:t>” se obliga a otorgar fianza expedida por institución debidamente autorizada, dentro de los diez días hábiles siguientes a la firma del contrato, por el equivalente al 10</w:t>
      </w:r>
      <w:r>
        <w:rPr>
          <w:rFonts w:ascii="Arial" w:hAnsi="Arial" w:cs="Arial"/>
          <w:bCs/>
          <w:sz w:val="18"/>
          <w:szCs w:val="18"/>
        </w:rPr>
        <w:t>% (diez</w:t>
      </w:r>
      <w:r w:rsidRPr="00C6549E">
        <w:rPr>
          <w:rFonts w:ascii="Arial" w:hAnsi="Arial" w:cs="Arial"/>
          <w:bCs/>
          <w:sz w:val="18"/>
          <w:szCs w:val="18"/>
        </w:rPr>
        <w:t xml:space="preserve"> por ciento</w:t>
      </w:r>
      <w:r>
        <w:rPr>
          <w:rFonts w:ascii="Arial" w:hAnsi="Arial" w:cs="Arial"/>
          <w:bCs/>
          <w:sz w:val="18"/>
          <w:szCs w:val="18"/>
        </w:rPr>
        <w:t>)</w:t>
      </w:r>
      <w:r w:rsidRPr="00C6549E">
        <w:rPr>
          <w:rFonts w:ascii="Arial" w:hAnsi="Arial" w:cs="Arial"/>
          <w:bCs/>
          <w:sz w:val="18"/>
          <w:szCs w:val="18"/>
        </w:rPr>
        <w:t xml:space="preserve">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w:t>
      </w:r>
      <w:r w:rsidRPr="00C6549E">
        <w:rPr>
          <w:rFonts w:ascii="Arial" w:hAnsi="Arial" w:cs="Arial"/>
          <w:bCs/>
          <w:sz w:val="18"/>
          <w:szCs w:val="18"/>
        </w:rPr>
        <w:lastRenderedPageBreak/>
        <w:t>de modo que esté vigente hasta que los trabajo materia del contrato de referencia hayan sido recibidos en su totalidad y a entera satisfacción de la “Suprema Corte”. Dicha fianza sólo podrá ser cancelada con el consentimiento expreso y por escrito de la “Suprema Corte”</w:t>
      </w:r>
      <w:r>
        <w:rPr>
          <w:rFonts w:ascii="Arial" w:hAnsi="Arial" w:cs="Arial"/>
          <w:bCs/>
          <w:sz w:val="18"/>
          <w:szCs w:val="18"/>
        </w:rPr>
        <w:t xml:space="preserve">. / </w:t>
      </w:r>
      <w:r w:rsidRPr="003B369A">
        <w:rPr>
          <w:rFonts w:ascii="Arial" w:hAnsi="Arial" w:cs="Arial"/>
          <w:bCs/>
          <w:i/>
          <w:iCs/>
          <w:sz w:val="18"/>
          <w:szCs w:val="18"/>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de manera posterior a la prestación de los servicios</w:t>
      </w:r>
      <w:r w:rsidRPr="003B369A">
        <w:rPr>
          <w:rFonts w:ascii="Arial" w:hAnsi="Arial" w:cs="Arial"/>
          <w:bCs/>
          <w:sz w:val="18"/>
          <w:szCs w:val="18"/>
        </w:rPr>
        <w:t>.</w:t>
      </w:r>
    </w:p>
    <w:p w14:paraId="571008BD" w14:textId="77777777" w:rsidR="00DD3543" w:rsidRPr="00027DBF" w:rsidRDefault="00DD3543" w:rsidP="00DD3543">
      <w:pPr>
        <w:pStyle w:val="Prrafodelista"/>
        <w:tabs>
          <w:tab w:val="left" w:pos="243"/>
        </w:tabs>
        <w:spacing w:after="0" w:line="240" w:lineRule="auto"/>
        <w:ind w:left="-426" w:right="-283"/>
        <w:jc w:val="both"/>
        <w:rPr>
          <w:rFonts w:ascii="Arial" w:hAnsi="Arial" w:cs="Arial"/>
          <w:bCs/>
          <w:i/>
          <w:iCs/>
          <w:sz w:val="18"/>
          <w:szCs w:val="18"/>
        </w:rPr>
      </w:pPr>
      <w:r>
        <w:rPr>
          <w:rFonts w:ascii="Arial" w:hAnsi="Arial" w:cs="Arial"/>
          <w:b/>
          <w:sz w:val="18"/>
          <w:szCs w:val="18"/>
        </w:rPr>
        <w:t>Octava</w:t>
      </w:r>
      <w:r w:rsidRPr="00DC3DE3">
        <w:rPr>
          <w:rFonts w:ascii="Arial" w:hAnsi="Arial" w:cs="Arial"/>
          <w:b/>
          <w:sz w:val="18"/>
          <w:szCs w:val="18"/>
        </w:rPr>
        <w:t xml:space="preserve">. </w:t>
      </w:r>
      <w:r w:rsidRPr="00B277C5">
        <w:rPr>
          <w:rFonts w:ascii="Arial" w:hAnsi="Arial" w:cs="Arial"/>
          <w:b/>
          <w:sz w:val="18"/>
          <w:szCs w:val="18"/>
        </w:rPr>
        <w:t xml:space="preserve">Garantía de responsabilidad civil por daños a terceros. </w:t>
      </w:r>
      <w:r w:rsidRPr="00B277C5">
        <w:rPr>
          <w:rFonts w:ascii="Arial" w:hAnsi="Arial" w:cs="Arial"/>
          <w:bCs/>
          <w:sz w:val="18"/>
          <w:szCs w:val="18"/>
        </w:rPr>
        <w:t>El “</w:t>
      </w:r>
      <w:r>
        <w:rPr>
          <w:rFonts w:ascii="Arial" w:hAnsi="Arial" w:cs="Arial"/>
          <w:bCs/>
          <w:sz w:val="18"/>
          <w:szCs w:val="18"/>
        </w:rPr>
        <w:t>Prestador de Servicios</w:t>
      </w:r>
      <w:r w:rsidRPr="00B277C5">
        <w:rPr>
          <w:rFonts w:ascii="Arial" w:hAnsi="Arial" w:cs="Arial"/>
          <w:bCs/>
          <w:sz w:val="18"/>
          <w:szCs w:val="18"/>
        </w:rPr>
        <w:t>” otorgará a la “Suprema Corte” garantía de responsabilidad civil por daños a terceros con motivo de la conducta que asuma el “</w:t>
      </w:r>
      <w:r>
        <w:rPr>
          <w:rFonts w:ascii="Arial" w:hAnsi="Arial" w:cs="Arial"/>
          <w:bCs/>
          <w:sz w:val="18"/>
          <w:szCs w:val="18"/>
        </w:rPr>
        <w:t>Prestador de Servicios</w:t>
      </w:r>
      <w:r w:rsidRPr="00B277C5">
        <w:rPr>
          <w:rFonts w:ascii="Arial" w:hAnsi="Arial" w:cs="Arial"/>
          <w:bCs/>
          <w:sz w:val="18"/>
          <w:szCs w:val="18"/>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Pr>
          <w:rFonts w:ascii="Arial" w:hAnsi="Arial" w:cs="Arial"/>
          <w:bCs/>
          <w:sz w:val="18"/>
          <w:szCs w:val="18"/>
        </w:rPr>
        <w:t xml:space="preserve"> / </w:t>
      </w:r>
      <w:r w:rsidRPr="00027DBF">
        <w:rPr>
          <w:rFonts w:ascii="Arial" w:hAnsi="Arial" w:cs="Arial"/>
          <w:bCs/>
          <w:i/>
          <w:iCs/>
          <w:sz w:val="18"/>
          <w:szCs w:val="18"/>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1D2C1DF1"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Novena. </w:t>
      </w:r>
      <w:r w:rsidRPr="00DC3DE3">
        <w:rPr>
          <w:rFonts w:ascii="Arial" w:hAnsi="Arial" w:cs="Arial"/>
          <w:b/>
          <w:sz w:val="18"/>
          <w:szCs w:val="18"/>
        </w:rPr>
        <w:t>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408573E1"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Décima</w:t>
      </w:r>
      <w:r w:rsidRPr="00DC3DE3">
        <w:rPr>
          <w:rFonts w:ascii="Arial" w:hAnsi="Arial" w:cs="Arial"/>
          <w:b/>
          <w:sz w:val="18"/>
          <w:szCs w:val="18"/>
        </w:rPr>
        <w:t xml:space="preserve">.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ABB4399"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5D1D1BA6"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0BA8BB1"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4F8DDDB7"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Primera</w:t>
      </w:r>
      <w:r w:rsidRPr="00DC3DE3">
        <w:rPr>
          <w:rFonts w:ascii="Arial" w:hAnsi="Arial" w:cs="Arial"/>
          <w:b/>
          <w:sz w:val="18"/>
          <w:szCs w:val="18"/>
        </w:rPr>
        <w:t xml:space="preserve">.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107F9C36"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0A987838"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648C374" w14:textId="77777777" w:rsidR="00DD3543" w:rsidRPr="00DC3DE3" w:rsidRDefault="00DD3543" w:rsidP="00DD354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007EFB15"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Las </w:t>
      </w:r>
      <w:r>
        <w:rPr>
          <w:rFonts w:ascii="Arial" w:hAnsi="Arial" w:cs="Arial"/>
          <w:bCs/>
          <w:sz w:val="18"/>
          <w:szCs w:val="18"/>
        </w:rPr>
        <w:t>“</w:t>
      </w:r>
      <w:r w:rsidRPr="00016144">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273021D"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Segunda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124CFD4"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Tercera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C45CD52"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Cuarta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CE2A80E"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Quinta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E55FA7A"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w:t>
      </w:r>
      <w:r w:rsidRPr="00016144">
        <w:rPr>
          <w:rFonts w:ascii="Arial" w:hAnsi="Arial" w:cs="Arial"/>
          <w:bCs/>
          <w:sz w:val="18"/>
          <w:szCs w:val="18"/>
        </w:rPr>
        <w:lastRenderedPageBreak/>
        <w:t>información clasificada como reservada o confidencial de la que tenga conocimiento en ejercicio y con motivo de la prestación del servicio.</w:t>
      </w:r>
    </w:p>
    <w:p w14:paraId="3376E88C"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3C40E9C"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Sexta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43716903"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w:t>
      </w:r>
      <w:r>
        <w:rPr>
          <w:rFonts w:ascii="Arial" w:hAnsi="Arial" w:cs="Arial"/>
          <w:bCs/>
          <w:sz w:val="18"/>
          <w:szCs w:val="18"/>
        </w:rPr>
        <w:t>s</w:t>
      </w:r>
      <w:r w:rsidRPr="00016144">
        <w:rPr>
          <w:rFonts w:ascii="Arial" w:hAnsi="Arial" w:cs="Arial"/>
          <w:bCs/>
          <w:sz w:val="18"/>
          <w:szCs w:val="18"/>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0D6791F" w14:textId="77777777" w:rsidR="00DD3543" w:rsidRPr="00027DBF" w:rsidRDefault="00DD3543" w:rsidP="00DD3543">
      <w:pPr>
        <w:pStyle w:val="Prrafodelista"/>
        <w:tabs>
          <w:tab w:val="left" w:pos="243"/>
        </w:tabs>
        <w:spacing w:after="0" w:line="240" w:lineRule="auto"/>
        <w:ind w:left="-426" w:right="-283"/>
        <w:jc w:val="both"/>
        <w:rPr>
          <w:rFonts w:ascii="Arial" w:hAnsi="Arial" w:cs="Arial"/>
          <w:bCs/>
          <w:i/>
          <w:iCs/>
          <w:sz w:val="18"/>
          <w:szCs w:val="18"/>
        </w:rPr>
      </w:pPr>
      <w:r w:rsidRPr="00016144">
        <w:rPr>
          <w:rFonts w:ascii="Arial" w:hAnsi="Arial" w:cs="Arial"/>
          <w:bCs/>
          <w:sz w:val="18"/>
          <w:szCs w:val="18"/>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Pr>
          <w:rFonts w:ascii="Arial" w:hAnsi="Arial" w:cs="Arial"/>
          <w:bCs/>
          <w:sz w:val="18"/>
          <w:szCs w:val="18"/>
        </w:rPr>
        <w:t xml:space="preserve">. </w:t>
      </w:r>
      <w:r w:rsidRPr="00027DBF">
        <w:rPr>
          <w:rFonts w:ascii="Arial" w:hAnsi="Arial" w:cs="Arial"/>
          <w:bCs/>
          <w:sz w:val="18"/>
          <w:szCs w:val="18"/>
        </w:rPr>
        <w:t>4</w:t>
      </w:r>
      <w:r w:rsidRPr="00027DBF">
        <w:rPr>
          <w:rFonts w:ascii="Arial" w:hAnsi="Arial" w:cs="Arial"/>
          <w:bCs/>
          <w:i/>
          <w:iCs/>
          <w:sz w:val="18"/>
          <w:szCs w:val="18"/>
        </w:rPr>
        <w:t>) Si el “Prestador de Servicios” no exhibe las garantías en los términos y condiciones indicados en este contrato de conformidad con el artículo 169, del Acuerdo General de Administración XIV/2019.</w:t>
      </w:r>
    </w:p>
    <w:p w14:paraId="6EF17CB7"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Pr="00DC3DE3">
        <w:rPr>
          <w:rFonts w:ascii="Arial" w:hAnsi="Arial" w:cs="Arial"/>
          <w:b/>
          <w:sz w:val="18"/>
          <w:szCs w:val="18"/>
        </w:rPr>
        <w:t>S</w:t>
      </w:r>
      <w:r>
        <w:rPr>
          <w:rFonts w:ascii="Arial" w:hAnsi="Arial" w:cs="Arial"/>
          <w:b/>
          <w:sz w:val="18"/>
          <w:szCs w:val="18"/>
        </w:rPr>
        <w:t>éptima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14A6C65"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Octava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F2D3887" w14:textId="77777777" w:rsidR="00DD3543" w:rsidRPr="0098231E" w:rsidRDefault="00DD3543" w:rsidP="00DD3543">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Pr>
          <w:rFonts w:ascii="Arial" w:hAnsi="Arial" w:cs="Arial"/>
          <w:b/>
          <w:sz w:val="18"/>
          <w:szCs w:val="18"/>
        </w:rPr>
        <w:t>Novena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Pr>
          <w:rFonts w:ascii="Arial" w:hAnsi="Arial" w:cs="Arial"/>
          <w:bCs/>
          <w:sz w:val="18"/>
          <w:szCs w:val="18"/>
        </w:rPr>
        <w:t>el</w:t>
      </w:r>
      <w:r w:rsidRPr="00016144">
        <w:rPr>
          <w:rFonts w:ascii="Arial" w:hAnsi="Arial" w:cs="Arial"/>
          <w:bCs/>
          <w:sz w:val="18"/>
          <w:szCs w:val="18"/>
        </w:rPr>
        <w:t xml:space="preserve"> artículo 148, del Acuerdo General de Administración XIV/2019.</w:t>
      </w:r>
    </w:p>
    <w:p w14:paraId="64DE8B13"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Vigésima</w:t>
      </w:r>
      <w:r w:rsidRPr="00DC3DE3">
        <w:rPr>
          <w:rFonts w:ascii="Arial" w:hAnsi="Arial" w:cs="Arial"/>
          <w:b/>
          <w:sz w:val="18"/>
          <w:szCs w:val="18"/>
        </w:rPr>
        <w:t xml:space="preserve">.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488A57A8"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Vigésima</w:t>
      </w:r>
      <w:r>
        <w:rPr>
          <w:rFonts w:ascii="Arial" w:hAnsi="Arial" w:cs="Arial"/>
          <w:b/>
          <w:sz w:val="18"/>
          <w:szCs w:val="18"/>
        </w:rPr>
        <w:t xml:space="preserve"> Primera</w:t>
      </w:r>
      <w:r w:rsidRPr="00DC3DE3">
        <w:rPr>
          <w:rFonts w:ascii="Arial" w:hAnsi="Arial" w:cs="Arial"/>
          <w:b/>
          <w:sz w:val="18"/>
          <w:szCs w:val="18"/>
        </w:rPr>
        <w:t xml:space="preserve">. Administrador del contrato. </w:t>
      </w:r>
      <w:r w:rsidRPr="00016144">
        <w:rPr>
          <w:rFonts w:ascii="Arial" w:hAnsi="Arial" w:cs="Arial"/>
          <w:bCs/>
          <w:sz w:val="18"/>
          <w:szCs w:val="18"/>
        </w:rPr>
        <w:t>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7E519641"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Pr="00016144">
        <w:rPr>
          <w:rFonts w:ascii="Arial" w:hAnsi="Arial" w:cs="Arial"/>
          <w:bCs/>
          <w:sz w:val="18"/>
          <w:szCs w:val="18"/>
        </w:rPr>
        <w:t xml:space="preserve"> Director</w:t>
      </w:r>
      <w:r>
        <w:rPr>
          <w:rFonts w:ascii="Arial" w:hAnsi="Arial" w:cs="Arial"/>
          <w:bCs/>
          <w:sz w:val="18"/>
          <w:szCs w:val="18"/>
        </w:rPr>
        <w:t>a</w:t>
      </w:r>
      <w:r w:rsidRPr="00016144">
        <w:rPr>
          <w:rFonts w:ascii="Arial" w:hAnsi="Arial" w:cs="Arial"/>
          <w:bCs/>
          <w:sz w:val="18"/>
          <w:szCs w:val="18"/>
        </w:rPr>
        <w:t xml:space="preserve"> General de Infraestructura Física de la “Suprema Corte” podrá sustituir al “Administrador” del contrato, lo que informará por escrito al “Prestador de Servicios”.</w:t>
      </w:r>
    </w:p>
    <w:p w14:paraId="1AFE2DBB"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Pr="00DC3DE3">
        <w:rPr>
          <w:rFonts w:ascii="Arial" w:hAnsi="Arial" w:cs="Arial"/>
          <w:b/>
          <w:sz w:val="18"/>
          <w:szCs w:val="18"/>
        </w:rPr>
        <w:t xml:space="preserve">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42D2AFD"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73D6ED65" w14:textId="77777777" w:rsidR="00DD3543" w:rsidRPr="00016144" w:rsidRDefault="00DD3543" w:rsidP="00DD354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5E3275" w14:textId="77777777" w:rsidR="00DD3543" w:rsidRDefault="00DD3543" w:rsidP="00DD3543">
      <w:pPr>
        <w:pStyle w:val="Prrafodelista"/>
        <w:tabs>
          <w:tab w:val="left" w:pos="243"/>
        </w:tabs>
        <w:spacing w:after="0" w:line="240" w:lineRule="auto"/>
        <w:ind w:left="-426" w:right="-283"/>
        <w:jc w:val="both"/>
        <w:rPr>
          <w:rFonts w:ascii="Arial" w:hAnsi="Arial" w:cs="Arial"/>
          <w:bCs/>
          <w:sz w:val="18"/>
          <w:szCs w:val="18"/>
        </w:rPr>
      </w:pPr>
    </w:p>
    <w:p w14:paraId="623C907F" w14:textId="77777777" w:rsidR="008A4411" w:rsidRDefault="008A4411" w:rsidP="008A4411">
      <w:pPr>
        <w:pStyle w:val="Prrafodelista"/>
        <w:tabs>
          <w:tab w:val="left" w:pos="243"/>
        </w:tabs>
        <w:spacing w:after="0" w:line="240" w:lineRule="auto"/>
        <w:ind w:left="-426" w:right="-283"/>
        <w:jc w:val="both"/>
        <w:rPr>
          <w:rFonts w:ascii="Arial" w:hAnsi="Arial" w:cs="Arial"/>
          <w:bCs/>
          <w:sz w:val="18"/>
          <w:szCs w:val="18"/>
        </w:rPr>
      </w:pPr>
    </w:p>
    <w:p w14:paraId="4880381F" w14:textId="77777777" w:rsidR="008A4411" w:rsidRPr="00F44116" w:rsidRDefault="008A4411" w:rsidP="008A4411">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8A4411" w:rsidRPr="00F44116" w14:paraId="07C6E688" w14:textId="77777777" w:rsidTr="000D7B32">
        <w:trPr>
          <w:trHeight w:val="494"/>
          <w:jc w:val="center"/>
        </w:trPr>
        <w:tc>
          <w:tcPr>
            <w:tcW w:w="4531" w:type="dxa"/>
          </w:tcPr>
          <w:p w14:paraId="79F5CAE2" w14:textId="77777777" w:rsidR="008A4411"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65754732" w14:textId="77777777" w:rsidR="008A4411" w:rsidRDefault="008A4411" w:rsidP="000D7B32">
            <w:pPr>
              <w:autoSpaceDE w:val="0"/>
              <w:autoSpaceDN w:val="0"/>
              <w:adjustRightInd w:val="0"/>
              <w:jc w:val="center"/>
              <w:rPr>
                <w:rFonts w:ascii="Arial" w:hAnsi="Arial" w:cs="Arial"/>
                <w:b/>
                <w:color w:val="000000"/>
                <w:sz w:val="18"/>
                <w:szCs w:val="18"/>
              </w:rPr>
            </w:pPr>
          </w:p>
          <w:p w14:paraId="5F39362F" w14:textId="77777777" w:rsidR="008A4411" w:rsidRPr="00F44116" w:rsidRDefault="008A4411" w:rsidP="000D7B32">
            <w:pPr>
              <w:autoSpaceDE w:val="0"/>
              <w:autoSpaceDN w:val="0"/>
              <w:adjustRightInd w:val="0"/>
              <w:jc w:val="center"/>
              <w:rPr>
                <w:rFonts w:ascii="Arial" w:hAnsi="Arial" w:cs="Arial"/>
                <w:b/>
                <w:color w:val="000000"/>
                <w:sz w:val="18"/>
                <w:szCs w:val="18"/>
              </w:rPr>
            </w:pPr>
          </w:p>
        </w:tc>
        <w:tc>
          <w:tcPr>
            <w:tcW w:w="3119" w:type="dxa"/>
          </w:tcPr>
          <w:p w14:paraId="30E08DEE"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31B1A9AC"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0E20C61A" w14:textId="77777777" w:rsidR="008A4411" w:rsidRDefault="008A4411" w:rsidP="002C66C4">
      <w:pPr>
        <w:pStyle w:val="Prrafodelista"/>
        <w:tabs>
          <w:tab w:val="left" w:pos="243"/>
        </w:tabs>
        <w:spacing w:after="120" w:line="240" w:lineRule="auto"/>
        <w:ind w:left="-425" w:right="-284"/>
        <w:contextualSpacing w:val="0"/>
        <w:jc w:val="center"/>
        <w:rPr>
          <w:rFonts w:ascii="Arial" w:hAnsi="Arial" w:cs="Arial"/>
          <w:b/>
          <w:sz w:val="18"/>
          <w:szCs w:val="18"/>
        </w:rPr>
      </w:pPr>
    </w:p>
    <w:bookmarkEnd w:id="0"/>
    <w:p w14:paraId="18ADFBF2" w14:textId="77777777" w:rsidR="002C66C4" w:rsidRPr="00DC3DE3" w:rsidRDefault="002C66C4" w:rsidP="008F5F7D">
      <w:pPr>
        <w:pStyle w:val="Prrafodelista"/>
        <w:tabs>
          <w:tab w:val="left" w:pos="243"/>
        </w:tabs>
        <w:spacing w:after="0" w:line="240" w:lineRule="auto"/>
        <w:ind w:left="-426" w:right="-283"/>
        <w:jc w:val="center"/>
        <w:rPr>
          <w:rFonts w:ascii="Arial" w:hAnsi="Arial" w:cs="Arial"/>
          <w:b/>
          <w:sz w:val="18"/>
          <w:szCs w:val="18"/>
        </w:rPr>
      </w:pPr>
    </w:p>
    <w:sectPr w:rsidR="002C66C4" w:rsidRPr="00DC3DE3" w:rsidSect="009B3397">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0301" w14:textId="77777777" w:rsidR="009B3397" w:rsidRDefault="009B3397" w:rsidP="00752047">
      <w:pPr>
        <w:spacing w:after="0" w:line="240" w:lineRule="auto"/>
      </w:pPr>
      <w:r>
        <w:separator/>
      </w:r>
    </w:p>
  </w:endnote>
  <w:endnote w:type="continuationSeparator" w:id="0">
    <w:p w14:paraId="64A43CFE" w14:textId="77777777" w:rsidR="009B3397" w:rsidRDefault="009B3397"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081213EF" w14:textId="6A329CFD" w:rsidR="00492AFE" w:rsidRPr="00AA0EAA" w:rsidRDefault="00492AFE" w:rsidP="00492AFE">
    <w:pPr>
      <w:pStyle w:val="Piedepgina"/>
      <w:ind w:right="-552"/>
      <w:jc w:val="right"/>
      <w:rPr>
        <w:lang w:val="en-US"/>
      </w:rPr>
    </w:pPr>
    <w:r w:rsidRPr="0017481B">
      <w:rPr>
        <w:rFonts w:ascii="Arial" w:hAnsi="Arial" w:cs="Arial"/>
        <w:sz w:val="10"/>
        <w:szCs w:val="10"/>
        <w:lang w:val="en-US"/>
      </w:rPr>
      <w:t>SCJN/</w:t>
    </w:r>
    <w:r w:rsidR="00D50B55">
      <w:rPr>
        <w:rFonts w:ascii="Arial" w:hAnsi="Arial" w:cs="Arial"/>
        <w:sz w:val="10"/>
        <w:szCs w:val="10"/>
        <w:lang w:val="en-US"/>
      </w:rPr>
      <w:t>LPN</w:t>
    </w:r>
    <w:r w:rsidRPr="0017481B">
      <w:rPr>
        <w:rFonts w:ascii="Arial" w:hAnsi="Arial" w:cs="Arial"/>
        <w:sz w:val="10"/>
        <w:szCs w:val="10"/>
        <w:lang w:val="en-US"/>
      </w:rPr>
      <w:t>/DGIF-DACCI/0</w:t>
    </w:r>
    <w:r w:rsidR="00D50B55">
      <w:rPr>
        <w:rFonts w:ascii="Arial" w:hAnsi="Arial" w:cs="Arial"/>
        <w:sz w:val="10"/>
        <w:szCs w:val="10"/>
        <w:lang w:val="en-US"/>
      </w:rPr>
      <w:t>01</w:t>
    </w:r>
    <w:r w:rsidRPr="0017481B">
      <w:rPr>
        <w:rFonts w:ascii="Arial" w:hAnsi="Arial" w:cs="Arial"/>
        <w:sz w:val="10"/>
        <w:szCs w:val="10"/>
        <w:lang w:val="en-US"/>
      </w:rPr>
      <w:t>/202</w:t>
    </w:r>
    <w:r w:rsidR="00D50B55">
      <w:rPr>
        <w:rFonts w:ascii="Arial" w:hAnsi="Arial" w:cs="Arial"/>
        <w:sz w:val="10"/>
        <w:szCs w:val="10"/>
        <w:lang w:val="en-US"/>
      </w:rPr>
      <w:t>4</w:t>
    </w:r>
    <w:r w:rsidRPr="0017481B">
      <w:rPr>
        <w:rFonts w:ascii="Arial" w:hAnsi="Arial" w:cs="Arial"/>
        <w:sz w:val="10"/>
        <w:szCs w:val="10"/>
        <w:lang w:val="en-US"/>
      </w:rPr>
      <w:t xml:space="preserve"> ANEXO 1</w:t>
    </w:r>
    <w:r>
      <w:rPr>
        <w:rFonts w:ascii="Arial" w:hAnsi="Arial" w:cs="Arial"/>
        <w:sz w:val="10"/>
        <w:szCs w:val="10"/>
        <w:lang w:val="en-US"/>
      </w:rPr>
      <w:t>3</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29E1A" w14:textId="77777777" w:rsidR="009B3397" w:rsidRDefault="009B3397" w:rsidP="00752047">
      <w:pPr>
        <w:spacing w:after="0" w:line="240" w:lineRule="auto"/>
      </w:pPr>
      <w:r>
        <w:separator/>
      </w:r>
    </w:p>
  </w:footnote>
  <w:footnote w:type="continuationSeparator" w:id="0">
    <w:p w14:paraId="5CF2B2C9" w14:textId="77777777" w:rsidR="009B3397" w:rsidRDefault="009B3397"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4D4C" w14:textId="74762C96" w:rsidR="00DE235D" w:rsidRPr="00DE235D" w:rsidRDefault="00B24209" w:rsidP="00DE235D">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LICITACIÓN PÚBLICA NACIONAL</w:t>
    </w:r>
    <w:r w:rsidR="00DE235D" w:rsidRPr="00DE235D">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LPN</w:t>
    </w:r>
    <w:r w:rsidR="00DE235D" w:rsidRPr="00DE235D">
      <w:rPr>
        <w:rFonts w:ascii="Arial Unicode MS" w:eastAsia="Arial Unicode MS" w:hAnsi="Arial Unicode MS" w:cs="Arial Unicode MS"/>
        <w:b/>
        <w:color w:val="7F7F7F" w:themeColor="text1" w:themeTint="80"/>
        <w:sz w:val="20"/>
        <w:szCs w:val="20"/>
      </w:rPr>
      <w:t>/DGIF-DACCI/0</w:t>
    </w:r>
    <w:r>
      <w:rPr>
        <w:rFonts w:ascii="Arial Unicode MS" w:eastAsia="Arial Unicode MS" w:hAnsi="Arial Unicode MS" w:cs="Arial Unicode MS"/>
        <w:b/>
        <w:color w:val="7F7F7F" w:themeColor="text1" w:themeTint="80"/>
        <w:sz w:val="20"/>
        <w:szCs w:val="20"/>
      </w:rPr>
      <w:t>01</w:t>
    </w:r>
    <w:r w:rsidR="00DE235D" w:rsidRPr="00DE235D">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4B714617" w14:textId="32841FA3" w:rsidR="00176B2F" w:rsidRPr="00011387" w:rsidRDefault="0098231E" w:rsidP="0098231E">
    <w:pPr>
      <w:pStyle w:val="Encabezado"/>
      <w:jc w:val="center"/>
    </w:pPr>
    <w:r w:rsidRPr="0098231E">
      <w:rPr>
        <w:rFonts w:ascii="Arial Unicode MS" w:eastAsia="Arial Unicode MS" w:hAnsi="Arial Unicode MS" w:cs="Arial Unicode MS"/>
        <w:b/>
        <w:color w:val="7F7F7F" w:themeColor="text1" w:themeTint="80"/>
        <w:sz w:val="20"/>
        <w:szCs w:val="20"/>
      </w:rPr>
      <w:t>“</w:t>
    </w:r>
    <w:r w:rsidR="005E0DEC" w:rsidRPr="005E0DEC">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98231E">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1722C"/>
    <w:rsid w:val="00017894"/>
    <w:rsid w:val="0002012E"/>
    <w:rsid w:val="00020909"/>
    <w:rsid w:val="00024C13"/>
    <w:rsid w:val="00024CB5"/>
    <w:rsid w:val="00027DBF"/>
    <w:rsid w:val="00030D71"/>
    <w:rsid w:val="0003536A"/>
    <w:rsid w:val="000355E2"/>
    <w:rsid w:val="00042788"/>
    <w:rsid w:val="00047D2F"/>
    <w:rsid w:val="00051C1D"/>
    <w:rsid w:val="00052980"/>
    <w:rsid w:val="000603ED"/>
    <w:rsid w:val="000675BD"/>
    <w:rsid w:val="00075B51"/>
    <w:rsid w:val="00083672"/>
    <w:rsid w:val="00086495"/>
    <w:rsid w:val="00090423"/>
    <w:rsid w:val="0009685B"/>
    <w:rsid w:val="000A1B48"/>
    <w:rsid w:val="000A54AC"/>
    <w:rsid w:val="000C07CB"/>
    <w:rsid w:val="000C5491"/>
    <w:rsid w:val="000D575B"/>
    <w:rsid w:val="000E1F9E"/>
    <w:rsid w:val="000E4618"/>
    <w:rsid w:val="000F062D"/>
    <w:rsid w:val="000F6DA6"/>
    <w:rsid w:val="0012127F"/>
    <w:rsid w:val="001228DC"/>
    <w:rsid w:val="001233AE"/>
    <w:rsid w:val="00124AC2"/>
    <w:rsid w:val="0014415D"/>
    <w:rsid w:val="00151771"/>
    <w:rsid w:val="00154621"/>
    <w:rsid w:val="0015529A"/>
    <w:rsid w:val="001649AB"/>
    <w:rsid w:val="0016675F"/>
    <w:rsid w:val="00173CDF"/>
    <w:rsid w:val="00174DC1"/>
    <w:rsid w:val="00176B2F"/>
    <w:rsid w:val="001837B0"/>
    <w:rsid w:val="0019727B"/>
    <w:rsid w:val="001B5492"/>
    <w:rsid w:val="001B798D"/>
    <w:rsid w:val="001C210D"/>
    <w:rsid w:val="001C236B"/>
    <w:rsid w:val="001C2AB4"/>
    <w:rsid w:val="001D0374"/>
    <w:rsid w:val="001D16D8"/>
    <w:rsid w:val="001D255B"/>
    <w:rsid w:val="001D41D5"/>
    <w:rsid w:val="001D6110"/>
    <w:rsid w:val="001F55F7"/>
    <w:rsid w:val="00214CDC"/>
    <w:rsid w:val="0021525E"/>
    <w:rsid w:val="00215436"/>
    <w:rsid w:val="00220BBD"/>
    <w:rsid w:val="0023099E"/>
    <w:rsid w:val="002338A3"/>
    <w:rsid w:val="0024750D"/>
    <w:rsid w:val="00251FA1"/>
    <w:rsid w:val="00252CCA"/>
    <w:rsid w:val="00262373"/>
    <w:rsid w:val="00263085"/>
    <w:rsid w:val="00275A2A"/>
    <w:rsid w:val="00282017"/>
    <w:rsid w:val="002831A9"/>
    <w:rsid w:val="00286228"/>
    <w:rsid w:val="00287BE5"/>
    <w:rsid w:val="002A2345"/>
    <w:rsid w:val="002B05DF"/>
    <w:rsid w:val="002B0EB7"/>
    <w:rsid w:val="002B1B71"/>
    <w:rsid w:val="002B6214"/>
    <w:rsid w:val="002B7F90"/>
    <w:rsid w:val="002C66C4"/>
    <w:rsid w:val="002C6878"/>
    <w:rsid w:val="002D3CC3"/>
    <w:rsid w:val="002D65DA"/>
    <w:rsid w:val="002F004F"/>
    <w:rsid w:val="002F1383"/>
    <w:rsid w:val="002F2E48"/>
    <w:rsid w:val="002F5050"/>
    <w:rsid w:val="0030119B"/>
    <w:rsid w:val="0030725E"/>
    <w:rsid w:val="00314C06"/>
    <w:rsid w:val="00315F2D"/>
    <w:rsid w:val="003179AD"/>
    <w:rsid w:val="00321530"/>
    <w:rsid w:val="00321DC9"/>
    <w:rsid w:val="00325659"/>
    <w:rsid w:val="0033089B"/>
    <w:rsid w:val="00330B53"/>
    <w:rsid w:val="00337D13"/>
    <w:rsid w:val="003502AE"/>
    <w:rsid w:val="0036784A"/>
    <w:rsid w:val="00367BF9"/>
    <w:rsid w:val="00372E45"/>
    <w:rsid w:val="00375EB0"/>
    <w:rsid w:val="0038225C"/>
    <w:rsid w:val="00382BD9"/>
    <w:rsid w:val="0038600F"/>
    <w:rsid w:val="00392748"/>
    <w:rsid w:val="003A6BDA"/>
    <w:rsid w:val="003B155C"/>
    <w:rsid w:val="003B2907"/>
    <w:rsid w:val="003B2CE4"/>
    <w:rsid w:val="003B3657"/>
    <w:rsid w:val="003B369A"/>
    <w:rsid w:val="003C4F97"/>
    <w:rsid w:val="003D6187"/>
    <w:rsid w:val="003E62A3"/>
    <w:rsid w:val="003E6578"/>
    <w:rsid w:val="003E6B91"/>
    <w:rsid w:val="003F3048"/>
    <w:rsid w:val="003F78F7"/>
    <w:rsid w:val="004006C6"/>
    <w:rsid w:val="004014AB"/>
    <w:rsid w:val="00401CD2"/>
    <w:rsid w:val="00401E92"/>
    <w:rsid w:val="0041014A"/>
    <w:rsid w:val="0042088D"/>
    <w:rsid w:val="0042267D"/>
    <w:rsid w:val="00425445"/>
    <w:rsid w:val="00434386"/>
    <w:rsid w:val="00434ACA"/>
    <w:rsid w:val="0043515E"/>
    <w:rsid w:val="00435C19"/>
    <w:rsid w:val="00441623"/>
    <w:rsid w:val="0044264E"/>
    <w:rsid w:val="0044486D"/>
    <w:rsid w:val="004477FE"/>
    <w:rsid w:val="00453998"/>
    <w:rsid w:val="004616B9"/>
    <w:rsid w:val="00482378"/>
    <w:rsid w:val="00483311"/>
    <w:rsid w:val="00492AFE"/>
    <w:rsid w:val="004A62CA"/>
    <w:rsid w:val="004B06CD"/>
    <w:rsid w:val="004B135D"/>
    <w:rsid w:val="004B17B4"/>
    <w:rsid w:val="004B37EC"/>
    <w:rsid w:val="004B561F"/>
    <w:rsid w:val="004B7A4D"/>
    <w:rsid w:val="004C1C64"/>
    <w:rsid w:val="004C37A7"/>
    <w:rsid w:val="004C41CE"/>
    <w:rsid w:val="004C5CD7"/>
    <w:rsid w:val="004E3589"/>
    <w:rsid w:val="004E737E"/>
    <w:rsid w:val="004F1710"/>
    <w:rsid w:val="004F29AA"/>
    <w:rsid w:val="0050679A"/>
    <w:rsid w:val="00513951"/>
    <w:rsid w:val="0051484A"/>
    <w:rsid w:val="00516CDB"/>
    <w:rsid w:val="00531C44"/>
    <w:rsid w:val="005463FD"/>
    <w:rsid w:val="00561A9B"/>
    <w:rsid w:val="00574F61"/>
    <w:rsid w:val="00580A98"/>
    <w:rsid w:val="0058118E"/>
    <w:rsid w:val="00587F19"/>
    <w:rsid w:val="00591B3B"/>
    <w:rsid w:val="005975A8"/>
    <w:rsid w:val="005A23F4"/>
    <w:rsid w:val="005A6039"/>
    <w:rsid w:val="005B0938"/>
    <w:rsid w:val="005B3BB4"/>
    <w:rsid w:val="005B55AD"/>
    <w:rsid w:val="005E0DEC"/>
    <w:rsid w:val="006119C0"/>
    <w:rsid w:val="00615A2A"/>
    <w:rsid w:val="0062215C"/>
    <w:rsid w:val="00626092"/>
    <w:rsid w:val="00627FAD"/>
    <w:rsid w:val="0063294D"/>
    <w:rsid w:val="006373BF"/>
    <w:rsid w:val="0064546F"/>
    <w:rsid w:val="00653CF4"/>
    <w:rsid w:val="006555D5"/>
    <w:rsid w:val="00657C29"/>
    <w:rsid w:val="00661ADD"/>
    <w:rsid w:val="00666488"/>
    <w:rsid w:val="00667776"/>
    <w:rsid w:val="00671E86"/>
    <w:rsid w:val="00684018"/>
    <w:rsid w:val="00684CF2"/>
    <w:rsid w:val="00685AB9"/>
    <w:rsid w:val="00690190"/>
    <w:rsid w:val="006A28CE"/>
    <w:rsid w:val="006A360F"/>
    <w:rsid w:val="006A750D"/>
    <w:rsid w:val="006B13EA"/>
    <w:rsid w:val="006B4B4F"/>
    <w:rsid w:val="006B7A23"/>
    <w:rsid w:val="006C039D"/>
    <w:rsid w:val="006C0BE8"/>
    <w:rsid w:val="006C175D"/>
    <w:rsid w:val="006C3663"/>
    <w:rsid w:val="006D0199"/>
    <w:rsid w:val="006E2D28"/>
    <w:rsid w:val="006E322A"/>
    <w:rsid w:val="006E58F5"/>
    <w:rsid w:val="006E67B2"/>
    <w:rsid w:val="006F0312"/>
    <w:rsid w:val="006F4DDC"/>
    <w:rsid w:val="007021AF"/>
    <w:rsid w:val="007215D3"/>
    <w:rsid w:val="0072398F"/>
    <w:rsid w:val="00732557"/>
    <w:rsid w:val="0073328A"/>
    <w:rsid w:val="0073377A"/>
    <w:rsid w:val="00735F7B"/>
    <w:rsid w:val="00741017"/>
    <w:rsid w:val="00741265"/>
    <w:rsid w:val="00747B49"/>
    <w:rsid w:val="00752047"/>
    <w:rsid w:val="00754601"/>
    <w:rsid w:val="00761239"/>
    <w:rsid w:val="00775E65"/>
    <w:rsid w:val="00783005"/>
    <w:rsid w:val="007830E4"/>
    <w:rsid w:val="0078354A"/>
    <w:rsid w:val="00785B2C"/>
    <w:rsid w:val="00786BD4"/>
    <w:rsid w:val="00786D08"/>
    <w:rsid w:val="007A13EA"/>
    <w:rsid w:val="007A29C3"/>
    <w:rsid w:val="007A447A"/>
    <w:rsid w:val="007A5BE6"/>
    <w:rsid w:val="007A67EE"/>
    <w:rsid w:val="007B6EC1"/>
    <w:rsid w:val="007C2B92"/>
    <w:rsid w:val="007C46AA"/>
    <w:rsid w:val="007D08A1"/>
    <w:rsid w:val="007D25DE"/>
    <w:rsid w:val="007D4E19"/>
    <w:rsid w:val="007E1A5A"/>
    <w:rsid w:val="007E55E8"/>
    <w:rsid w:val="007E5D2B"/>
    <w:rsid w:val="007E7283"/>
    <w:rsid w:val="007F0844"/>
    <w:rsid w:val="007F6297"/>
    <w:rsid w:val="008041C7"/>
    <w:rsid w:val="00816742"/>
    <w:rsid w:val="00822DD9"/>
    <w:rsid w:val="00823602"/>
    <w:rsid w:val="00823BCE"/>
    <w:rsid w:val="00842584"/>
    <w:rsid w:val="0085742D"/>
    <w:rsid w:val="00857A49"/>
    <w:rsid w:val="00867180"/>
    <w:rsid w:val="008828E5"/>
    <w:rsid w:val="0088368C"/>
    <w:rsid w:val="008A4411"/>
    <w:rsid w:val="008A4E7C"/>
    <w:rsid w:val="008A5A3A"/>
    <w:rsid w:val="008A703A"/>
    <w:rsid w:val="008B51F9"/>
    <w:rsid w:val="008C15E2"/>
    <w:rsid w:val="008C5201"/>
    <w:rsid w:val="008C6B43"/>
    <w:rsid w:val="008D7BDC"/>
    <w:rsid w:val="008E69D0"/>
    <w:rsid w:val="008F1C39"/>
    <w:rsid w:val="008F37E8"/>
    <w:rsid w:val="008F43C2"/>
    <w:rsid w:val="008F5F7D"/>
    <w:rsid w:val="008F73A0"/>
    <w:rsid w:val="00900D10"/>
    <w:rsid w:val="009021BF"/>
    <w:rsid w:val="0090303E"/>
    <w:rsid w:val="009063CC"/>
    <w:rsid w:val="00923BDF"/>
    <w:rsid w:val="0093570D"/>
    <w:rsid w:val="00942FDF"/>
    <w:rsid w:val="00947C4D"/>
    <w:rsid w:val="00952F0B"/>
    <w:rsid w:val="00953C8A"/>
    <w:rsid w:val="00956614"/>
    <w:rsid w:val="009650A1"/>
    <w:rsid w:val="00966CDE"/>
    <w:rsid w:val="009722EF"/>
    <w:rsid w:val="0097602F"/>
    <w:rsid w:val="0098231E"/>
    <w:rsid w:val="009830BC"/>
    <w:rsid w:val="00991600"/>
    <w:rsid w:val="00993A21"/>
    <w:rsid w:val="00994A06"/>
    <w:rsid w:val="00995F66"/>
    <w:rsid w:val="0099660B"/>
    <w:rsid w:val="009A3F20"/>
    <w:rsid w:val="009A648A"/>
    <w:rsid w:val="009B3397"/>
    <w:rsid w:val="009B4669"/>
    <w:rsid w:val="009B73ED"/>
    <w:rsid w:val="009C06EE"/>
    <w:rsid w:val="009D44E3"/>
    <w:rsid w:val="009D56C0"/>
    <w:rsid w:val="009D5EBC"/>
    <w:rsid w:val="009D79F2"/>
    <w:rsid w:val="009F31C7"/>
    <w:rsid w:val="009F3DB4"/>
    <w:rsid w:val="009F5CAB"/>
    <w:rsid w:val="009F6311"/>
    <w:rsid w:val="00A0722C"/>
    <w:rsid w:val="00A11DD3"/>
    <w:rsid w:val="00A2533C"/>
    <w:rsid w:val="00A34E82"/>
    <w:rsid w:val="00A4288D"/>
    <w:rsid w:val="00A465B4"/>
    <w:rsid w:val="00A57CAC"/>
    <w:rsid w:val="00A6622C"/>
    <w:rsid w:val="00A81E8C"/>
    <w:rsid w:val="00A85020"/>
    <w:rsid w:val="00A91314"/>
    <w:rsid w:val="00A929A6"/>
    <w:rsid w:val="00AF1573"/>
    <w:rsid w:val="00AF5586"/>
    <w:rsid w:val="00B0097E"/>
    <w:rsid w:val="00B02B8D"/>
    <w:rsid w:val="00B142CA"/>
    <w:rsid w:val="00B227FE"/>
    <w:rsid w:val="00B24209"/>
    <w:rsid w:val="00B277C5"/>
    <w:rsid w:val="00B322A4"/>
    <w:rsid w:val="00B37937"/>
    <w:rsid w:val="00B40D70"/>
    <w:rsid w:val="00B44426"/>
    <w:rsid w:val="00B45B3B"/>
    <w:rsid w:val="00B52A63"/>
    <w:rsid w:val="00B544AF"/>
    <w:rsid w:val="00B966B9"/>
    <w:rsid w:val="00BA2833"/>
    <w:rsid w:val="00BA3CE1"/>
    <w:rsid w:val="00BB7CED"/>
    <w:rsid w:val="00BC2E73"/>
    <w:rsid w:val="00BD630B"/>
    <w:rsid w:val="00BF4E55"/>
    <w:rsid w:val="00C0649F"/>
    <w:rsid w:val="00C07E8A"/>
    <w:rsid w:val="00C11BEA"/>
    <w:rsid w:val="00C14CCB"/>
    <w:rsid w:val="00C25106"/>
    <w:rsid w:val="00C32C4F"/>
    <w:rsid w:val="00C3343E"/>
    <w:rsid w:val="00C361A8"/>
    <w:rsid w:val="00C401F6"/>
    <w:rsid w:val="00C51307"/>
    <w:rsid w:val="00C52AC1"/>
    <w:rsid w:val="00C55868"/>
    <w:rsid w:val="00C63562"/>
    <w:rsid w:val="00C6549E"/>
    <w:rsid w:val="00C67808"/>
    <w:rsid w:val="00C817EC"/>
    <w:rsid w:val="00C84DE3"/>
    <w:rsid w:val="00C91573"/>
    <w:rsid w:val="00C940BD"/>
    <w:rsid w:val="00C956EA"/>
    <w:rsid w:val="00C97C8A"/>
    <w:rsid w:val="00CA70A6"/>
    <w:rsid w:val="00CA7F8A"/>
    <w:rsid w:val="00CB686B"/>
    <w:rsid w:val="00CB7CA5"/>
    <w:rsid w:val="00CC17EF"/>
    <w:rsid w:val="00CC1DBD"/>
    <w:rsid w:val="00CC2A7B"/>
    <w:rsid w:val="00CC3199"/>
    <w:rsid w:val="00CC5233"/>
    <w:rsid w:val="00CD48D8"/>
    <w:rsid w:val="00CD553B"/>
    <w:rsid w:val="00CE6ACF"/>
    <w:rsid w:val="00CF4B69"/>
    <w:rsid w:val="00D01821"/>
    <w:rsid w:val="00D02091"/>
    <w:rsid w:val="00D05107"/>
    <w:rsid w:val="00D10C6E"/>
    <w:rsid w:val="00D14B19"/>
    <w:rsid w:val="00D230AB"/>
    <w:rsid w:val="00D23A76"/>
    <w:rsid w:val="00D23E91"/>
    <w:rsid w:val="00D24B27"/>
    <w:rsid w:val="00D26B01"/>
    <w:rsid w:val="00D301F6"/>
    <w:rsid w:val="00D314BB"/>
    <w:rsid w:val="00D3591A"/>
    <w:rsid w:val="00D43114"/>
    <w:rsid w:val="00D46389"/>
    <w:rsid w:val="00D46EC0"/>
    <w:rsid w:val="00D50B55"/>
    <w:rsid w:val="00D538FD"/>
    <w:rsid w:val="00D56254"/>
    <w:rsid w:val="00D56369"/>
    <w:rsid w:val="00D564BF"/>
    <w:rsid w:val="00D67A52"/>
    <w:rsid w:val="00D748A2"/>
    <w:rsid w:val="00D83656"/>
    <w:rsid w:val="00D83706"/>
    <w:rsid w:val="00D919CD"/>
    <w:rsid w:val="00D93CDD"/>
    <w:rsid w:val="00DA01DB"/>
    <w:rsid w:val="00DA26AD"/>
    <w:rsid w:val="00DA2CC3"/>
    <w:rsid w:val="00DA5A08"/>
    <w:rsid w:val="00DA6560"/>
    <w:rsid w:val="00DA7DB7"/>
    <w:rsid w:val="00DC255A"/>
    <w:rsid w:val="00DC3DE3"/>
    <w:rsid w:val="00DC3EC3"/>
    <w:rsid w:val="00DC6A33"/>
    <w:rsid w:val="00DC6ABC"/>
    <w:rsid w:val="00DD3543"/>
    <w:rsid w:val="00DD4239"/>
    <w:rsid w:val="00DE235D"/>
    <w:rsid w:val="00DE33B9"/>
    <w:rsid w:val="00DF1DA9"/>
    <w:rsid w:val="00DF2DEC"/>
    <w:rsid w:val="00DF48ED"/>
    <w:rsid w:val="00E1404E"/>
    <w:rsid w:val="00E218A9"/>
    <w:rsid w:val="00E220F5"/>
    <w:rsid w:val="00E250F6"/>
    <w:rsid w:val="00E26820"/>
    <w:rsid w:val="00E26B5D"/>
    <w:rsid w:val="00E27BE7"/>
    <w:rsid w:val="00E37412"/>
    <w:rsid w:val="00E43233"/>
    <w:rsid w:val="00E51131"/>
    <w:rsid w:val="00E51E41"/>
    <w:rsid w:val="00E541F1"/>
    <w:rsid w:val="00E63E55"/>
    <w:rsid w:val="00E70E7C"/>
    <w:rsid w:val="00E84F99"/>
    <w:rsid w:val="00E8749C"/>
    <w:rsid w:val="00E91883"/>
    <w:rsid w:val="00E9541D"/>
    <w:rsid w:val="00EA04B9"/>
    <w:rsid w:val="00EB09CD"/>
    <w:rsid w:val="00EC26AC"/>
    <w:rsid w:val="00EC2E78"/>
    <w:rsid w:val="00ED3F14"/>
    <w:rsid w:val="00EE15FE"/>
    <w:rsid w:val="00EE3E8F"/>
    <w:rsid w:val="00EF0134"/>
    <w:rsid w:val="00EF2F74"/>
    <w:rsid w:val="00EF49D3"/>
    <w:rsid w:val="00F07B3D"/>
    <w:rsid w:val="00F13A03"/>
    <w:rsid w:val="00F15048"/>
    <w:rsid w:val="00F25463"/>
    <w:rsid w:val="00F34030"/>
    <w:rsid w:val="00F3569F"/>
    <w:rsid w:val="00F36CAC"/>
    <w:rsid w:val="00F44116"/>
    <w:rsid w:val="00F446B2"/>
    <w:rsid w:val="00F46EAD"/>
    <w:rsid w:val="00F55648"/>
    <w:rsid w:val="00F6003A"/>
    <w:rsid w:val="00F61C98"/>
    <w:rsid w:val="00F61D1E"/>
    <w:rsid w:val="00F66BFF"/>
    <w:rsid w:val="00F702DE"/>
    <w:rsid w:val="00F75D4E"/>
    <w:rsid w:val="00F80976"/>
    <w:rsid w:val="00F81B1E"/>
    <w:rsid w:val="00F906AA"/>
    <w:rsid w:val="00F96917"/>
    <w:rsid w:val="00FB1E84"/>
    <w:rsid w:val="00FB5B5F"/>
    <w:rsid w:val="00FC1C16"/>
    <w:rsid w:val="00FE5FB4"/>
    <w:rsid w:val="00FE6CC9"/>
    <w:rsid w:val="00FE6D6B"/>
    <w:rsid w:val="00FE7C7F"/>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7439</Words>
  <Characters>40917</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30</cp:revision>
  <cp:lastPrinted>2020-02-12T15:30:00Z</cp:lastPrinted>
  <dcterms:created xsi:type="dcterms:W3CDTF">2024-02-20T18:20:00Z</dcterms:created>
  <dcterms:modified xsi:type="dcterms:W3CDTF">2024-02-21T18:44:00Z</dcterms:modified>
</cp:coreProperties>
</file>