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7D59B" w14:textId="7ADB93F7" w:rsidR="00D317A9" w:rsidRPr="000C3EE0" w:rsidRDefault="006B4F5E" w:rsidP="005E6E66">
      <w:pPr>
        <w:spacing w:line="288" w:lineRule="auto"/>
        <w:ind w:right="-93"/>
        <w:jc w:val="center"/>
        <w:outlineLvl w:val="5"/>
        <w:rPr>
          <w:rFonts w:cs="Arial"/>
          <w:b/>
          <w:bCs/>
          <w:snapToGrid w:val="0"/>
          <w:szCs w:val="18"/>
        </w:rPr>
      </w:pPr>
      <w:r w:rsidRPr="000C3EE0">
        <w:rPr>
          <w:noProof/>
          <w:szCs w:val="18"/>
        </w:rPr>
        <w:drawing>
          <wp:anchor distT="0" distB="0" distL="114300" distR="114300" simplePos="0" relativeHeight="251659264" behindDoc="0" locked="0" layoutInCell="1" allowOverlap="1" wp14:anchorId="0039BB20" wp14:editId="6DCCF999">
            <wp:simplePos x="0" y="0"/>
            <wp:positionH relativeFrom="margin">
              <wp:posOffset>-1259</wp:posOffset>
            </wp:positionH>
            <wp:positionV relativeFrom="paragraph">
              <wp:posOffset>142398</wp:posOffset>
            </wp:positionV>
            <wp:extent cx="914400" cy="895498"/>
            <wp:effectExtent l="0" t="0" r="0" b="0"/>
            <wp:wrapNone/>
            <wp:docPr id="569878294" name="0 Imagen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878294" name="0 Imagen" descr="Imagen que contiene 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72" cy="898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C394E" w14:textId="75AB0D79" w:rsidR="0000785A" w:rsidRPr="000C3EE0" w:rsidRDefault="0000785A" w:rsidP="005E6E66">
      <w:pPr>
        <w:spacing w:line="288" w:lineRule="auto"/>
        <w:ind w:right="-93"/>
        <w:jc w:val="center"/>
        <w:outlineLvl w:val="5"/>
        <w:rPr>
          <w:rFonts w:cs="Arial"/>
          <w:b/>
          <w:bCs/>
          <w:snapToGrid w:val="0"/>
          <w:szCs w:val="18"/>
        </w:rPr>
      </w:pPr>
    </w:p>
    <w:p w14:paraId="405F3A88" w14:textId="1E69B180" w:rsidR="0000785A" w:rsidRPr="000C3EE0" w:rsidRDefault="0000785A" w:rsidP="005E6E66">
      <w:pPr>
        <w:spacing w:line="288" w:lineRule="auto"/>
        <w:ind w:right="-93"/>
        <w:jc w:val="center"/>
        <w:outlineLvl w:val="5"/>
        <w:rPr>
          <w:rFonts w:cs="Arial"/>
          <w:b/>
          <w:bCs/>
          <w:snapToGrid w:val="0"/>
          <w:szCs w:val="18"/>
        </w:rPr>
      </w:pPr>
      <w:r w:rsidRPr="000C3EE0">
        <w:rPr>
          <w:rFonts w:cs="Arial"/>
          <w:b/>
          <w:bCs/>
          <w:snapToGrid w:val="0"/>
          <w:szCs w:val="18"/>
        </w:rPr>
        <w:t>Poder Judicial de la Federación</w:t>
      </w:r>
    </w:p>
    <w:p w14:paraId="20553B0A" w14:textId="3D857E91" w:rsidR="0000785A" w:rsidRPr="000C3EE0" w:rsidRDefault="0000785A" w:rsidP="005E6E66">
      <w:pPr>
        <w:spacing w:line="288" w:lineRule="auto"/>
        <w:ind w:right="-93"/>
        <w:jc w:val="center"/>
        <w:outlineLvl w:val="5"/>
        <w:rPr>
          <w:rFonts w:cs="Arial"/>
          <w:b/>
          <w:bCs/>
          <w:snapToGrid w:val="0"/>
          <w:szCs w:val="18"/>
        </w:rPr>
      </w:pPr>
      <w:r w:rsidRPr="000C3EE0">
        <w:rPr>
          <w:rFonts w:cs="Arial"/>
          <w:b/>
          <w:bCs/>
          <w:snapToGrid w:val="0"/>
          <w:szCs w:val="18"/>
        </w:rPr>
        <w:t>Suprema Corte de Justicia de la Nación</w:t>
      </w:r>
    </w:p>
    <w:p w14:paraId="00C6BAFD" w14:textId="79AB2563" w:rsidR="00DC758C" w:rsidRPr="000C3EE0" w:rsidRDefault="0000785A" w:rsidP="005E6E66">
      <w:pPr>
        <w:spacing w:line="288" w:lineRule="auto"/>
        <w:ind w:right="-93"/>
        <w:jc w:val="center"/>
        <w:outlineLvl w:val="5"/>
        <w:rPr>
          <w:rFonts w:cs="Arial"/>
          <w:b/>
          <w:bCs/>
          <w:snapToGrid w:val="0"/>
          <w:szCs w:val="18"/>
        </w:rPr>
      </w:pPr>
      <w:r w:rsidRPr="000C3EE0">
        <w:rPr>
          <w:rFonts w:cs="Arial"/>
          <w:b/>
          <w:bCs/>
          <w:snapToGrid w:val="0"/>
          <w:szCs w:val="18"/>
        </w:rPr>
        <w:t>Convocatoria para</w:t>
      </w:r>
      <w:r w:rsidR="00D317A9" w:rsidRPr="000C3EE0">
        <w:rPr>
          <w:rFonts w:cs="Arial"/>
          <w:b/>
          <w:bCs/>
          <w:snapToGrid w:val="0"/>
          <w:szCs w:val="18"/>
        </w:rPr>
        <w:t xml:space="preserve"> el Concurso por Invitación Pública</w:t>
      </w:r>
      <w:r w:rsidRPr="000C3EE0">
        <w:rPr>
          <w:rFonts w:cs="Arial"/>
          <w:b/>
          <w:bCs/>
          <w:snapToGrid w:val="0"/>
          <w:szCs w:val="18"/>
        </w:rPr>
        <w:t xml:space="preserve"> </w:t>
      </w:r>
    </w:p>
    <w:p w14:paraId="19ADD490" w14:textId="17E47C81" w:rsidR="0000785A" w:rsidRPr="000C3EE0" w:rsidRDefault="0016057C" w:rsidP="005E6E66">
      <w:pPr>
        <w:spacing w:line="288" w:lineRule="auto"/>
        <w:ind w:right="-93"/>
        <w:jc w:val="center"/>
        <w:outlineLvl w:val="5"/>
        <w:rPr>
          <w:rFonts w:cs="Arial"/>
          <w:b/>
          <w:bCs/>
          <w:snapToGrid w:val="0"/>
          <w:szCs w:val="18"/>
        </w:rPr>
      </w:pPr>
      <w:r w:rsidRPr="000C3EE0">
        <w:rPr>
          <w:rFonts w:cs="Arial"/>
          <w:b/>
          <w:bCs/>
          <w:snapToGrid w:val="0"/>
          <w:szCs w:val="18"/>
        </w:rPr>
        <w:t>SCJN/</w:t>
      </w:r>
      <w:r w:rsidR="00D317A9" w:rsidRPr="000C3EE0">
        <w:rPr>
          <w:rFonts w:cs="Arial"/>
          <w:b/>
          <w:bCs/>
          <w:snapToGrid w:val="0"/>
          <w:szCs w:val="18"/>
        </w:rPr>
        <w:t>CIP</w:t>
      </w:r>
      <w:r w:rsidRPr="000C3EE0">
        <w:rPr>
          <w:rFonts w:cs="Arial"/>
          <w:b/>
          <w:bCs/>
          <w:snapToGrid w:val="0"/>
          <w:szCs w:val="18"/>
        </w:rPr>
        <w:t>/DGIF-DACCI/00</w:t>
      </w:r>
      <w:r w:rsidR="008501C0">
        <w:rPr>
          <w:rFonts w:cs="Arial"/>
          <w:b/>
          <w:bCs/>
          <w:snapToGrid w:val="0"/>
          <w:szCs w:val="18"/>
        </w:rPr>
        <w:t>1</w:t>
      </w:r>
      <w:r w:rsidRPr="000C3EE0">
        <w:rPr>
          <w:rFonts w:cs="Arial"/>
          <w:b/>
          <w:bCs/>
          <w:snapToGrid w:val="0"/>
          <w:szCs w:val="18"/>
        </w:rPr>
        <w:t>/202</w:t>
      </w:r>
      <w:r w:rsidR="008501C0">
        <w:rPr>
          <w:rFonts w:cs="Arial"/>
          <w:b/>
          <w:bCs/>
          <w:snapToGrid w:val="0"/>
          <w:szCs w:val="18"/>
        </w:rPr>
        <w:t>4</w:t>
      </w:r>
    </w:p>
    <w:p w14:paraId="1EC92F54" w14:textId="77777777" w:rsidR="005A689E" w:rsidRPr="000C3EE0" w:rsidRDefault="005A689E" w:rsidP="005E6E66">
      <w:pPr>
        <w:spacing w:line="288" w:lineRule="auto"/>
        <w:jc w:val="both"/>
        <w:rPr>
          <w:rFonts w:cs="Arial"/>
          <w:snapToGrid w:val="0"/>
          <w:color w:val="000000" w:themeColor="text1"/>
          <w:szCs w:val="18"/>
        </w:rPr>
      </w:pPr>
    </w:p>
    <w:p w14:paraId="0907C66D" w14:textId="4E3FF6DC" w:rsidR="00A227F5" w:rsidRPr="000C3EE0" w:rsidRDefault="00471F00" w:rsidP="006B4F5E">
      <w:pPr>
        <w:spacing w:line="288" w:lineRule="auto"/>
        <w:jc w:val="both"/>
        <w:rPr>
          <w:rFonts w:cs="Arial"/>
          <w:b/>
          <w:bCs/>
          <w:snapToGrid w:val="0"/>
          <w:color w:val="000000" w:themeColor="text1"/>
          <w:szCs w:val="18"/>
        </w:rPr>
      </w:pPr>
      <w:r w:rsidRPr="000C3EE0">
        <w:rPr>
          <w:rFonts w:cs="Arial"/>
          <w:snapToGrid w:val="0"/>
          <w:color w:val="000000" w:themeColor="text1"/>
          <w:szCs w:val="18"/>
        </w:rPr>
        <w:t>La Suprema Corte de Justicia de la Nación con fundamento en lo dispuesto en el artículo 134 de la Constitución Política de los Estados Unidos Mexicanos y los artículos</w:t>
      </w:r>
      <w:r w:rsidR="00411E49">
        <w:rPr>
          <w:rFonts w:cs="Arial"/>
          <w:snapToGrid w:val="0"/>
          <w:color w:val="000000" w:themeColor="text1"/>
          <w:szCs w:val="18"/>
        </w:rPr>
        <w:t xml:space="preserve"> </w:t>
      </w:r>
      <w:r w:rsidRPr="000C3EE0">
        <w:rPr>
          <w:rFonts w:cs="Arial"/>
          <w:snapToGrid w:val="0"/>
          <w:color w:val="000000" w:themeColor="text1"/>
          <w:szCs w:val="18"/>
        </w:rPr>
        <w:t>43, fracci</w:t>
      </w:r>
      <w:r w:rsidR="006B4F5E" w:rsidRPr="000C3EE0">
        <w:rPr>
          <w:rFonts w:cs="Arial"/>
          <w:snapToGrid w:val="0"/>
          <w:color w:val="000000" w:themeColor="text1"/>
          <w:szCs w:val="18"/>
        </w:rPr>
        <w:t>ón</w:t>
      </w:r>
      <w:r w:rsidRPr="000C3EE0">
        <w:rPr>
          <w:rFonts w:cs="Arial"/>
          <w:snapToGrid w:val="0"/>
          <w:color w:val="000000" w:themeColor="text1"/>
          <w:szCs w:val="18"/>
        </w:rPr>
        <w:t xml:space="preserve"> II,</w:t>
      </w:r>
      <w:r w:rsidR="00725070" w:rsidRPr="000C3EE0">
        <w:rPr>
          <w:rFonts w:cs="Arial"/>
          <w:snapToGrid w:val="0"/>
          <w:color w:val="000000" w:themeColor="text1"/>
          <w:szCs w:val="18"/>
        </w:rPr>
        <w:t xml:space="preserve"> </w:t>
      </w:r>
      <w:r w:rsidRPr="000C3EE0">
        <w:rPr>
          <w:rFonts w:cs="Arial"/>
          <w:snapToGrid w:val="0"/>
          <w:color w:val="000000" w:themeColor="text1"/>
          <w:szCs w:val="18"/>
        </w:rPr>
        <w:t>46, 47</w:t>
      </w:r>
      <w:r w:rsidR="006B4F5E" w:rsidRPr="000C3EE0">
        <w:rPr>
          <w:rFonts w:cs="Arial"/>
          <w:snapToGrid w:val="0"/>
          <w:color w:val="000000" w:themeColor="text1"/>
          <w:szCs w:val="18"/>
        </w:rPr>
        <w:t>,</w:t>
      </w:r>
      <w:r w:rsidRPr="000C3EE0">
        <w:rPr>
          <w:rFonts w:cs="Arial"/>
          <w:snapToGrid w:val="0"/>
          <w:color w:val="000000" w:themeColor="text1"/>
          <w:szCs w:val="18"/>
        </w:rPr>
        <w:t xml:space="preserve"> fracción II, 82 a 85 y los demás aplicables del Acuerdo General de Administración XIV/2019, del Comité de Gobierno y Administración de la Suprema Corte de Justicia de la Nación, de siete de noviembre de dos mil diecinueve, por el que se regulan los procedimientos para la adquisición, arrendamiento, administración y desincorporación de bienes y la contratación de obras y prestación de servicios requeridos por la Suprema Corte de Justicia de la Nación, convoca a las personas físicas y morales de nacionalidad mexicana a participar en</w:t>
      </w:r>
      <w:r w:rsidR="00D66435" w:rsidRPr="000C3EE0">
        <w:rPr>
          <w:rFonts w:cs="Arial"/>
          <w:snapToGrid w:val="0"/>
          <w:color w:val="000000" w:themeColor="text1"/>
          <w:szCs w:val="18"/>
        </w:rPr>
        <w:t xml:space="preserve"> el</w:t>
      </w:r>
      <w:r w:rsidRPr="000C3EE0">
        <w:rPr>
          <w:rFonts w:cs="Arial"/>
          <w:snapToGrid w:val="0"/>
          <w:color w:val="000000" w:themeColor="text1"/>
          <w:szCs w:val="18"/>
        </w:rPr>
        <w:t xml:space="preserve"> presente </w:t>
      </w:r>
      <w:r w:rsidR="006B4F5E" w:rsidRPr="000C3EE0">
        <w:rPr>
          <w:rFonts w:cs="Arial"/>
          <w:b/>
          <w:bCs/>
          <w:snapToGrid w:val="0"/>
          <w:color w:val="000000" w:themeColor="text1"/>
          <w:szCs w:val="18"/>
        </w:rPr>
        <w:t>Concurso por Invitación Pública</w:t>
      </w:r>
      <w:r w:rsidR="006B4F5E" w:rsidRPr="000C3EE0">
        <w:rPr>
          <w:rFonts w:cs="Arial"/>
          <w:snapToGrid w:val="0"/>
          <w:color w:val="000000" w:themeColor="text1"/>
          <w:szCs w:val="18"/>
        </w:rPr>
        <w:t xml:space="preserve"> </w:t>
      </w:r>
      <w:r w:rsidRPr="000C3EE0">
        <w:rPr>
          <w:rFonts w:cs="Arial"/>
          <w:snapToGrid w:val="0"/>
          <w:color w:val="000000" w:themeColor="text1"/>
          <w:szCs w:val="18"/>
        </w:rPr>
        <w:t xml:space="preserve">número </w:t>
      </w:r>
      <w:r w:rsidRPr="000C3EE0">
        <w:rPr>
          <w:rFonts w:cs="Arial"/>
          <w:b/>
          <w:bCs/>
          <w:snapToGrid w:val="0"/>
          <w:color w:val="000000" w:themeColor="text1"/>
          <w:szCs w:val="18"/>
        </w:rPr>
        <w:t>SCJN/CIP/DGIF-DACCI/00</w:t>
      </w:r>
      <w:r w:rsidR="000B0363">
        <w:rPr>
          <w:rFonts w:cs="Arial"/>
          <w:b/>
          <w:bCs/>
          <w:snapToGrid w:val="0"/>
          <w:color w:val="000000" w:themeColor="text1"/>
          <w:szCs w:val="18"/>
        </w:rPr>
        <w:t>1</w:t>
      </w:r>
      <w:r w:rsidRPr="000C3EE0">
        <w:rPr>
          <w:rFonts w:cs="Arial"/>
          <w:b/>
          <w:bCs/>
          <w:snapToGrid w:val="0"/>
          <w:color w:val="000000" w:themeColor="text1"/>
          <w:szCs w:val="18"/>
        </w:rPr>
        <w:t>/202</w:t>
      </w:r>
      <w:r w:rsidR="000B0363">
        <w:rPr>
          <w:rFonts w:cs="Arial"/>
          <w:b/>
          <w:bCs/>
          <w:snapToGrid w:val="0"/>
          <w:color w:val="000000" w:themeColor="text1"/>
          <w:szCs w:val="18"/>
        </w:rPr>
        <w:t>4</w:t>
      </w:r>
      <w:r w:rsidRPr="000C3EE0">
        <w:rPr>
          <w:rFonts w:cs="Arial"/>
          <w:snapToGrid w:val="0"/>
          <w:color w:val="000000" w:themeColor="text1"/>
          <w:szCs w:val="18"/>
        </w:rPr>
        <w:t>, para la contratación del</w:t>
      </w:r>
      <w:r w:rsidR="006E6AC9" w:rsidRPr="000C3EE0">
        <w:rPr>
          <w:rFonts w:cs="Arial"/>
          <w:snapToGrid w:val="0"/>
          <w:color w:val="000000" w:themeColor="text1"/>
          <w:szCs w:val="18"/>
        </w:rPr>
        <w:t xml:space="preserve"> servicio </w:t>
      </w:r>
      <w:r w:rsidR="00725070" w:rsidRPr="000C3EE0">
        <w:rPr>
          <w:rFonts w:cs="Arial"/>
          <w:snapToGrid w:val="0"/>
          <w:color w:val="000000" w:themeColor="text1"/>
          <w:szCs w:val="18"/>
        </w:rPr>
        <w:t>relativo al</w:t>
      </w:r>
      <w:bookmarkStart w:id="0" w:name="_Hlk150158519"/>
      <w:r w:rsidR="002F638A">
        <w:rPr>
          <w:rFonts w:cs="Arial"/>
          <w:snapToGrid w:val="0"/>
          <w:color w:val="000000" w:themeColor="text1"/>
          <w:szCs w:val="18"/>
        </w:rPr>
        <w:t xml:space="preserve"> </w:t>
      </w:r>
      <w:r w:rsidR="00A227F5" w:rsidRPr="000C3EE0">
        <w:rPr>
          <w:rFonts w:cs="Arial"/>
          <w:b/>
          <w:bCs/>
          <w:snapToGrid w:val="0"/>
          <w:color w:val="000000" w:themeColor="text1"/>
          <w:szCs w:val="18"/>
        </w:rPr>
        <w:t xml:space="preserve">“Mantenimiento preventivo </w:t>
      </w:r>
      <w:r w:rsidR="002F638A" w:rsidRPr="002F638A">
        <w:rPr>
          <w:rFonts w:cs="Arial"/>
          <w:b/>
          <w:bCs/>
          <w:snapToGrid w:val="0"/>
          <w:color w:val="000000" w:themeColor="text1"/>
          <w:szCs w:val="18"/>
        </w:rPr>
        <w:t>a los pilotes de control en edificio Alterno ubicado en la Ciudad de México</w:t>
      </w:r>
      <w:r w:rsidR="00A227F5" w:rsidRPr="000C3EE0">
        <w:rPr>
          <w:rFonts w:cs="Arial"/>
          <w:b/>
          <w:bCs/>
          <w:snapToGrid w:val="0"/>
          <w:color w:val="000000" w:themeColor="text1"/>
          <w:szCs w:val="18"/>
        </w:rPr>
        <w:t>”</w:t>
      </w:r>
      <w:bookmarkEnd w:id="0"/>
      <w:r w:rsidR="006B4F5E" w:rsidRPr="000C3EE0">
        <w:rPr>
          <w:rFonts w:cs="Arial"/>
          <w:b/>
          <w:bCs/>
          <w:snapToGrid w:val="0"/>
          <w:color w:val="000000" w:themeColor="text1"/>
          <w:szCs w:val="18"/>
        </w:rPr>
        <w:t>.</w:t>
      </w:r>
    </w:p>
    <w:p w14:paraId="68B20F46" w14:textId="01460B61" w:rsidR="00471F00" w:rsidRPr="000C3EE0" w:rsidRDefault="00471F00" w:rsidP="006B4F5E">
      <w:pPr>
        <w:spacing w:before="120" w:after="60" w:line="288" w:lineRule="auto"/>
        <w:jc w:val="both"/>
        <w:rPr>
          <w:rFonts w:cs="Arial"/>
          <w:b/>
          <w:bCs/>
          <w:snapToGrid w:val="0"/>
          <w:color w:val="000000" w:themeColor="text1"/>
          <w:szCs w:val="18"/>
        </w:rPr>
      </w:pPr>
      <w:r w:rsidRPr="000C3EE0">
        <w:rPr>
          <w:rFonts w:cs="Arial"/>
          <w:b/>
          <w:bCs/>
          <w:snapToGrid w:val="0"/>
          <w:color w:val="000000" w:themeColor="text1"/>
          <w:szCs w:val="18"/>
        </w:rPr>
        <w:t xml:space="preserve">1. Descripción general del servicio y lugar donde se llevará a cabo: </w:t>
      </w:r>
    </w:p>
    <w:p w14:paraId="233DAD01" w14:textId="5451D9CC" w:rsidR="006B4F5E" w:rsidRPr="000C3EE0" w:rsidRDefault="00471F00" w:rsidP="006B4F5E">
      <w:pPr>
        <w:spacing w:line="288" w:lineRule="auto"/>
        <w:jc w:val="both"/>
        <w:rPr>
          <w:rFonts w:cs="Arial"/>
          <w:snapToGrid w:val="0"/>
          <w:color w:val="000000" w:themeColor="text1"/>
          <w:szCs w:val="18"/>
        </w:rPr>
      </w:pPr>
      <w:r w:rsidRPr="000C3EE0">
        <w:rPr>
          <w:rFonts w:cs="Arial"/>
          <w:snapToGrid w:val="0"/>
          <w:color w:val="000000" w:themeColor="text1"/>
          <w:szCs w:val="18"/>
        </w:rPr>
        <w:t xml:space="preserve">El servicio de </w:t>
      </w:r>
      <w:r w:rsidR="006B4F5E" w:rsidRPr="000C3EE0">
        <w:rPr>
          <w:rFonts w:cs="Arial"/>
          <w:snapToGrid w:val="0"/>
          <w:color w:val="000000" w:themeColor="text1"/>
          <w:szCs w:val="18"/>
        </w:rPr>
        <w:t xml:space="preserve">mantenimiento </w:t>
      </w:r>
      <w:r w:rsidR="00975A35" w:rsidRPr="000C3EE0">
        <w:rPr>
          <w:rFonts w:cs="Arial"/>
          <w:snapToGrid w:val="0"/>
          <w:color w:val="000000" w:themeColor="text1"/>
          <w:szCs w:val="18"/>
        </w:rPr>
        <w:t xml:space="preserve">preventivo </w:t>
      </w:r>
      <w:r w:rsidR="009478BD">
        <w:rPr>
          <w:rFonts w:cs="Arial"/>
          <w:snapToGrid w:val="0"/>
          <w:color w:val="000000" w:themeColor="text1"/>
          <w:szCs w:val="18"/>
        </w:rPr>
        <w:t>a pilotes de control</w:t>
      </w:r>
      <w:r w:rsidRPr="000C3EE0">
        <w:rPr>
          <w:rFonts w:cs="Arial"/>
          <w:snapToGrid w:val="0"/>
          <w:color w:val="000000" w:themeColor="text1"/>
          <w:szCs w:val="18"/>
        </w:rPr>
        <w:t xml:space="preserve">, se ejecutará en </w:t>
      </w:r>
      <w:r w:rsidR="00D60445">
        <w:rPr>
          <w:rFonts w:cs="Arial"/>
          <w:snapToGrid w:val="0"/>
          <w:color w:val="000000" w:themeColor="text1"/>
          <w:szCs w:val="18"/>
        </w:rPr>
        <w:t>e</w:t>
      </w:r>
      <w:r w:rsidRPr="000C3EE0">
        <w:rPr>
          <w:rFonts w:cs="Arial"/>
          <w:snapToGrid w:val="0"/>
          <w:color w:val="000000" w:themeColor="text1"/>
          <w:szCs w:val="18"/>
        </w:rPr>
        <w:t>l inmueble de la Suprema Corte de Justicia de la Nación ubicado en</w:t>
      </w:r>
      <w:r w:rsidR="007B7541">
        <w:rPr>
          <w:rFonts w:cs="Arial"/>
          <w:snapToGrid w:val="0"/>
          <w:color w:val="000000" w:themeColor="text1"/>
          <w:szCs w:val="18"/>
        </w:rPr>
        <w:t xml:space="preserve"> </w:t>
      </w:r>
      <w:r w:rsidR="006B4F5E" w:rsidRPr="000C3EE0">
        <w:rPr>
          <w:rFonts w:cs="Arial"/>
          <w:snapToGrid w:val="0"/>
          <w:color w:val="000000" w:themeColor="text1"/>
          <w:szCs w:val="18"/>
        </w:rPr>
        <w:t>calle 16 de Septiembre número</w:t>
      </w:r>
      <w:r w:rsidR="00997340">
        <w:rPr>
          <w:rFonts w:cs="Arial"/>
          <w:snapToGrid w:val="0"/>
          <w:color w:val="000000" w:themeColor="text1"/>
          <w:szCs w:val="18"/>
        </w:rPr>
        <w:t>s</w:t>
      </w:r>
      <w:r w:rsidR="006B4F5E" w:rsidRPr="000C3EE0">
        <w:rPr>
          <w:rFonts w:cs="Arial"/>
          <w:snapToGrid w:val="0"/>
          <w:color w:val="000000" w:themeColor="text1"/>
          <w:szCs w:val="18"/>
        </w:rPr>
        <w:t xml:space="preserve"> 38</w:t>
      </w:r>
      <w:r w:rsidR="00997340">
        <w:rPr>
          <w:rFonts w:cs="Arial"/>
          <w:snapToGrid w:val="0"/>
          <w:color w:val="000000" w:themeColor="text1"/>
          <w:szCs w:val="18"/>
        </w:rPr>
        <w:t xml:space="preserve"> y 40</w:t>
      </w:r>
      <w:r w:rsidR="006B4F5E" w:rsidRPr="000C3EE0">
        <w:rPr>
          <w:rFonts w:cs="Arial"/>
          <w:snapToGrid w:val="0"/>
          <w:color w:val="000000" w:themeColor="text1"/>
          <w:szCs w:val="18"/>
        </w:rPr>
        <w:t>,</w:t>
      </w:r>
      <w:r w:rsidR="0094215B">
        <w:rPr>
          <w:rFonts w:cs="Arial"/>
          <w:snapToGrid w:val="0"/>
          <w:color w:val="000000" w:themeColor="text1"/>
          <w:szCs w:val="18"/>
        </w:rPr>
        <w:t xml:space="preserve"> </w:t>
      </w:r>
      <w:r w:rsidR="006B4F5E" w:rsidRPr="000C3EE0">
        <w:rPr>
          <w:rFonts w:cs="Arial"/>
          <w:snapToGrid w:val="0"/>
          <w:color w:val="000000" w:themeColor="text1"/>
          <w:szCs w:val="18"/>
        </w:rPr>
        <w:t>colonia Centro, alcaldía Cuauhtémoc, código postal 060</w:t>
      </w:r>
      <w:r w:rsidR="00997340">
        <w:rPr>
          <w:rFonts w:cs="Arial"/>
          <w:snapToGrid w:val="0"/>
          <w:color w:val="000000" w:themeColor="text1"/>
          <w:szCs w:val="18"/>
        </w:rPr>
        <w:t>0</w:t>
      </w:r>
      <w:r w:rsidR="006B4F5E" w:rsidRPr="000C3EE0">
        <w:rPr>
          <w:rFonts w:cs="Arial"/>
          <w:snapToGrid w:val="0"/>
          <w:color w:val="000000" w:themeColor="text1"/>
          <w:szCs w:val="18"/>
        </w:rPr>
        <w:t>0, Ciudad de México</w:t>
      </w:r>
      <w:r w:rsidR="00997340">
        <w:rPr>
          <w:rFonts w:cs="Arial"/>
          <w:snapToGrid w:val="0"/>
          <w:color w:val="000000" w:themeColor="text1"/>
          <w:szCs w:val="18"/>
        </w:rPr>
        <w:t xml:space="preserve">, </w:t>
      </w:r>
      <w:r w:rsidR="00997340">
        <w:rPr>
          <w:rFonts w:cs="Arial"/>
          <w:color w:val="000000" w:themeColor="text1"/>
          <w:szCs w:val="18"/>
        </w:rPr>
        <w:t>en el caso de 16 de Septiembre número 40 y e</w:t>
      </w:r>
      <w:r w:rsidR="00997340" w:rsidRPr="00D609AB">
        <w:rPr>
          <w:rFonts w:cs="Arial"/>
          <w:color w:val="000000" w:themeColor="text1"/>
          <w:szCs w:val="18"/>
        </w:rPr>
        <w:t>dificio Bolívar</w:t>
      </w:r>
      <w:r w:rsidR="00997340" w:rsidRPr="00F90096">
        <w:rPr>
          <w:rFonts w:cs="Arial"/>
          <w:color w:val="000000" w:themeColor="text1"/>
          <w:szCs w:val="18"/>
        </w:rPr>
        <w:t>,</w:t>
      </w:r>
      <w:r w:rsidR="00997340" w:rsidRPr="00A06384">
        <w:rPr>
          <w:rFonts w:cs="Arial"/>
          <w:b/>
          <w:bCs/>
          <w:color w:val="000000" w:themeColor="text1"/>
          <w:szCs w:val="18"/>
        </w:rPr>
        <w:t xml:space="preserve"> </w:t>
      </w:r>
      <w:r w:rsidR="00997340" w:rsidRPr="00A06384">
        <w:rPr>
          <w:rFonts w:cs="Arial"/>
          <w:color w:val="000000" w:themeColor="text1"/>
          <w:szCs w:val="18"/>
        </w:rPr>
        <w:t>ubicado en calle Bolívar número 30, colonia Centro, alcaldía Cuauhtémoc, código postal 06000, Ciudad de México</w:t>
      </w:r>
      <w:r w:rsidR="00997340">
        <w:rPr>
          <w:rFonts w:cs="Arial"/>
          <w:color w:val="000000" w:themeColor="text1"/>
          <w:szCs w:val="18"/>
        </w:rPr>
        <w:t xml:space="preserve"> solo para efectos del levantamiento topográfico en términos del </w:t>
      </w:r>
      <w:r w:rsidR="00997340" w:rsidRPr="00F90096">
        <w:rPr>
          <w:rFonts w:cs="Arial"/>
          <w:color w:val="000000" w:themeColor="text1"/>
          <w:szCs w:val="18"/>
        </w:rPr>
        <w:t>Catálogo de Conceptos</w:t>
      </w:r>
      <w:r w:rsidR="00997340">
        <w:rPr>
          <w:rFonts w:cs="Arial"/>
          <w:color w:val="000000" w:themeColor="text1"/>
          <w:szCs w:val="18"/>
        </w:rPr>
        <w:t>.</w:t>
      </w:r>
    </w:p>
    <w:p w14:paraId="166EF7D9" w14:textId="77777777" w:rsidR="00471F00" w:rsidRPr="000C3EE0" w:rsidRDefault="00471F00" w:rsidP="006B4F5E">
      <w:pPr>
        <w:spacing w:before="120" w:after="60" w:line="288" w:lineRule="auto"/>
        <w:jc w:val="both"/>
        <w:rPr>
          <w:rFonts w:cs="Arial"/>
          <w:b/>
          <w:bCs/>
          <w:snapToGrid w:val="0"/>
          <w:color w:val="000000" w:themeColor="text1"/>
          <w:szCs w:val="18"/>
        </w:rPr>
      </w:pPr>
      <w:r w:rsidRPr="000C3EE0">
        <w:rPr>
          <w:rFonts w:cs="Arial"/>
          <w:b/>
          <w:bCs/>
          <w:snapToGrid w:val="0"/>
          <w:color w:val="000000" w:themeColor="text1"/>
          <w:szCs w:val="18"/>
        </w:rPr>
        <w:t>2. Calendario de eventos:</w:t>
      </w: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3101"/>
        <w:gridCol w:w="2711"/>
      </w:tblGrid>
      <w:tr w:rsidR="00CA2037" w:rsidRPr="000C3EE0" w14:paraId="491C1FAC" w14:textId="77777777" w:rsidTr="000662FB">
        <w:trPr>
          <w:trHeight w:val="561"/>
        </w:trPr>
        <w:tc>
          <w:tcPr>
            <w:tcW w:w="2410" w:type="dxa"/>
            <w:vAlign w:val="center"/>
          </w:tcPr>
          <w:p w14:paraId="3DCD0F35" w14:textId="77777777" w:rsidR="006E6AC9" w:rsidRPr="000C3EE0" w:rsidRDefault="006E6AC9" w:rsidP="005E6E66">
            <w:pPr>
              <w:spacing w:line="288" w:lineRule="auto"/>
              <w:jc w:val="center"/>
              <w:rPr>
                <w:rFonts w:cs="Arial"/>
                <w:bCs/>
                <w:snapToGrid w:val="0"/>
                <w:szCs w:val="18"/>
              </w:rPr>
            </w:pPr>
            <w:r w:rsidRPr="000C3EE0">
              <w:rPr>
                <w:rFonts w:eastAsia="Arial Unicode MS" w:cs="Arial"/>
                <w:bCs/>
                <w:szCs w:val="18"/>
              </w:rPr>
              <w:t>Periodo para obtener las Bases</w:t>
            </w:r>
          </w:p>
        </w:tc>
        <w:tc>
          <w:tcPr>
            <w:tcW w:w="2410" w:type="dxa"/>
            <w:vAlign w:val="center"/>
          </w:tcPr>
          <w:p w14:paraId="7ECD316D" w14:textId="77777777" w:rsidR="006E6AC9" w:rsidRPr="000C3EE0" w:rsidRDefault="006E6AC9" w:rsidP="005E6E66">
            <w:pPr>
              <w:spacing w:line="288" w:lineRule="auto"/>
              <w:jc w:val="center"/>
              <w:rPr>
                <w:rFonts w:cs="Arial"/>
                <w:bCs/>
                <w:snapToGrid w:val="0"/>
                <w:szCs w:val="18"/>
              </w:rPr>
            </w:pPr>
            <w:r w:rsidRPr="000C3EE0">
              <w:rPr>
                <w:rFonts w:eastAsia="Arial Unicode MS" w:cs="Arial"/>
                <w:bCs/>
                <w:szCs w:val="18"/>
              </w:rPr>
              <w:t>Límite para entrega de pliego de preguntas</w:t>
            </w:r>
          </w:p>
        </w:tc>
        <w:tc>
          <w:tcPr>
            <w:tcW w:w="3101" w:type="dxa"/>
            <w:vAlign w:val="center"/>
          </w:tcPr>
          <w:p w14:paraId="20EE2640" w14:textId="590CD4E0" w:rsidR="006E6AC9" w:rsidRPr="000C3EE0" w:rsidRDefault="006E6AC9" w:rsidP="005E6E66">
            <w:pPr>
              <w:spacing w:line="288" w:lineRule="auto"/>
              <w:jc w:val="center"/>
              <w:rPr>
                <w:rFonts w:cs="Arial"/>
                <w:bCs/>
                <w:snapToGrid w:val="0"/>
                <w:szCs w:val="18"/>
              </w:rPr>
            </w:pPr>
            <w:r w:rsidRPr="000C3EE0">
              <w:rPr>
                <w:rFonts w:eastAsia="Arial Unicode MS" w:cs="Arial"/>
                <w:bCs/>
                <w:szCs w:val="18"/>
              </w:rPr>
              <w:t>Visita a</w:t>
            </w:r>
            <w:r w:rsidR="00E77074">
              <w:rPr>
                <w:rFonts w:eastAsia="Arial Unicode MS" w:cs="Arial"/>
                <w:bCs/>
                <w:szCs w:val="18"/>
              </w:rPr>
              <w:t xml:space="preserve">l </w:t>
            </w:r>
            <w:r w:rsidRPr="000C3EE0">
              <w:rPr>
                <w:rFonts w:eastAsia="Arial Unicode MS" w:cs="Arial"/>
                <w:bCs/>
                <w:szCs w:val="18"/>
              </w:rPr>
              <w:t>sitio de prestación del servicio y junta de aclaraciones</w:t>
            </w:r>
          </w:p>
        </w:tc>
        <w:tc>
          <w:tcPr>
            <w:tcW w:w="2711" w:type="dxa"/>
            <w:vAlign w:val="center"/>
          </w:tcPr>
          <w:p w14:paraId="6B3E1E45" w14:textId="77777777" w:rsidR="006E6AC9" w:rsidRPr="000C3EE0" w:rsidRDefault="006E6AC9" w:rsidP="005E6E66">
            <w:pPr>
              <w:spacing w:line="288" w:lineRule="auto"/>
              <w:jc w:val="center"/>
              <w:rPr>
                <w:rFonts w:cs="Arial"/>
                <w:bCs/>
                <w:snapToGrid w:val="0"/>
                <w:szCs w:val="18"/>
              </w:rPr>
            </w:pPr>
            <w:r w:rsidRPr="000C3EE0">
              <w:rPr>
                <w:rFonts w:eastAsia="Arial Unicode MS" w:cs="Arial"/>
                <w:bCs/>
                <w:szCs w:val="18"/>
              </w:rPr>
              <w:t>Sesión de presentación y apertura de propuestas y entrega de documentación</w:t>
            </w:r>
          </w:p>
        </w:tc>
      </w:tr>
      <w:tr w:rsidR="006E6AC9" w:rsidRPr="000C3EE0" w14:paraId="3BA9EB20" w14:textId="77777777" w:rsidTr="000662FB">
        <w:trPr>
          <w:trHeight w:val="1369"/>
        </w:trPr>
        <w:tc>
          <w:tcPr>
            <w:tcW w:w="2410" w:type="dxa"/>
            <w:vAlign w:val="center"/>
          </w:tcPr>
          <w:p w14:paraId="56F7E4D2" w14:textId="631D43B8" w:rsidR="006E6AC9" w:rsidRPr="0015516C" w:rsidRDefault="006E6AC9" w:rsidP="005E6E66">
            <w:pPr>
              <w:spacing w:line="288" w:lineRule="auto"/>
              <w:ind w:firstLine="35"/>
              <w:jc w:val="center"/>
              <w:rPr>
                <w:rFonts w:cs="Arial"/>
                <w:b/>
                <w:bCs/>
                <w:snapToGrid w:val="0"/>
                <w:color w:val="000000" w:themeColor="text1"/>
                <w:szCs w:val="18"/>
              </w:rPr>
            </w:pPr>
            <w:r w:rsidRPr="0015516C">
              <w:rPr>
                <w:rFonts w:cs="Arial"/>
                <w:snapToGrid w:val="0"/>
                <w:szCs w:val="18"/>
              </w:rPr>
              <w:t xml:space="preserve">A partir del </w:t>
            </w:r>
            <w:r w:rsidR="00E77074">
              <w:rPr>
                <w:rFonts w:cs="Arial"/>
                <w:snapToGrid w:val="0"/>
                <w:szCs w:val="18"/>
              </w:rPr>
              <w:t>--</w:t>
            </w:r>
            <w:r w:rsidR="00597B53" w:rsidRPr="0015516C">
              <w:rPr>
                <w:rFonts w:cs="Arial"/>
                <w:snapToGrid w:val="0"/>
                <w:szCs w:val="18"/>
              </w:rPr>
              <w:t xml:space="preserve"> de </w:t>
            </w:r>
            <w:r w:rsidR="00E77074">
              <w:rPr>
                <w:rFonts w:cs="Arial"/>
                <w:snapToGrid w:val="0"/>
                <w:szCs w:val="18"/>
              </w:rPr>
              <w:t>----</w:t>
            </w:r>
            <w:r w:rsidR="00597B53" w:rsidRPr="0015516C">
              <w:rPr>
                <w:rFonts w:cs="Arial"/>
                <w:snapToGrid w:val="0"/>
                <w:szCs w:val="18"/>
              </w:rPr>
              <w:t xml:space="preserve"> de 202</w:t>
            </w:r>
            <w:r w:rsidR="00E77074">
              <w:rPr>
                <w:rFonts w:cs="Arial"/>
                <w:snapToGrid w:val="0"/>
                <w:szCs w:val="18"/>
              </w:rPr>
              <w:t>4</w:t>
            </w:r>
            <w:r w:rsidRPr="0015516C">
              <w:rPr>
                <w:rFonts w:cs="Arial"/>
                <w:snapToGrid w:val="0"/>
                <w:szCs w:val="18"/>
              </w:rPr>
              <w:t xml:space="preserve"> al </w:t>
            </w:r>
            <w:r w:rsidR="00E77074">
              <w:rPr>
                <w:rFonts w:cs="Arial"/>
                <w:snapToGrid w:val="0"/>
                <w:szCs w:val="18"/>
              </w:rPr>
              <w:t>--</w:t>
            </w:r>
            <w:r w:rsidRPr="0015516C">
              <w:rPr>
                <w:rFonts w:cs="Arial"/>
                <w:snapToGrid w:val="0"/>
                <w:szCs w:val="18"/>
              </w:rPr>
              <w:t xml:space="preserve"> de</w:t>
            </w:r>
            <w:r w:rsidR="00597B53" w:rsidRPr="0015516C">
              <w:rPr>
                <w:rFonts w:cs="Arial"/>
                <w:snapToGrid w:val="0"/>
                <w:szCs w:val="18"/>
              </w:rPr>
              <w:t xml:space="preserve"> </w:t>
            </w:r>
            <w:r w:rsidR="00E77074">
              <w:rPr>
                <w:rFonts w:cs="Arial"/>
                <w:snapToGrid w:val="0"/>
                <w:szCs w:val="18"/>
              </w:rPr>
              <w:t>----</w:t>
            </w:r>
            <w:r w:rsidRPr="0015516C">
              <w:rPr>
                <w:rFonts w:cs="Arial"/>
                <w:snapToGrid w:val="0"/>
                <w:szCs w:val="18"/>
              </w:rPr>
              <w:t xml:space="preserve"> de </w:t>
            </w:r>
            <w:r w:rsidR="00597B53" w:rsidRPr="0015516C">
              <w:rPr>
                <w:rFonts w:cs="Arial"/>
                <w:snapToGrid w:val="0"/>
                <w:szCs w:val="18"/>
              </w:rPr>
              <w:t>202</w:t>
            </w:r>
            <w:r w:rsidR="00E77074">
              <w:rPr>
                <w:rFonts w:cs="Arial"/>
                <w:snapToGrid w:val="0"/>
                <w:szCs w:val="18"/>
              </w:rPr>
              <w:t>4</w:t>
            </w:r>
            <w:r w:rsidR="00597B53" w:rsidRPr="0015516C">
              <w:rPr>
                <w:rFonts w:cs="Arial"/>
                <w:snapToGrid w:val="0"/>
                <w:szCs w:val="18"/>
              </w:rPr>
              <w:t xml:space="preserve"> a las </w:t>
            </w:r>
            <w:r w:rsidR="00997340">
              <w:rPr>
                <w:rFonts w:cs="Arial"/>
                <w:snapToGrid w:val="0"/>
                <w:szCs w:val="18"/>
              </w:rPr>
              <w:t>--</w:t>
            </w:r>
            <w:r w:rsidR="00597B53" w:rsidRPr="0015516C">
              <w:rPr>
                <w:rFonts w:cs="Arial"/>
                <w:snapToGrid w:val="0"/>
                <w:szCs w:val="18"/>
              </w:rPr>
              <w:t>:00 horas</w:t>
            </w:r>
          </w:p>
        </w:tc>
        <w:tc>
          <w:tcPr>
            <w:tcW w:w="2410" w:type="dxa"/>
            <w:vAlign w:val="center"/>
          </w:tcPr>
          <w:p w14:paraId="7F12363C" w14:textId="653A409F" w:rsidR="006E6AC9" w:rsidRPr="0015516C" w:rsidRDefault="00997340" w:rsidP="005E6E66">
            <w:pPr>
              <w:spacing w:line="288" w:lineRule="auto"/>
              <w:jc w:val="center"/>
              <w:rPr>
                <w:rFonts w:cs="Arial"/>
                <w:b/>
                <w:bCs/>
                <w:snapToGrid w:val="0"/>
                <w:color w:val="000000" w:themeColor="text1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--</w:t>
            </w:r>
            <w:r w:rsidR="006E6AC9" w:rsidRPr="0015516C">
              <w:rPr>
                <w:rFonts w:cs="Arial"/>
                <w:snapToGrid w:val="0"/>
                <w:szCs w:val="18"/>
              </w:rPr>
              <w:t xml:space="preserve"> de</w:t>
            </w:r>
            <w:r w:rsidR="00597B53" w:rsidRPr="0015516C">
              <w:rPr>
                <w:rFonts w:cs="Arial"/>
                <w:snapToGrid w:val="0"/>
                <w:szCs w:val="18"/>
              </w:rPr>
              <w:t xml:space="preserve"> </w:t>
            </w:r>
            <w:r w:rsidR="00E77074">
              <w:rPr>
                <w:rFonts w:cs="Arial"/>
                <w:snapToGrid w:val="0"/>
                <w:szCs w:val="18"/>
              </w:rPr>
              <w:t>---</w:t>
            </w:r>
            <w:r w:rsidR="005E6E66" w:rsidRPr="0015516C">
              <w:rPr>
                <w:rFonts w:cs="Arial"/>
                <w:snapToGrid w:val="0"/>
                <w:szCs w:val="18"/>
              </w:rPr>
              <w:t xml:space="preserve"> </w:t>
            </w:r>
            <w:r w:rsidR="006E6AC9" w:rsidRPr="0015516C">
              <w:rPr>
                <w:rFonts w:cs="Arial"/>
                <w:szCs w:val="18"/>
              </w:rPr>
              <w:t xml:space="preserve">de </w:t>
            </w:r>
            <w:r w:rsidR="00597B53" w:rsidRPr="0015516C">
              <w:rPr>
                <w:rFonts w:cs="Arial"/>
                <w:szCs w:val="18"/>
              </w:rPr>
              <w:t>202</w:t>
            </w:r>
            <w:r w:rsidR="00E77074">
              <w:rPr>
                <w:rFonts w:cs="Arial"/>
                <w:szCs w:val="18"/>
              </w:rPr>
              <w:t>4</w:t>
            </w:r>
            <w:r w:rsidR="006E6AC9" w:rsidRPr="0015516C">
              <w:rPr>
                <w:rFonts w:cs="Arial"/>
                <w:szCs w:val="18"/>
              </w:rPr>
              <w:t xml:space="preserve">, vía electrónica hasta las </w:t>
            </w:r>
            <w:r>
              <w:rPr>
                <w:rFonts w:cs="Arial"/>
                <w:szCs w:val="18"/>
              </w:rPr>
              <w:t>--</w:t>
            </w:r>
            <w:r w:rsidR="006E6AC9" w:rsidRPr="0015516C">
              <w:rPr>
                <w:rFonts w:cs="Arial"/>
                <w:szCs w:val="18"/>
              </w:rPr>
              <w:t>:</w:t>
            </w:r>
            <w:r w:rsidR="00597B53" w:rsidRPr="0015516C">
              <w:rPr>
                <w:rFonts w:cs="Arial"/>
                <w:szCs w:val="18"/>
              </w:rPr>
              <w:t>00</w:t>
            </w:r>
            <w:r w:rsidR="006E6AC9" w:rsidRPr="0015516C">
              <w:rPr>
                <w:rFonts w:cs="Arial"/>
                <w:szCs w:val="18"/>
              </w:rPr>
              <w:t xml:space="preserve"> horas</w:t>
            </w:r>
          </w:p>
        </w:tc>
        <w:tc>
          <w:tcPr>
            <w:tcW w:w="3101" w:type="dxa"/>
            <w:vAlign w:val="center"/>
          </w:tcPr>
          <w:p w14:paraId="76CC76C1" w14:textId="05BE4642" w:rsidR="006E6AC9" w:rsidRPr="00D82B5F" w:rsidRDefault="00997340" w:rsidP="00D82B5F">
            <w:pPr>
              <w:spacing w:before="120" w:line="288" w:lineRule="auto"/>
              <w:jc w:val="center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--</w:t>
            </w:r>
            <w:r w:rsidR="006E6AC9" w:rsidRPr="0015516C">
              <w:rPr>
                <w:rFonts w:cs="Arial"/>
                <w:snapToGrid w:val="0"/>
                <w:szCs w:val="18"/>
              </w:rPr>
              <w:t xml:space="preserve"> de </w:t>
            </w:r>
            <w:r w:rsidR="006A2DC1">
              <w:rPr>
                <w:rFonts w:cs="Arial"/>
                <w:snapToGrid w:val="0"/>
                <w:szCs w:val="18"/>
              </w:rPr>
              <w:t>----</w:t>
            </w:r>
            <w:r w:rsidR="006E6AC9" w:rsidRPr="0015516C">
              <w:rPr>
                <w:rFonts w:cs="Arial"/>
                <w:snapToGrid w:val="0"/>
                <w:szCs w:val="18"/>
              </w:rPr>
              <w:t xml:space="preserve"> de </w:t>
            </w:r>
            <w:r w:rsidR="00597B53" w:rsidRPr="0015516C">
              <w:rPr>
                <w:rFonts w:cs="Arial"/>
                <w:snapToGrid w:val="0"/>
                <w:szCs w:val="18"/>
              </w:rPr>
              <w:t>202</w:t>
            </w:r>
            <w:r w:rsidR="006A2DC1">
              <w:rPr>
                <w:rFonts w:cs="Arial"/>
                <w:snapToGrid w:val="0"/>
                <w:szCs w:val="18"/>
              </w:rPr>
              <w:t>4</w:t>
            </w:r>
            <w:r w:rsidR="006E6AC9" w:rsidRPr="0015516C">
              <w:rPr>
                <w:rFonts w:cs="Arial"/>
                <w:snapToGrid w:val="0"/>
                <w:szCs w:val="18"/>
              </w:rPr>
              <w:t xml:space="preserve"> a la</w:t>
            </w:r>
            <w:r>
              <w:rPr>
                <w:rFonts w:cs="Arial"/>
                <w:snapToGrid w:val="0"/>
                <w:szCs w:val="18"/>
              </w:rPr>
              <w:t>s</w:t>
            </w:r>
            <w:r w:rsidR="006E6AC9" w:rsidRPr="0015516C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--</w:t>
            </w:r>
            <w:r w:rsidR="006E6AC9" w:rsidRPr="0015516C">
              <w:rPr>
                <w:rFonts w:cs="Arial"/>
                <w:snapToGrid w:val="0"/>
                <w:szCs w:val="18"/>
              </w:rPr>
              <w:t>:</w:t>
            </w:r>
            <w:r w:rsidR="00597B53" w:rsidRPr="0015516C">
              <w:rPr>
                <w:rFonts w:cs="Arial"/>
                <w:snapToGrid w:val="0"/>
                <w:szCs w:val="18"/>
              </w:rPr>
              <w:t>00</w:t>
            </w:r>
            <w:r>
              <w:rPr>
                <w:rFonts w:cs="Arial"/>
                <w:snapToGrid w:val="0"/>
                <w:szCs w:val="18"/>
              </w:rPr>
              <w:t xml:space="preserve"> </w:t>
            </w:r>
            <w:r w:rsidR="006E6AC9" w:rsidRPr="0015516C">
              <w:rPr>
                <w:rFonts w:cs="Arial"/>
                <w:snapToGrid w:val="0"/>
                <w:szCs w:val="18"/>
              </w:rPr>
              <w:t xml:space="preserve">horas </w:t>
            </w:r>
            <w:r>
              <w:rPr>
                <w:rFonts w:cs="Arial"/>
                <w:snapToGrid w:val="0"/>
                <w:szCs w:val="18"/>
              </w:rPr>
              <w:t xml:space="preserve"> y al término de la visita al sitio de prestación del servicio </w:t>
            </w:r>
            <w:r w:rsidRPr="0015516C">
              <w:rPr>
                <w:rFonts w:cs="Arial"/>
                <w:snapToGrid w:val="0"/>
                <w:szCs w:val="18"/>
              </w:rPr>
              <w:t>en calle 16 de Septiembre número 38, colonia Centro, alcaldía Cuauhtémoc, código postal 060</w:t>
            </w:r>
            <w:r>
              <w:rPr>
                <w:rFonts w:cs="Arial"/>
                <w:snapToGrid w:val="0"/>
                <w:szCs w:val="18"/>
              </w:rPr>
              <w:t>0</w:t>
            </w:r>
            <w:r w:rsidRPr="0015516C">
              <w:rPr>
                <w:rFonts w:cs="Arial"/>
                <w:snapToGrid w:val="0"/>
                <w:szCs w:val="18"/>
              </w:rPr>
              <w:t>0, Ciudad de México</w:t>
            </w:r>
          </w:p>
        </w:tc>
        <w:tc>
          <w:tcPr>
            <w:tcW w:w="2711" w:type="dxa"/>
            <w:vAlign w:val="center"/>
          </w:tcPr>
          <w:p w14:paraId="735915E5" w14:textId="0CBED17D" w:rsidR="006E6AC9" w:rsidRPr="000C3EE0" w:rsidRDefault="00997340" w:rsidP="000C3EE0">
            <w:pPr>
              <w:spacing w:line="288" w:lineRule="auto"/>
              <w:jc w:val="center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--</w:t>
            </w:r>
            <w:r w:rsidR="006E6AC9" w:rsidRPr="00DF24B8">
              <w:rPr>
                <w:rFonts w:cs="Arial"/>
                <w:snapToGrid w:val="0"/>
                <w:szCs w:val="18"/>
              </w:rPr>
              <w:t xml:space="preserve"> de </w:t>
            </w:r>
            <w:r w:rsidR="009E4F02">
              <w:rPr>
                <w:rFonts w:cs="Arial"/>
                <w:snapToGrid w:val="0"/>
                <w:szCs w:val="18"/>
              </w:rPr>
              <w:t>----</w:t>
            </w:r>
            <w:r w:rsidR="006E6AC9" w:rsidRPr="00DF24B8">
              <w:rPr>
                <w:rFonts w:cs="Arial"/>
                <w:snapToGrid w:val="0"/>
                <w:szCs w:val="18"/>
              </w:rPr>
              <w:t xml:space="preserve"> de </w:t>
            </w:r>
            <w:r w:rsidR="00B2605C" w:rsidRPr="00DF24B8">
              <w:rPr>
                <w:rFonts w:cs="Arial"/>
                <w:snapToGrid w:val="0"/>
                <w:szCs w:val="18"/>
              </w:rPr>
              <w:t>202</w:t>
            </w:r>
            <w:r w:rsidR="00624302" w:rsidRPr="00DF24B8">
              <w:rPr>
                <w:rFonts w:cs="Arial"/>
                <w:snapToGrid w:val="0"/>
                <w:szCs w:val="18"/>
              </w:rPr>
              <w:t>4</w:t>
            </w:r>
            <w:r w:rsidR="000C3EE0" w:rsidRPr="00DF24B8">
              <w:rPr>
                <w:rFonts w:cs="Arial"/>
                <w:snapToGrid w:val="0"/>
                <w:szCs w:val="18"/>
              </w:rPr>
              <w:t xml:space="preserve"> </w:t>
            </w:r>
            <w:r w:rsidR="006E6AC9" w:rsidRPr="00DF24B8">
              <w:rPr>
                <w:rFonts w:cs="Arial"/>
                <w:snapToGrid w:val="0"/>
                <w:szCs w:val="18"/>
              </w:rPr>
              <w:t xml:space="preserve">a las </w:t>
            </w:r>
            <w:r>
              <w:rPr>
                <w:rFonts w:cs="Arial"/>
                <w:snapToGrid w:val="0"/>
                <w:szCs w:val="18"/>
              </w:rPr>
              <w:t>--</w:t>
            </w:r>
            <w:r w:rsidR="006E6AC9" w:rsidRPr="00DF24B8">
              <w:rPr>
                <w:rFonts w:cs="Arial"/>
                <w:snapToGrid w:val="0"/>
                <w:szCs w:val="18"/>
              </w:rPr>
              <w:t>:</w:t>
            </w:r>
            <w:r w:rsidR="00B2605C" w:rsidRPr="00DF24B8">
              <w:rPr>
                <w:rFonts w:cs="Arial"/>
                <w:snapToGrid w:val="0"/>
                <w:szCs w:val="18"/>
              </w:rPr>
              <w:t>00</w:t>
            </w:r>
            <w:r w:rsidR="006E6AC9" w:rsidRPr="00DF24B8">
              <w:rPr>
                <w:rFonts w:cs="Arial"/>
                <w:snapToGrid w:val="0"/>
                <w:szCs w:val="18"/>
              </w:rPr>
              <w:t xml:space="preserve"> horas en </w:t>
            </w:r>
            <w:r w:rsidR="00B2605C" w:rsidRPr="00DF24B8">
              <w:rPr>
                <w:rFonts w:cs="Arial"/>
                <w:snapToGrid w:val="0"/>
                <w:szCs w:val="18"/>
              </w:rPr>
              <w:t>calle 16 de Septiembre número 38, colonia Centro, alcaldía Cuauhtémoc, código postal 060</w:t>
            </w:r>
            <w:r>
              <w:rPr>
                <w:rFonts w:cs="Arial"/>
                <w:snapToGrid w:val="0"/>
                <w:szCs w:val="18"/>
              </w:rPr>
              <w:t>0</w:t>
            </w:r>
            <w:r w:rsidR="00B2605C" w:rsidRPr="00DF24B8">
              <w:rPr>
                <w:rFonts w:cs="Arial"/>
                <w:snapToGrid w:val="0"/>
                <w:szCs w:val="18"/>
              </w:rPr>
              <w:t>0, Ciudad de México.</w:t>
            </w:r>
          </w:p>
        </w:tc>
      </w:tr>
    </w:tbl>
    <w:p w14:paraId="2099B597" w14:textId="77777777" w:rsidR="00471F00" w:rsidRPr="000C3EE0" w:rsidRDefault="00471F00" w:rsidP="005E6E66">
      <w:pPr>
        <w:spacing w:line="288" w:lineRule="auto"/>
        <w:jc w:val="both"/>
        <w:rPr>
          <w:rFonts w:cs="Arial"/>
          <w:snapToGrid w:val="0"/>
          <w:color w:val="000000" w:themeColor="text1"/>
          <w:szCs w:val="18"/>
        </w:rPr>
      </w:pPr>
    </w:p>
    <w:p w14:paraId="43D83420" w14:textId="70121D38" w:rsidR="00471F00" w:rsidRPr="000C3EE0" w:rsidRDefault="00471F00" w:rsidP="005E6E66">
      <w:pPr>
        <w:spacing w:line="288" w:lineRule="auto"/>
        <w:jc w:val="both"/>
        <w:rPr>
          <w:rFonts w:cs="Arial"/>
          <w:snapToGrid w:val="0"/>
          <w:color w:val="000000" w:themeColor="text1"/>
          <w:szCs w:val="18"/>
        </w:rPr>
      </w:pPr>
      <w:r w:rsidRPr="000C3EE0">
        <w:rPr>
          <w:rFonts w:cs="Arial"/>
          <w:snapToGrid w:val="0"/>
          <w:color w:val="000000" w:themeColor="text1"/>
          <w:szCs w:val="18"/>
        </w:rPr>
        <w:t xml:space="preserve">La Convocatoria, Bases y sus anexos podrán obtenerse sin costo alguno a partir del </w:t>
      </w:r>
      <w:r w:rsidR="00C00C65">
        <w:rPr>
          <w:rFonts w:cs="Arial"/>
          <w:snapToGrid w:val="0"/>
          <w:color w:val="000000" w:themeColor="text1"/>
          <w:szCs w:val="18"/>
        </w:rPr>
        <w:t>----</w:t>
      </w:r>
      <w:r w:rsidR="00D97CCB">
        <w:rPr>
          <w:rFonts w:cs="Arial"/>
          <w:snapToGrid w:val="0"/>
          <w:color w:val="000000" w:themeColor="text1"/>
          <w:szCs w:val="18"/>
        </w:rPr>
        <w:t xml:space="preserve"> </w:t>
      </w:r>
      <w:r w:rsidRPr="000C3EE0">
        <w:rPr>
          <w:rFonts w:cs="Arial"/>
          <w:snapToGrid w:val="0"/>
          <w:color w:val="000000" w:themeColor="text1"/>
          <w:szCs w:val="18"/>
        </w:rPr>
        <w:t>de</w:t>
      </w:r>
      <w:r w:rsidR="00D97CCB">
        <w:rPr>
          <w:rFonts w:cs="Arial"/>
          <w:snapToGrid w:val="0"/>
          <w:color w:val="000000" w:themeColor="text1"/>
          <w:szCs w:val="18"/>
        </w:rPr>
        <w:t xml:space="preserve"> </w:t>
      </w:r>
      <w:r w:rsidR="00C00C65">
        <w:rPr>
          <w:rFonts w:cs="Arial"/>
          <w:snapToGrid w:val="0"/>
          <w:color w:val="000000" w:themeColor="text1"/>
          <w:szCs w:val="18"/>
        </w:rPr>
        <w:t>-----</w:t>
      </w:r>
      <w:r w:rsidRPr="000C3EE0">
        <w:rPr>
          <w:rFonts w:cs="Arial"/>
          <w:snapToGrid w:val="0"/>
          <w:color w:val="000000" w:themeColor="text1"/>
          <w:szCs w:val="18"/>
        </w:rPr>
        <w:t xml:space="preserve"> de </w:t>
      </w:r>
      <w:r w:rsidR="00D97CCB">
        <w:rPr>
          <w:rFonts w:cs="Arial"/>
          <w:snapToGrid w:val="0"/>
          <w:color w:val="000000" w:themeColor="text1"/>
          <w:szCs w:val="18"/>
        </w:rPr>
        <w:t>dos mil veint</w:t>
      </w:r>
      <w:r w:rsidR="0015516C">
        <w:rPr>
          <w:rFonts w:cs="Arial"/>
          <w:snapToGrid w:val="0"/>
          <w:color w:val="000000" w:themeColor="text1"/>
          <w:szCs w:val="18"/>
        </w:rPr>
        <w:t>i</w:t>
      </w:r>
      <w:r w:rsidR="00C00C65">
        <w:rPr>
          <w:rFonts w:cs="Arial"/>
          <w:snapToGrid w:val="0"/>
          <w:color w:val="000000" w:themeColor="text1"/>
          <w:szCs w:val="18"/>
        </w:rPr>
        <w:t>cuatro</w:t>
      </w:r>
      <w:r w:rsidRPr="000C3EE0">
        <w:rPr>
          <w:rFonts w:cs="Arial"/>
          <w:snapToGrid w:val="0"/>
          <w:color w:val="000000" w:themeColor="text1"/>
          <w:szCs w:val="18"/>
        </w:rPr>
        <w:t>, descargándolos en la página de Internet de la Suprema Corte de Justicia de la Nación, en la dirección electrónica</w:t>
      </w:r>
      <w:r w:rsidR="000C3EE0" w:rsidRPr="000C3EE0">
        <w:rPr>
          <w:rFonts w:cs="Arial"/>
          <w:snapToGrid w:val="0"/>
          <w:color w:val="000000" w:themeColor="text1"/>
          <w:szCs w:val="18"/>
        </w:rPr>
        <w:t xml:space="preserve"> </w:t>
      </w:r>
      <w:hyperlink r:id="rId7" w:history="1">
        <w:r w:rsidR="000C3EE0" w:rsidRPr="000C3EE0">
          <w:rPr>
            <w:rStyle w:val="Hipervnculo"/>
            <w:rFonts w:cs="Arial"/>
            <w:snapToGrid w:val="0"/>
            <w:szCs w:val="18"/>
          </w:rPr>
          <w:t>https://www.scjn.gob.mx/transparencia/obligaciones-de-transparencia/procedimientos-contratacion-vigentes</w:t>
        </w:r>
      </w:hyperlink>
      <w:r w:rsidRPr="000C3EE0">
        <w:rPr>
          <w:rFonts w:cs="Arial"/>
          <w:snapToGrid w:val="0"/>
          <w:color w:val="000000" w:themeColor="text1"/>
          <w:szCs w:val="18"/>
        </w:rPr>
        <w:t>, a partir de la fecha indicada.</w:t>
      </w:r>
    </w:p>
    <w:p w14:paraId="58549A66" w14:textId="77777777" w:rsidR="00471F00" w:rsidRPr="000C3EE0" w:rsidRDefault="00471F00" w:rsidP="003F774A">
      <w:pPr>
        <w:spacing w:before="120" w:after="60" w:line="288" w:lineRule="auto"/>
        <w:jc w:val="both"/>
        <w:rPr>
          <w:rFonts w:cs="Arial"/>
          <w:b/>
          <w:bCs/>
          <w:snapToGrid w:val="0"/>
          <w:color w:val="000000" w:themeColor="text1"/>
          <w:szCs w:val="18"/>
        </w:rPr>
      </w:pPr>
      <w:r w:rsidRPr="000C3EE0">
        <w:rPr>
          <w:rFonts w:cs="Arial"/>
          <w:b/>
          <w:bCs/>
          <w:snapToGrid w:val="0"/>
          <w:color w:val="000000" w:themeColor="text1"/>
          <w:szCs w:val="18"/>
        </w:rPr>
        <w:t>3. Otras consideraciones:</w:t>
      </w:r>
    </w:p>
    <w:p w14:paraId="40B40EAD" w14:textId="0F776268" w:rsidR="00471F00" w:rsidRPr="000662FB" w:rsidRDefault="00471F00" w:rsidP="00983BF8">
      <w:pPr>
        <w:spacing w:before="120" w:after="120" w:line="288" w:lineRule="auto"/>
        <w:jc w:val="both"/>
        <w:rPr>
          <w:rFonts w:cs="Arial"/>
          <w:snapToGrid w:val="0"/>
          <w:color w:val="000000" w:themeColor="text1"/>
          <w:szCs w:val="18"/>
        </w:rPr>
      </w:pPr>
      <w:r w:rsidRPr="000C3EE0">
        <w:rPr>
          <w:rFonts w:cs="Arial"/>
          <w:snapToGrid w:val="0"/>
          <w:color w:val="000000" w:themeColor="text1"/>
          <w:szCs w:val="18"/>
        </w:rPr>
        <w:t xml:space="preserve">El plazo de ejecución será </w:t>
      </w:r>
      <w:bookmarkStart w:id="1" w:name="_Hlk153192625"/>
      <w:bookmarkStart w:id="2" w:name="_Hlk150855065"/>
      <w:bookmarkStart w:id="3" w:name="_Hlk153192358"/>
      <w:r w:rsidRPr="000C3EE0">
        <w:rPr>
          <w:rFonts w:cs="Arial"/>
          <w:snapToGrid w:val="0"/>
          <w:color w:val="000000" w:themeColor="text1"/>
          <w:szCs w:val="18"/>
        </w:rPr>
        <w:t>de</w:t>
      </w:r>
      <w:r w:rsidR="002055B8">
        <w:rPr>
          <w:rFonts w:cs="Arial"/>
          <w:snapToGrid w:val="0"/>
          <w:color w:val="000000" w:themeColor="text1"/>
          <w:szCs w:val="18"/>
        </w:rPr>
        <w:t>l</w:t>
      </w:r>
      <w:r w:rsidRPr="000C3EE0">
        <w:rPr>
          <w:rFonts w:cs="Arial"/>
          <w:snapToGrid w:val="0"/>
          <w:color w:val="000000" w:themeColor="text1"/>
          <w:szCs w:val="18"/>
        </w:rPr>
        <w:t xml:space="preserve"> día hábil siguiente a la</w:t>
      </w:r>
      <w:bookmarkStart w:id="4" w:name="_Hlk153188619"/>
      <w:bookmarkEnd w:id="1"/>
      <w:r w:rsidR="00EF64BE">
        <w:rPr>
          <w:rFonts w:cs="Arial"/>
          <w:snapToGrid w:val="0"/>
          <w:color w:val="000000" w:themeColor="text1"/>
          <w:szCs w:val="18"/>
        </w:rPr>
        <w:t xml:space="preserve"> </w:t>
      </w:r>
      <w:r w:rsidR="00EF64BE" w:rsidRPr="00EF64BE">
        <w:rPr>
          <w:rFonts w:cs="Arial"/>
          <w:snapToGrid w:val="0"/>
          <w:color w:val="000000" w:themeColor="text1"/>
          <w:szCs w:val="18"/>
        </w:rPr>
        <w:t xml:space="preserve">entrega de </w:t>
      </w:r>
      <w:r w:rsidR="00997340">
        <w:rPr>
          <w:rFonts w:cs="Arial"/>
          <w:snapToGrid w:val="0"/>
          <w:color w:val="000000" w:themeColor="text1"/>
          <w:szCs w:val="18"/>
        </w:rPr>
        <w:t>las garantías</w:t>
      </w:r>
      <w:r w:rsidR="00EF64BE" w:rsidRPr="00EF64BE">
        <w:rPr>
          <w:rFonts w:cs="Arial"/>
          <w:snapToGrid w:val="0"/>
          <w:color w:val="000000" w:themeColor="text1"/>
          <w:szCs w:val="18"/>
        </w:rPr>
        <w:t xml:space="preserve"> y hasta el </w:t>
      </w:r>
      <w:r w:rsidR="00EF64BE">
        <w:rPr>
          <w:rFonts w:cs="Arial"/>
          <w:snapToGrid w:val="0"/>
          <w:color w:val="000000" w:themeColor="text1"/>
          <w:szCs w:val="18"/>
        </w:rPr>
        <w:t xml:space="preserve">treinta y uno </w:t>
      </w:r>
      <w:r w:rsidR="00EF64BE" w:rsidRPr="00EF64BE">
        <w:rPr>
          <w:rFonts w:cs="Arial"/>
          <w:snapToGrid w:val="0"/>
          <w:color w:val="000000" w:themeColor="text1"/>
          <w:szCs w:val="18"/>
        </w:rPr>
        <w:t>de diciembre de</w:t>
      </w:r>
      <w:r w:rsidR="00EF64BE">
        <w:rPr>
          <w:rFonts w:cs="Arial"/>
          <w:snapToGrid w:val="0"/>
          <w:color w:val="000000" w:themeColor="text1"/>
          <w:szCs w:val="18"/>
        </w:rPr>
        <w:t xml:space="preserve"> dos mil veinticuatro</w:t>
      </w:r>
      <w:r w:rsidRPr="000C3EE0">
        <w:rPr>
          <w:rFonts w:cs="Arial"/>
          <w:snapToGrid w:val="0"/>
          <w:color w:val="000000" w:themeColor="text1"/>
          <w:szCs w:val="18"/>
        </w:rPr>
        <w:t>.</w:t>
      </w:r>
      <w:bookmarkEnd w:id="2"/>
      <w:bookmarkEnd w:id="3"/>
      <w:r w:rsidRPr="000C3EE0">
        <w:rPr>
          <w:rFonts w:cs="Arial"/>
          <w:snapToGrid w:val="0"/>
          <w:color w:val="000000" w:themeColor="text1"/>
          <w:szCs w:val="18"/>
        </w:rPr>
        <w:t xml:space="preserve"> </w:t>
      </w:r>
      <w:bookmarkEnd w:id="4"/>
      <w:r w:rsidRPr="009D5E83">
        <w:rPr>
          <w:rFonts w:cs="Arial"/>
          <w:snapToGrid w:val="0"/>
          <w:color w:val="000000" w:themeColor="text1"/>
          <w:szCs w:val="18"/>
        </w:rPr>
        <w:t>Las condiciones de pago será</w:t>
      </w:r>
      <w:bookmarkStart w:id="5" w:name="_Hlk150855120"/>
      <w:r w:rsidR="000662FB">
        <w:rPr>
          <w:rFonts w:cs="Arial"/>
          <w:snapToGrid w:val="0"/>
          <w:color w:val="000000" w:themeColor="text1"/>
          <w:szCs w:val="18"/>
        </w:rPr>
        <w:t xml:space="preserve">n </w:t>
      </w:r>
      <w:bookmarkStart w:id="6" w:name="_Hlk153188665"/>
      <w:r w:rsidR="000662FB" w:rsidRPr="000662FB">
        <w:rPr>
          <w:rFonts w:cs="Arial"/>
          <w:snapToGrid w:val="0"/>
          <w:color w:val="000000" w:themeColor="text1"/>
          <w:szCs w:val="18"/>
        </w:rPr>
        <w:t>mediante estimaciones mensuales por</w:t>
      </w:r>
      <w:r w:rsidR="009C4FFB">
        <w:rPr>
          <w:rFonts w:cs="Arial"/>
          <w:snapToGrid w:val="0"/>
          <w:color w:val="000000" w:themeColor="text1"/>
          <w:szCs w:val="18"/>
        </w:rPr>
        <w:t xml:space="preserve"> </w:t>
      </w:r>
      <w:r w:rsidR="009C4FFB" w:rsidRPr="009C4FFB">
        <w:rPr>
          <w:rFonts w:cs="Arial"/>
          <w:snapToGrid w:val="0"/>
          <w:color w:val="000000" w:themeColor="text1"/>
          <w:szCs w:val="18"/>
        </w:rPr>
        <w:t>volumen de trabajo ejecutado</w:t>
      </w:r>
      <w:r w:rsidR="000662FB" w:rsidRPr="000662FB">
        <w:rPr>
          <w:rFonts w:cs="Arial"/>
          <w:snapToGrid w:val="0"/>
          <w:color w:val="000000" w:themeColor="text1"/>
          <w:szCs w:val="18"/>
        </w:rPr>
        <w:t xml:space="preserve"> y a entera satisfacción de la Suprema Corte de Justicia de la Nación</w:t>
      </w:r>
      <w:bookmarkEnd w:id="6"/>
      <w:r w:rsidR="000662FB" w:rsidRPr="000662FB">
        <w:rPr>
          <w:rFonts w:cs="Arial"/>
          <w:snapToGrid w:val="0"/>
          <w:color w:val="000000" w:themeColor="text1"/>
          <w:szCs w:val="18"/>
        </w:rPr>
        <w:t>.</w:t>
      </w:r>
      <w:bookmarkEnd w:id="5"/>
      <w:r w:rsidR="000662FB">
        <w:rPr>
          <w:rFonts w:cs="Arial"/>
          <w:snapToGrid w:val="0"/>
          <w:color w:val="000000" w:themeColor="text1"/>
          <w:szCs w:val="18"/>
        </w:rPr>
        <w:t xml:space="preserve"> </w:t>
      </w:r>
      <w:r w:rsidRPr="000C3EE0">
        <w:rPr>
          <w:rFonts w:cs="Arial"/>
          <w:snapToGrid w:val="0"/>
          <w:color w:val="000000" w:themeColor="text1"/>
          <w:szCs w:val="18"/>
        </w:rPr>
        <w:t xml:space="preserve">Cabe señalar que se no permitirá la subcontratación en ninguno de los trabajos indicados en </w:t>
      </w:r>
      <w:r w:rsidR="00EB455F">
        <w:rPr>
          <w:rFonts w:cs="Arial"/>
          <w:snapToGrid w:val="0"/>
          <w:color w:val="000000" w:themeColor="text1"/>
          <w:szCs w:val="18"/>
        </w:rPr>
        <w:t>el</w:t>
      </w:r>
      <w:r w:rsidRPr="000C3EE0">
        <w:rPr>
          <w:rFonts w:cs="Arial"/>
          <w:snapToGrid w:val="0"/>
          <w:color w:val="000000" w:themeColor="text1"/>
          <w:szCs w:val="18"/>
        </w:rPr>
        <w:t xml:space="preserve"> catálogo de conceptos. Las propuestas técnica y económica deberán presentarse en idioma español, firmadas por el representante legal. Los criterios de evaluación y adjudicación se describen en las </w:t>
      </w:r>
      <w:r w:rsidR="00302632" w:rsidRPr="000C3EE0">
        <w:rPr>
          <w:rFonts w:cs="Arial"/>
          <w:snapToGrid w:val="0"/>
          <w:color w:val="000000" w:themeColor="text1"/>
          <w:szCs w:val="18"/>
        </w:rPr>
        <w:t>B</w:t>
      </w:r>
      <w:r w:rsidRPr="000C3EE0">
        <w:rPr>
          <w:rFonts w:cs="Arial"/>
          <w:snapToGrid w:val="0"/>
          <w:color w:val="000000" w:themeColor="text1"/>
          <w:szCs w:val="18"/>
        </w:rPr>
        <w:t xml:space="preserve">ases. </w:t>
      </w:r>
    </w:p>
    <w:p w14:paraId="7EFD95CB" w14:textId="0EF4E468" w:rsidR="00471F00" w:rsidRPr="000C3EE0" w:rsidRDefault="00471F00" w:rsidP="00983BF8">
      <w:pPr>
        <w:spacing w:before="120" w:after="120" w:line="288" w:lineRule="auto"/>
        <w:jc w:val="both"/>
        <w:rPr>
          <w:rFonts w:cs="Arial"/>
          <w:snapToGrid w:val="0"/>
          <w:color w:val="000000" w:themeColor="text1"/>
          <w:szCs w:val="18"/>
        </w:rPr>
      </w:pPr>
      <w:r w:rsidRPr="000C3EE0">
        <w:rPr>
          <w:rFonts w:cs="Arial"/>
          <w:snapToGrid w:val="0"/>
          <w:color w:val="000000" w:themeColor="text1"/>
          <w:szCs w:val="18"/>
        </w:rPr>
        <w:t xml:space="preserve">Las condiciones y requisitos exigidos en las </w:t>
      </w:r>
      <w:r w:rsidR="00302632" w:rsidRPr="000C3EE0">
        <w:rPr>
          <w:rFonts w:cs="Arial"/>
          <w:snapToGrid w:val="0"/>
          <w:color w:val="000000" w:themeColor="text1"/>
          <w:szCs w:val="18"/>
        </w:rPr>
        <w:t>B</w:t>
      </w:r>
      <w:r w:rsidRPr="000C3EE0">
        <w:rPr>
          <w:rFonts w:cs="Arial"/>
          <w:snapToGrid w:val="0"/>
          <w:color w:val="000000" w:themeColor="text1"/>
          <w:szCs w:val="18"/>
        </w:rPr>
        <w:t xml:space="preserve">ases y propuestas no serán negociables en ningún caso. Cualquier persona podrá asistir a los diferentes actos públicos del concurso en calidad de observador, sin obtener las </w:t>
      </w:r>
      <w:r w:rsidR="00302632" w:rsidRPr="000C3EE0">
        <w:rPr>
          <w:rFonts w:cs="Arial"/>
          <w:snapToGrid w:val="0"/>
          <w:color w:val="000000" w:themeColor="text1"/>
          <w:szCs w:val="18"/>
        </w:rPr>
        <w:t>B</w:t>
      </w:r>
      <w:r w:rsidRPr="000C3EE0">
        <w:rPr>
          <w:rFonts w:cs="Arial"/>
          <w:snapToGrid w:val="0"/>
          <w:color w:val="000000" w:themeColor="text1"/>
          <w:szCs w:val="18"/>
        </w:rPr>
        <w:t>ases, registrándose previo a la celebración de los actos vía electrónica, ante el servidor público responsable de la conducción de esa sesión. El fallo será notificado en sesión pública e insertado en la página de internet donde se publica la convocatoria del concurso.</w:t>
      </w:r>
    </w:p>
    <w:p w14:paraId="256D00AA" w14:textId="77777777" w:rsidR="005A689E" w:rsidRPr="000C3EE0" w:rsidRDefault="005A689E" w:rsidP="005E6E66">
      <w:pPr>
        <w:spacing w:line="288" w:lineRule="auto"/>
        <w:jc w:val="both"/>
        <w:rPr>
          <w:rFonts w:cs="Arial"/>
          <w:snapToGrid w:val="0"/>
          <w:szCs w:val="18"/>
        </w:rPr>
      </w:pPr>
    </w:p>
    <w:p w14:paraId="61BF44FC" w14:textId="77777777" w:rsidR="005A689E" w:rsidRPr="000C3EE0" w:rsidRDefault="005A689E" w:rsidP="005E6E66">
      <w:pPr>
        <w:tabs>
          <w:tab w:val="left" w:pos="21263"/>
        </w:tabs>
        <w:spacing w:line="288" w:lineRule="auto"/>
        <w:ind w:right="346"/>
        <w:jc w:val="center"/>
        <w:rPr>
          <w:rFonts w:cs="Arial"/>
          <w:b/>
          <w:snapToGrid w:val="0"/>
          <w:color w:val="000000" w:themeColor="text1"/>
          <w:szCs w:val="18"/>
          <w:lang w:val="es-ES_tradnl"/>
        </w:rPr>
      </w:pPr>
      <w:bookmarkStart w:id="7" w:name="_Toc425156201"/>
      <w:bookmarkStart w:id="8" w:name="_Toc425156513"/>
      <w:bookmarkStart w:id="9" w:name="_Toc430793757"/>
      <w:bookmarkStart w:id="10" w:name="_Toc437591038"/>
      <w:bookmarkStart w:id="11" w:name="_Toc441511292"/>
      <w:bookmarkStart w:id="12" w:name="_Toc442175522"/>
      <w:bookmarkStart w:id="13" w:name="_Toc11682680"/>
      <w:bookmarkStart w:id="14" w:name="_Hlk52932646"/>
      <w:r w:rsidRPr="000C3EE0">
        <w:rPr>
          <w:rFonts w:cs="Arial"/>
          <w:b/>
          <w:snapToGrid w:val="0"/>
          <w:color w:val="000000" w:themeColor="text1"/>
          <w:szCs w:val="18"/>
          <w:lang w:val="es-ES_tradnl"/>
        </w:rPr>
        <w:t>Atentamente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01C65F7A" w14:textId="77777777" w:rsidR="005A689E" w:rsidRPr="000C3EE0" w:rsidRDefault="005A689E" w:rsidP="005E6E66">
      <w:pPr>
        <w:spacing w:line="288" w:lineRule="auto"/>
        <w:jc w:val="center"/>
        <w:rPr>
          <w:rFonts w:cs="Arial"/>
          <w:b/>
          <w:snapToGrid w:val="0"/>
          <w:color w:val="000000" w:themeColor="text1"/>
          <w:szCs w:val="18"/>
          <w:lang w:val="es-ES_tradnl"/>
        </w:rPr>
      </w:pPr>
      <w:bookmarkStart w:id="15" w:name="_Toc425156202"/>
      <w:bookmarkStart w:id="16" w:name="_Toc425156514"/>
      <w:bookmarkStart w:id="17" w:name="_Toc430793758"/>
      <w:bookmarkStart w:id="18" w:name="_Toc437591039"/>
      <w:bookmarkStart w:id="19" w:name="_Toc441511293"/>
      <w:bookmarkStart w:id="20" w:name="_Toc442175523"/>
      <w:bookmarkStart w:id="21" w:name="_Toc11682681"/>
      <w:r w:rsidRPr="000C3EE0">
        <w:rPr>
          <w:rFonts w:cs="Arial"/>
          <w:b/>
          <w:snapToGrid w:val="0"/>
          <w:color w:val="000000" w:themeColor="text1"/>
          <w:szCs w:val="18"/>
          <w:lang w:val="es-ES_tradnl"/>
        </w:rPr>
        <w:t>Suprema Corte de Justicia de la Nación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32497C53" w14:textId="5C3613A4" w:rsidR="005A689E" w:rsidRPr="000C3EE0" w:rsidRDefault="005A689E" w:rsidP="005E6E66">
      <w:pPr>
        <w:spacing w:line="288" w:lineRule="auto"/>
        <w:jc w:val="center"/>
        <w:rPr>
          <w:rFonts w:cs="Arial"/>
          <w:b/>
          <w:snapToGrid w:val="0"/>
          <w:color w:val="000000" w:themeColor="text1"/>
          <w:szCs w:val="18"/>
          <w:lang w:val="es-ES_tradnl"/>
        </w:rPr>
      </w:pPr>
      <w:r w:rsidRPr="000C3EE0">
        <w:rPr>
          <w:rFonts w:cs="Arial"/>
          <w:b/>
          <w:snapToGrid w:val="0"/>
          <w:color w:val="000000" w:themeColor="text1"/>
          <w:szCs w:val="18"/>
          <w:lang w:val="es-ES_tradnl"/>
        </w:rPr>
        <w:t xml:space="preserve">Ciudad de </w:t>
      </w:r>
      <w:r w:rsidRPr="00DF24B8">
        <w:rPr>
          <w:rFonts w:cs="Arial"/>
          <w:b/>
          <w:snapToGrid w:val="0"/>
          <w:color w:val="000000" w:themeColor="text1"/>
          <w:szCs w:val="18"/>
          <w:lang w:val="es-ES_tradnl"/>
        </w:rPr>
        <w:t>México,</w:t>
      </w:r>
      <w:r w:rsidR="001B3FEF" w:rsidRPr="00DF24B8">
        <w:rPr>
          <w:rFonts w:cs="Arial"/>
          <w:b/>
          <w:snapToGrid w:val="0"/>
          <w:color w:val="000000" w:themeColor="text1"/>
          <w:szCs w:val="18"/>
          <w:lang w:val="es-ES_tradnl"/>
        </w:rPr>
        <w:t xml:space="preserve"> </w:t>
      </w:r>
      <w:r w:rsidR="002F24C5">
        <w:rPr>
          <w:rFonts w:cs="Arial"/>
          <w:b/>
          <w:snapToGrid w:val="0"/>
          <w:color w:val="000000" w:themeColor="text1"/>
          <w:szCs w:val="18"/>
          <w:lang w:val="es-ES_tradnl"/>
        </w:rPr>
        <w:t>--</w:t>
      </w:r>
      <w:r w:rsidRPr="00DF24B8">
        <w:rPr>
          <w:rFonts w:cs="Arial"/>
          <w:b/>
          <w:snapToGrid w:val="0"/>
          <w:color w:val="000000" w:themeColor="text1"/>
          <w:szCs w:val="18"/>
          <w:lang w:val="es-ES_tradnl"/>
        </w:rPr>
        <w:t xml:space="preserve"> de </w:t>
      </w:r>
      <w:r w:rsidR="002F24C5">
        <w:rPr>
          <w:rFonts w:cs="Arial"/>
          <w:b/>
          <w:snapToGrid w:val="0"/>
          <w:color w:val="000000" w:themeColor="text1"/>
          <w:szCs w:val="18"/>
          <w:lang w:val="es-ES_tradnl"/>
        </w:rPr>
        <w:t>-----</w:t>
      </w:r>
      <w:r w:rsidRPr="00DF24B8">
        <w:rPr>
          <w:rFonts w:cs="Arial"/>
          <w:b/>
          <w:snapToGrid w:val="0"/>
          <w:color w:val="000000" w:themeColor="text1"/>
          <w:szCs w:val="18"/>
          <w:lang w:val="es-ES_tradnl"/>
        </w:rPr>
        <w:t xml:space="preserve"> </w:t>
      </w:r>
      <w:r w:rsidR="00983BF8" w:rsidRPr="00DF24B8">
        <w:rPr>
          <w:rFonts w:cs="Arial"/>
          <w:b/>
          <w:snapToGrid w:val="0"/>
          <w:color w:val="000000" w:themeColor="text1"/>
          <w:szCs w:val="18"/>
          <w:lang w:val="es-ES_tradnl"/>
        </w:rPr>
        <w:t xml:space="preserve">de </w:t>
      </w:r>
      <w:r w:rsidR="00777C46" w:rsidRPr="00DF24B8">
        <w:rPr>
          <w:rFonts w:cs="Arial"/>
          <w:b/>
          <w:snapToGrid w:val="0"/>
          <w:color w:val="000000" w:themeColor="text1"/>
          <w:szCs w:val="18"/>
          <w:lang w:val="es-ES_tradnl"/>
        </w:rPr>
        <w:t>202</w:t>
      </w:r>
      <w:r w:rsidR="002F24C5">
        <w:rPr>
          <w:rFonts w:cs="Arial"/>
          <w:b/>
          <w:snapToGrid w:val="0"/>
          <w:color w:val="000000" w:themeColor="text1"/>
          <w:szCs w:val="18"/>
          <w:lang w:val="es-ES_tradnl"/>
        </w:rPr>
        <w:t>4</w:t>
      </w:r>
    </w:p>
    <w:p w14:paraId="48334E0D" w14:textId="77777777" w:rsidR="005A689E" w:rsidRPr="000C3EE0" w:rsidRDefault="005A689E" w:rsidP="005E6E66">
      <w:pPr>
        <w:spacing w:line="288" w:lineRule="auto"/>
        <w:jc w:val="center"/>
        <w:rPr>
          <w:rFonts w:cs="Arial"/>
          <w:color w:val="000000" w:themeColor="text1"/>
          <w:szCs w:val="18"/>
          <w:shd w:val="clear" w:color="auto" w:fill="FFFFFF" w:themeFill="background1"/>
        </w:rPr>
      </w:pPr>
    </w:p>
    <w:p w14:paraId="734627A7" w14:textId="77777777" w:rsidR="005A689E" w:rsidRPr="000C3EE0" w:rsidRDefault="005A689E" w:rsidP="005E6E66">
      <w:pPr>
        <w:spacing w:line="288" w:lineRule="auto"/>
        <w:jc w:val="center"/>
        <w:rPr>
          <w:rFonts w:cs="Arial"/>
          <w:color w:val="000000" w:themeColor="text1"/>
          <w:szCs w:val="18"/>
          <w:shd w:val="clear" w:color="auto" w:fill="FFFFFF" w:themeFill="background1"/>
        </w:rPr>
      </w:pPr>
    </w:p>
    <w:p w14:paraId="656C3730" w14:textId="638FE489" w:rsidR="005A689E" w:rsidRPr="000C3EE0" w:rsidRDefault="005A689E" w:rsidP="005E6E66">
      <w:pPr>
        <w:spacing w:line="288" w:lineRule="auto"/>
        <w:jc w:val="center"/>
        <w:rPr>
          <w:rFonts w:cs="Arial"/>
          <w:b/>
          <w:snapToGrid w:val="0"/>
          <w:color w:val="000000" w:themeColor="text1"/>
          <w:szCs w:val="18"/>
          <w:lang w:val="es-ES_tradnl"/>
        </w:rPr>
      </w:pPr>
      <w:r w:rsidRPr="000C3EE0">
        <w:rPr>
          <w:rFonts w:cs="Arial"/>
          <w:b/>
          <w:snapToGrid w:val="0"/>
          <w:color w:val="000000" w:themeColor="text1"/>
          <w:szCs w:val="18"/>
          <w:lang w:val="es-ES_tradnl"/>
        </w:rPr>
        <w:t xml:space="preserve">Lic. </w:t>
      </w:r>
      <w:r w:rsidR="00495633" w:rsidRPr="000C3EE0">
        <w:rPr>
          <w:rFonts w:cs="Arial"/>
          <w:b/>
          <w:snapToGrid w:val="0"/>
          <w:color w:val="000000" w:themeColor="text1"/>
          <w:szCs w:val="18"/>
          <w:lang w:val="es-ES_tradnl"/>
        </w:rPr>
        <w:t>Laura Gabriela Sánchez Achetigue</w:t>
      </w:r>
    </w:p>
    <w:p w14:paraId="3CC054EE" w14:textId="2F33B6BB" w:rsidR="0000785A" w:rsidRPr="000C3EE0" w:rsidRDefault="005A689E" w:rsidP="00983BF8">
      <w:pPr>
        <w:spacing w:line="288" w:lineRule="auto"/>
        <w:jc w:val="center"/>
        <w:rPr>
          <w:rFonts w:cs="Arial"/>
          <w:b/>
          <w:bCs/>
          <w:snapToGrid w:val="0"/>
          <w:color w:val="FF0000"/>
          <w:szCs w:val="18"/>
        </w:rPr>
      </w:pPr>
      <w:r w:rsidRPr="000C3EE0">
        <w:rPr>
          <w:rFonts w:cs="Arial"/>
          <w:b/>
          <w:snapToGrid w:val="0"/>
          <w:color w:val="000000" w:themeColor="text1"/>
          <w:szCs w:val="18"/>
          <w:lang w:val="es-ES_tradnl"/>
        </w:rPr>
        <w:t>Director</w:t>
      </w:r>
      <w:r w:rsidR="005E6E66" w:rsidRPr="000C3EE0">
        <w:rPr>
          <w:rFonts w:cs="Arial"/>
          <w:b/>
          <w:snapToGrid w:val="0"/>
          <w:color w:val="000000" w:themeColor="text1"/>
          <w:szCs w:val="18"/>
          <w:lang w:val="es-ES_tradnl"/>
        </w:rPr>
        <w:t>a</w:t>
      </w:r>
      <w:r w:rsidRPr="000C3EE0">
        <w:rPr>
          <w:rFonts w:cs="Arial"/>
          <w:b/>
          <w:snapToGrid w:val="0"/>
          <w:color w:val="000000" w:themeColor="text1"/>
          <w:szCs w:val="18"/>
          <w:lang w:val="es-ES_tradnl"/>
        </w:rPr>
        <w:t xml:space="preserve"> General de Infraestructura Física</w:t>
      </w:r>
      <w:bookmarkEnd w:id="14"/>
    </w:p>
    <w:sectPr w:rsidR="0000785A" w:rsidRPr="000C3EE0" w:rsidSect="002031A8">
      <w:footerReference w:type="default" r:id="rId8"/>
      <w:pgSz w:w="12240" w:h="15840"/>
      <w:pgMar w:top="425" w:right="1043" w:bottom="426" w:left="851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C0AFD" w14:textId="77777777" w:rsidR="002031A8" w:rsidRDefault="002031A8" w:rsidP="005E4D29">
      <w:r>
        <w:separator/>
      </w:r>
    </w:p>
  </w:endnote>
  <w:endnote w:type="continuationSeparator" w:id="0">
    <w:p w14:paraId="293538D9" w14:textId="77777777" w:rsidR="002031A8" w:rsidRDefault="002031A8" w:rsidP="005E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65445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6A1511" w14:textId="51468850" w:rsidR="005E6E66" w:rsidRDefault="005E6E66">
            <w:pPr>
              <w:pStyle w:val="Piedepgina"/>
              <w:jc w:val="right"/>
            </w:pPr>
            <w:r w:rsidRPr="005E6E66">
              <w:rPr>
                <w:b/>
                <w:bCs/>
                <w:sz w:val="16"/>
                <w:szCs w:val="16"/>
              </w:rPr>
              <w:fldChar w:fldCharType="begin"/>
            </w:r>
            <w:r w:rsidRPr="005E6E66">
              <w:rPr>
                <w:b/>
                <w:bCs/>
                <w:sz w:val="16"/>
                <w:szCs w:val="16"/>
              </w:rPr>
              <w:instrText>PAGE</w:instrText>
            </w:r>
            <w:r w:rsidRPr="005E6E66">
              <w:rPr>
                <w:b/>
                <w:bCs/>
                <w:sz w:val="16"/>
                <w:szCs w:val="16"/>
              </w:rPr>
              <w:fldChar w:fldCharType="separate"/>
            </w:r>
            <w:r w:rsidRPr="005E6E66">
              <w:rPr>
                <w:b/>
                <w:bCs/>
                <w:sz w:val="16"/>
                <w:szCs w:val="16"/>
              </w:rPr>
              <w:t>2</w:t>
            </w:r>
            <w:r w:rsidRPr="005E6E66">
              <w:rPr>
                <w:b/>
                <w:bCs/>
                <w:sz w:val="16"/>
                <w:szCs w:val="16"/>
              </w:rPr>
              <w:fldChar w:fldCharType="end"/>
            </w:r>
            <w:r w:rsidRPr="005E6E66">
              <w:rPr>
                <w:sz w:val="16"/>
                <w:szCs w:val="16"/>
              </w:rPr>
              <w:t>/</w:t>
            </w:r>
            <w:r w:rsidRPr="005E6E66">
              <w:rPr>
                <w:b/>
                <w:bCs/>
                <w:sz w:val="16"/>
                <w:szCs w:val="16"/>
              </w:rPr>
              <w:fldChar w:fldCharType="begin"/>
            </w:r>
            <w:r w:rsidRPr="005E6E66">
              <w:rPr>
                <w:b/>
                <w:bCs/>
                <w:sz w:val="16"/>
                <w:szCs w:val="16"/>
              </w:rPr>
              <w:instrText>NUMPAGES</w:instrText>
            </w:r>
            <w:r w:rsidRPr="005E6E66">
              <w:rPr>
                <w:b/>
                <w:bCs/>
                <w:sz w:val="16"/>
                <w:szCs w:val="16"/>
              </w:rPr>
              <w:fldChar w:fldCharType="separate"/>
            </w:r>
            <w:r w:rsidRPr="005E6E66">
              <w:rPr>
                <w:b/>
                <w:bCs/>
                <w:sz w:val="16"/>
                <w:szCs w:val="16"/>
              </w:rPr>
              <w:t>2</w:t>
            </w:r>
            <w:r w:rsidRPr="005E6E6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E97815" w14:textId="77777777" w:rsidR="005E6E66" w:rsidRDefault="005E6E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BB37A" w14:textId="77777777" w:rsidR="002031A8" w:rsidRDefault="002031A8" w:rsidP="005E4D29">
      <w:r>
        <w:separator/>
      </w:r>
    </w:p>
  </w:footnote>
  <w:footnote w:type="continuationSeparator" w:id="0">
    <w:p w14:paraId="6C68DFB4" w14:textId="77777777" w:rsidR="002031A8" w:rsidRDefault="002031A8" w:rsidP="005E4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5A"/>
    <w:rsid w:val="000044E1"/>
    <w:rsid w:val="0000785A"/>
    <w:rsid w:val="00012884"/>
    <w:rsid w:val="00020515"/>
    <w:rsid w:val="0002437C"/>
    <w:rsid w:val="000400D9"/>
    <w:rsid w:val="000414DD"/>
    <w:rsid w:val="000662FB"/>
    <w:rsid w:val="00073E61"/>
    <w:rsid w:val="000B0363"/>
    <w:rsid w:val="000C3EE0"/>
    <w:rsid w:val="000D7FAE"/>
    <w:rsid w:val="000E7F5E"/>
    <w:rsid w:val="000F123B"/>
    <w:rsid w:val="00113BA5"/>
    <w:rsid w:val="00116A62"/>
    <w:rsid w:val="0015516C"/>
    <w:rsid w:val="00157BCE"/>
    <w:rsid w:val="0016057C"/>
    <w:rsid w:val="001674CF"/>
    <w:rsid w:val="00171D1F"/>
    <w:rsid w:val="001809E8"/>
    <w:rsid w:val="001B3FEF"/>
    <w:rsid w:val="001C0ACF"/>
    <w:rsid w:val="001E5FCD"/>
    <w:rsid w:val="001F31A1"/>
    <w:rsid w:val="001F6CE9"/>
    <w:rsid w:val="002031A8"/>
    <w:rsid w:val="002047C3"/>
    <w:rsid w:val="002055B8"/>
    <w:rsid w:val="0024026D"/>
    <w:rsid w:val="00244A24"/>
    <w:rsid w:val="00260F72"/>
    <w:rsid w:val="002760C9"/>
    <w:rsid w:val="002915B2"/>
    <w:rsid w:val="002A6666"/>
    <w:rsid w:val="002D2A61"/>
    <w:rsid w:val="002E3170"/>
    <w:rsid w:val="002F1FD1"/>
    <w:rsid w:val="002F24C5"/>
    <w:rsid w:val="002F5F17"/>
    <w:rsid w:val="002F638A"/>
    <w:rsid w:val="0030058B"/>
    <w:rsid w:val="00302632"/>
    <w:rsid w:val="00315D53"/>
    <w:rsid w:val="00334862"/>
    <w:rsid w:val="00343AA7"/>
    <w:rsid w:val="00373A25"/>
    <w:rsid w:val="003743BE"/>
    <w:rsid w:val="00385469"/>
    <w:rsid w:val="0039281D"/>
    <w:rsid w:val="003933DE"/>
    <w:rsid w:val="003B4060"/>
    <w:rsid w:val="003B5488"/>
    <w:rsid w:val="003B6249"/>
    <w:rsid w:val="003B7415"/>
    <w:rsid w:val="003C3B12"/>
    <w:rsid w:val="003F774A"/>
    <w:rsid w:val="004110DC"/>
    <w:rsid w:val="00411E49"/>
    <w:rsid w:val="004362DE"/>
    <w:rsid w:val="00436F78"/>
    <w:rsid w:val="00471F00"/>
    <w:rsid w:val="00477E2F"/>
    <w:rsid w:val="004804D5"/>
    <w:rsid w:val="00495633"/>
    <w:rsid w:val="004C497A"/>
    <w:rsid w:val="004D1C86"/>
    <w:rsid w:val="004D3A27"/>
    <w:rsid w:val="004F6431"/>
    <w:rsid w:val="004F7BA9"/>
    <w:rsid w:val="00511061"/>
    <w:rsid w:val="0051424B"/>
    <w:rsid w:val="00524426"/>
    <w:rsid w:val="005421FF"/>
    <w:rsid w:val="005804C3"/>
    <w:rsid w:val="00583362"/>
    <w:rsid w:val="0058530A"/>
    <w:rsid w:val="00597B53"/>
    <w:rsid w:val="005A437D"/>
    <w:rsid w:val="005A689E"/>
    <w:rsid w:val="005D2C6F"/>
    <w:rsid w:val="005D461B"/>
    <w:rsid w:val="005E4D29"/>
    <w:rsid w:val="005E6E66"/>
    <w:rsid w:val="005F711C"/>
    <w:rsid w:val="00606C17"/>
    <w:rsid w:val="00611F18"/>
    <w:rsid w:val="0061376C"/>
    <w:rsid w:val="00624302"/>
    <w:rsid w:val="00662A4A"/>
    <w:rsid w:val="006641A8"/>
    <w:rsid w:val="00674BAB"/>
    <w:rsid w:val="0068511D"/>
    <w:rsid w:val="006A2DC1"/>
    <w:rsid w:val="006A3937"/>
    <w:rsid w:val="006A7F06"/>
    <w:rsid w:val="006B4F5E"/>
    <w:rsid w:val="006E5FED"/>
    <w:rsid w:val="006E6AC9"/>
    <w:rsid w:val="006F1D5E"/>
    <w:rsid w:val="0070008D"/>
    <w:rsid w:val="00721DCF"/>
    <w:rsid w:val="00725070"/>
    <w:rsid w:val="00727F7E"/>
    <w:rsid w:val="00744CAF"/>
    <w:rsid w:val="00774749"/>
    <w:rsid w:val="00777C46"/>
    <w:rsid w:val="007839DF"/>
    <w:rsid w:val="007A27E4"/>
    <w:rsid w:val="007A4C83"/>
    <w:rsid w:val="007B7541"/>
    <w:rsid w:val="007C168F"/>
    <w:rsid w:val="00800B2D"/>
    <w:rsid w:val="008036CC"/>
    <w:rsid w:val="00841C5F"/>
    <w:rsid w:val="008501C0"/>
    <w:rsid w:val="008549E6"/>
    <w:rsid w:val="008618DD"/>
    <w:rsid w:val="00897EA1"/>
    <w:rsid w:val="008C2194"/>
    <w:rsid w:val="00901B2F"/>
    <w:rsid w:val="00906CE0"/>
    <w:rsid w:val="00907878"/>
    <w:rsid w:val="0091710D"/>
    <w:rsid w:val="009265B2"/>
    <w:rsid w:val="00935D74"/>
    <w:rsid w:val="0094215B"/>
    <w:rsid w:val="009478BD"/>
    <w:rsid w:val="00975A35"/>
    <w:rsid w:val="00976C01"/>
    <w:rsid w:val="00983BF8"/>
    <w:rsid w:val="00997340"/>
    <w:rsid w:val="009B1597"/>
    <w:rsid w:val="009B560F"/>
    <w:rsid w:val="009B5775"/>
    <w:rsid w:val="009C00A7"/>
    <w:rsid w:val="009C4FFB"/>
    <w:rsid w:val="009D07F1"/>
    <w:rsid w:val="009D5E83"/>
    <w:rsid w:val="009E0107"/>
    <w:rsid w:val="009E4F02"/>
    <w:rsid w:val="00A227F5"/>
    <w:rsid w:val="00A329AA"/>
    <w:rsid w:val="00A4040C"/>
    <w:rsid w:val="00A73D5F"/>
    <w:rsid w:val="00A74AAC"/>
    <w:rsid w:val="00A856DC"/>
    <w:rsid w:val="00A90E5D"/>
    <w:rsid w:val="00A94C6C"/>
    <w:rsid w:val="00AA1EBA"/>
    <w:rsid w:val="00AB296C"/>
    <w:rsid w:val="00AC10DB"/>
    <w:rsid w:val="00B13FBA"/>
    <w:rsid w:val="00B2605C"/>
    <w:rsid w:val="00B46D5E"/>
    <w:rsid w:val="00B70A99"/>
    <w:rsid w:val="00B80B5D"/>
    <w:rsid w:val="00B832B6"/>
    <w:rsid w:val="00B943ED"/>
    <w:rsid w:val="00BA1E30"/>
    <w:rsid w:val="00BB5845"/>
    <w:rsid w:val="00BC4A3C"/>
    <w:rsid w:val="00BD49E1"/>
    <w:rsid w:val="00BD4F20"/>
    <w:rsid w:val="00BE0686"/>
    <w:rsid w:val="00C00C65"/>
    <w:rsid w:val="00C11007"/>
    <w:rsid w:val="00C326BB"/>
    <w:rsid w:val="00C43522"/>
    <w:rsid w:val="00C71577"/>
    <w:rsid w:val="00C722A9"/>
    <w:rsid w:val="00C8295E"/>
    <w:rsid w:val="00C8720D"/>
    <w:rsid w:val="00CA1D9D"/>
    <w:rsid w:val="00CA2037"/>
    <w:rsid w:val="00CC056C"/>
    <w:rsid w:val="00CE2504"/>
    <w:rsid w:val="00CE665C"/>
    <w:rsid w:val="00CF0C95"/>
    <w:rsid w:val="00CF41A1"/>
    <w:rsid w:val="00D317A9"/>
    <w:rsid w:val="00D47D33"/>
    <w:rsid w:val="00D533A2"/>
    <w:rsid w:val="00D60445"/>
    <w:rsid w:val="00D66435"/>
    <w:rsid w:val="00D7064F"/>
    <w:rsid w:val="00D73A72"/>
    <w:rsid w:val="00D82B5F"/>
    <w:rsid w:val="00D97CCB"/>
    <w:rsid w:val="00DC758C"/>
    <w:rsid w:val="00DF24B8"/>
    <w:rsid w:val="00E13648"/>
    <w:rsid w:val="00E33DD0"/>
    <w:rsid w:val="00E410B4"/>
    <w:rsid w:val="00E444A1"/>
    <w:rsid w:val="00E77074"/>
    <w:rsid w:val="00EA07DD"/>
    <w:rsid w:val="00EA157D"/>
    <w:rsid w:val="00EA1D2F"/>
    <w:rsid w:val="00EB455F"/>
    <w:rsid w:val="00EB5D11"/>
    <w:rsid w:val="00EC03F4"/>
    <w:rsid w:val="00EC333C"/>
    <w:rsid w:val="00EC56EC"/>
    <w:rsid w:val="00EE6553"/>
    <w:rsid w:val="00EF64BE"/>
    <w:rsid w:val="00F266DA"/>
    <w:rsid w:val="00F50145"/>
    <w:rsid w:val="00F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EABB6"/>
  <w15:chartTrackingRefBased/>
  <w15:docId w15:val="{E0927123-FB3D-4104-AB90-C00714C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85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078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00785A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00785A"/>
    <w:pPr>
      <w:spacing w:after="0" w:line="240" w:lineRule="auto"/>
    </w:pPr>
    <w:rPr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rsid w:val="0016057C"/>
    <w:rPr>
      <w:color w:val="0000FF"/>
      <w:u w:val="single"/>
    </w:rPr>
  </w:style>
  <w:style w:type="paragraph" w:styleId="Prrafodelista">
    <w:name w:val="List Paragraph"/>
    <w:aliases w:val="lp1,List Paragraph1,Párrafo de lista1,List Paragraph,Listas,Colorful List - Accent 11,List Paragraph11,Bullet List,FooterText,numbered,Paragraphe de liste1,Bulletr List Paragraph,列出段落,列出段落1,Use Case List Paragraph,Bullet 1,Texto normal"/>
    <w:basedOn w:val="Normal"/>
    <w:link w:val="PrrafodelistaCar"/>
    <w:uiPriority w:val="34"/>
    <w:qFormat/>
    <w:rsid w:val="00160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rrafodelistaCar">
    <w:name w:val="Párrafo de lista Car"/>
    <w:aliases w:val="lp1 Car,List Paragraph1 Car,Párrafo de lista1 Car,List Paragraph Car,Listas Car,Colorful List - Accent 11 Car,List Paragraph11 Car,Bullet List Car,FooterText Car,numbered Car,Paragraphe de liste1 Car,Bulletr List Paragraph Car"/>
    <w:basedOn w:val="Fuentedeprrafopredeter"/>
    <w:link w:val="Prrafodelista"/>
    <w:uiPriority w:val="34"/>
    <w:qFormat/>
    <w:locked/>
    <w:rsid w:val="0016057C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56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056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4D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D29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E4D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D29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A329A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662A4A"/>
    <w:pPr>
      <w:jc w:val="center"/>
    </w:pPr>
    <w:rPr>
      <w:b/>
      <w:snapToGrid w:val="0"/>
      <w:sz w:val="22"/>
      <w:lang w:val="es-ES_tradnl"/>
    </w:rPr>
  </w:style>
  <w:style w:type="character" w:customStyle="1" w:styleId="TtuloCar">
    <w:name w:val="Título Car"/>
    <w:basedOn w:val="Fuentedeprrafopredeter"/>
    <w:link w:val="Ttulo"/>
    <w:rsid w:val="00662A4A"/>
    <w:rPr>
      <w:rFonts w:ascii="Arial" w:eastAsia="Times New Roman" w:hAnsi="Arial" w:cs="Times New Roman"/>
      <w:b/>
      <w:snapToGrid w:val="0"/>
      <w:szCs w:val="20"/>
      <w:lang w:val="es-ES_tradnl" w:eastAsia="es-ES"/>
    </w:rPr>
  </w:style>
  <w:style w:type="character" w:styleId="Refdecomentario">
    <w:name w:val="annotation reference"/>
    <w:basedOn w:val="Fuentedeprrafopredeter"/>
    <w:unhideWhenUsed/>
    <w:qFormat/>
    <w:rsid w:val="007250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72507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rsid w:val="0072507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50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5070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cjn.gob.mx/transparencia/obligaciones-de-transparencia/procedimientos-contratacion-vigen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POBLETE RAMIREZ</dc:creator>
  <cp:keywords/>
  <dc:description/>
  <cp:lastModifiedBy>CINTHYA POBLETE RAMIREZ</cp:lastModifiedBy>
  <cp:revision>2</cp:revision>
  <dcterms:created xsi:type="dcterms:W3CDTF">2024-04-22T23:09:00Z</dcterms:created>
  <dcterms:modified xsi:type="dcterms:W3CDTF">2024-04-22T23:09:00Z</dcterms:modified>
</cp:coreProperties>
</file>