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0DE0C8C"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51C87472"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985F10" w:rsidRPr="00AE011C">
        <w:rPr>
          <w:rFonts w:ascii="Arial" w:eastAsia="Times New Roman" w:hAnsi="Arial" w:cs="Arial"/>
          <w:bCs/>
          <w:snapToGrid w:val="0"/>
          <w:sz w:val="20"/>
          <w:szCs w:val="20"/>
          <w:lang w:val="es-ES_tradnl" w:eastAsia="es-ES"/>
        </w:rPr>
        <w:t>2</w:t>
      </w:r>
      <w:r w:rsidR="00985F10" w:rsidRPr="004A6E9A">
        <w:rPr>
          <w:rFonts w:ascii="Arial" w:eastAsia="Times New Roman" w:hAnsi="Arial" w:cs="Arial"/>
          <w:bCs/>
          <w:snapToGrid w:val="0"/>
          <w:sz w:val="20"/>
          <w:szCs w:val="20"/>
          <w:lang w:val="es-ES_tradnl" w:eastAsia="es-ES"/>
        </w:rPr>
        <w:t>4510930</w:t>
      </w:r>
      <w:r w:rsidR="00F73462">
        <w:rPr>
          <w:rFonts w:ascii="Arial" w:eastAsia="Times New Roman" w:hAnsi="Arial" w:cs="Arial"/>
          <w:bCs/>
          <w:snapToGrid w:val="0"/>
          <w:sz w:val="20"/>
          <w:szCs w:val="20"/>
          <w:lang w:val="es-ES_tradnl" w:eastAsia="es-ES"/>
        </w:rPr>
        <w:t>S</w:t>
      </w:r>
      <w:r w:rsidR="00985F10" w:rsidRPr="004A6E9A">
        <w:rPr>
          <w:rFonts w:ascii="Arial" w:eastAsia="Times New Roman" w:hAnsi="Arial" w:cs="Arial"/>
          <w:bCs/>
          <w:snapToGrid w:val="0"/>
          <w:sz w:val="20"/>
          <w:szCs w:val="20"/>
          <w:lang w:val="es-ES_tradnl" w:eastAsia="es-ES"/>
        </w:rPr>
        <w:t>0010001</w:t>
      </w:r>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 Presupuestal</w:t>
      </w:r>
      <w:r w:rsidR="00F73462">
        <w:rPr>
          <w:rFonts w:ascii="Arial" w:eastAsia="Times New Roman" w:hAnsi="Arial" w:cs="Arial"/>
          <w:bCs/>
          <w:snapToGrid w:val="0"/>
          <w:sz w:val="20"/>
          <w:szCs w:val="20"/>
          <w:lang w:val="es-ES_tradnl" w:eastAsia="es-ES"/>
        </w:rPr>
        <w:t xml:space="preserve"> </w:t>
      </w:r>
      <w:r w:rsidRPr="00171E9A">
        <w:rPr>
          <w:rFonts w:ascii="Arial" w:eastAsia="Times New Roman" w:hAnsi="Arial" w:cs="Arial"/>
          <w:bCs/>
          <w:snapToGrid w:val="0"/>
          <w:sz w:val="20"/>
          <w:szCs w:val="20"/>
          <w:lang w:val="es-ES_tradnl" w:eastAsia="es-ES"/>
        </w:rPr>
        <w:t>35</w:t>
      </w:r>
      <w:r w:rsidR="00B10370">
        <w:rPr>
          <w:rFonts w:ascii="Arial" w:eastAsia="Times New Roman" w:hAnsi="Arial" w:cs="Arial"/>
          <w:bCs/>
          <w:snapToGrid w:val="0"/>
          <w:sz w:val="20"/>
          <w:szCs w:val="20"/>
          <w:lang w:val="es-ES_tradnl" w:eastAsia="es-ES"/>
        </w:rPr>
        <w:t>2</w:t>
      </w:r>
      <w:r w:rsidRPr="00171E9A">
        <w:rPr>
          <w:rFonts w:ascii="Arial" w:eastAsia="Times New Roman" w:hAnsi="Arial" w:cs="Arial"/>
          <w:bCs/>
          <w:snapToGrid w:val="0"/>
          <w:sz w:val="20"/>
          <w:szCs w:val="20"/>
          <w:lang w:val="es-ES_tradnl" w:eastAsia="es-ES"/>
        </w:rPr>
        <w:t xml:space="preserve">01 denominada “Mantenimiento y conservación de </w:t>
      </w:r>
      <w:r w:rsidR="00D327D3" w:rsidRPr="00D327D3">
        <w:rPr>
          <w:rFonts w:ascii="Arial" w:eastAsia="Times New Roman" w:hAnsi="Arial" w:cs="Arial"/>
          <w:bCs/>
          <w:snapToGrid w:val="0"/>
          <w:sz w:val="20"/>
          <w:szCs w:val="20"/>
          <w:lang w:eastAsia="es-ES"/>
        </w:rPr>
        <w:t>mobiliario y equipo de administración</w:t>
      </w:r>
      <w:r w:rsidRPr="00171E9A">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77FFF467"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1FE03D02" w:rsidR="00171E9A" w:rsidRPr="00AE011C" w:rsidRDefault="00171E9A"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sidR="008A12C4">
        <w:rPr>
          <w:rFonts w:ascii="Arial" w:eastAsia="Times New Roman" w:hAnsi="Arial" w:cs="Arial"/>
          <w:bCs/>
          <w:snapToGrid w:val="0"/>
          <w:sz w:val="20"/>
          <w:szCs w:val="20"/>
          <w:lang w:val="es-ES_tradnl" w:eastAsia="es-ES"/>
        </w:rPr>
        <w:t xml:space="preserve"> </w:t>
      </w:r>
      <w:r w:rsidR="008A12C4" w:rsidRPr="008A12C4">
        <w:rPr>
          <w:rFonts w:ascii="Arial" w:eastAsia="Times New Roman" w:hAnsi="Arial" w:cs="Arial"/>
          <w:bCs/>
          <w:snapToGrid w:val="0"/>
          <w:sz w:val="20"/>
          <w:szCs w:val="20"/>
          <w:lang w:val="es-ES" w:eastAsia="es-ES"/>
        </w:rPr>
        <w:t xml:space="preserve">contra entrega </w:t>
      </w:r>
      <w:r w:rsidR="00F73462" w:rsidRPr="00F73462">
        <w:rPr>
          <w:rFonts w:ascii="Arial" w:eastAsia="Times New Roman" w:hAnsi="Arial" w:cs="Arial"/>
          <w:bCs/>
          <w:snapToGrid w:val="0"/>
          <w:sz w:val="20"/>
          <w:szCs w:val="20"/>
          <w:lang w:val="es-ES" w:eastAsia="es-ES"/>
        </w:rPr>
        <w:t xml:space="preserve">del servicio debidamente ejecutado </w:t>
      </w:r>
      <w:r w:rsidR="008A12C4" w:rsidRPr="008A12C4">
        <w:rPr>
          <w:rFonts w:ascii="Arial" w:eastAsia="Times New Roman" w:hAnsi="Arial" w:cs="Arial"/>
          <w:bCs/>
          <w:snapToGrid w:val="0"/>
          <w:sz w:val="20"/>
          <w:szCs w:val="20"/>
          <w:lang w:val="es-ES" w:eastAsia="es-ES"/>
        </w:rPr>
        <w:t>y a entera satisfacción</w:t>
      </w:r>
      <w:r w:rsidR="008A12C4">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 xml:space="preserve">de la “Suprema Corte”. Para efectos fiscales el “Prestador de Servicios” deberá presentar el o los Comprobantes Fiscales Digitales generados por </w:t>
      </w:r>
      <w:r w:rsidRPr="00AE011C">
        <w:rPr>
          <w:rFonts w:ascii="Arial" w:eastAsia="Times New Roman" w:hAnsi="Arial" w:cs="Arial"/>
          <w:bCs/>
          <w:snapToGrid w:val="0"/>
          <w:sz w:val="20"/>
          <w:szCs w:val="20"/>
          <w:lang w:val="es-ES_tradnl" w:eastAsia="es-ES"/>
        </w:rPr>
        <w:lastRenderedPageBreak/>
        <w:t>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18BBDCF6" w14:textId="77777777" w:rsidR="00F73462"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sidR="005B67AD">
        <w:rPr>
          <w:rFonts w:ascii="Arial" w:eastAsia="Times New Roman" w:hAnsi="Arial" w:cs="Arial"/>
          <w:bCs/>
          <w:snapToGrid w:val="0"/>
          <w:sz w:val="20"/>
          <w:szCs w:val="20"/>
          <w:lang w:val="es-ES_tradnl" w:eastAsia="es-ES"/>
        </w:rPr>
        <w:t xml:space="preserve"> </w:t>
      </w:r>
      <w:r w:rsidR="005B67AD" w:rsidRPr="005B67AD">
        <w:rPr>
          <w:rFonts w:ascii="Arial" w:eastAsia="Times New Roman" w:hAnsi="Arial" w:cs="Arial"/>
          <w:bCs/>
          <w:snapToGrid w:val="0"/>
          <w:sz w:val="20"/>
          <w:szCs w:val="20"/>
          <w:lang w:eastAsia="es-ES"/>
        </w:rPr>
        <w:t xml:space="preserve">en </w:t>
      </w:r>
      <w:r w:rsidR="00F73462">
        <w:rPr>
          <w:rFonts w:ascii="Arial" w:eastAsia="Times New Roman" w:hAnsi="Arial" w:cs="Arial"/>
          <w:bCs/>
          <w:snapToGrid w:val="0"/>
          <w:sz w:val="20"/>
          <w:szCs w:val="20"/>
          <w:lang w:eastAsia="es-ES"/>
        </w:rPr>
        <w:t>los siguientes</w:t>
      </w:r>
      <w:r w:rsidR="005B67AD" w:rsidRPr="005B67AD">
        <w:rPr>
          <w:rFonts w:ascii="Arial" w:eastAsia="Times New Roman" w:hAnsi="Arial" w:cs="Arial"/>
          <w:bCs/>
          <w:snapToGrid w:val="0"/>
          <w:sz w:val="20"/>
          <w:szCs w:val="20"/>
          <w:lang w:eastAsia="es-ES"/>
        </w:rPr>
        <w:t xml:space="preserve"> inmueble</w:t>
      </w:r>
      <w:r w:rsidR="00F73462">
        <w:rPr>
          <w:rFonts w:ascii="Arial" w:eastAsia="Times New Roman" w:hAnsi="Arial" w:cs="Arial"/>
          <w:bCs/>
          <w:snapToGrid w:val="0"/>
          <w:sz w:val="20"/>
          <w:szCs w:val="20"/>
          <w:lang w:eastAsia="es-ES"/>
        </w:rPr>
        <w:t>s:</w:t>
      </w:r>
    </w:p>
    <w:p w14:paraId="53FA9339" w14:textId="08D258CA" w:rsidR="00F73462" w:rsidRP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a. </w:t>
      </w:r>
      <w:r w:rsidRPr="00F73462">
        <w:rPr>
          <w:rFonts w:ascii="Arial" w:eastAsia="Times New Roman" w:hAnsi="Arial" w:cs="Arial"/>
          <w:bCs/>
          <w:snapToGrid w:val="0"/>
          <w:sz w:val="20"/>
          <w:szCs w:val="20"/>
          <w:lang w:eastAsia="es-ES"/>
        </w:rPr>
        <w:t>Edificio Sede, ubicado en avenida José María Pino Suárez número 2, colonia Centro, código postal 06060, alcaldía Cuauhtémoc, Ciudad de México.</w:t>
      </w:r>
    </w:p>
    <w:p w14:paraId="4EEECDB8" w14:textId="0204879A" w:rsidR="00F73462" w:rsidRP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b. </w:t>
      </w:r>
      <w:r w:rsidRPr="00F73462">
        <w:rPr>
          <w:rFonts w:ascii="Arial" w:eastAsia="Times New Roman" w:hAnsi="Arial" w:cs="Arial"/>
          <w:bCs/>
          <w:snapToGrid w:val="0"/>
          <w:sz w:val="20"/>
          <w:szCs w:val="20"/>
          <w:lang w:eastAsia="es-ES"/>
        </w:rPr>
        <w:t>Edificio Alterno, ubicado en calle 16 de Septiembre número 38, colonia Centro, código postal 06000, alcaldía Cuauhtémoc, Ciudad de México.</w:t>
      </w:r>
    </w:p>
    <w:p w14:paraId="3A56E7C8" w14:textId="17BF7D06" w:rsidR="00F73462" w:rsidRP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c. </w:t>
      </w:r>
      <w:r w:rsidRPr="00F73462">
        <w:rPr>
          <w:rFonts w:ascii="Arial" w:eastAsia="Times New Roman" w:hAnsi="Arial" w:cs="Arial"/>
          <w:bCs/>
          <w:snapToGrid w:val="0"/>
          <w:sz w:val="20"/>
          <w:szCs w:val="20"/>
          <w:lang w:eastAsia="es-ES"/>
        </w:rPr>
        <w:t>Edificio Bolívar, ubicado en calle Bolívar número 30, colonia Centro, código postal 06010, alcaldía Cuauhtémoc, Ciudad de México.</w:t>
      </w:r>
    </w:p>
    <w:p w14:paraId="3306B8A0" w14:textId="11BEDBA2" w:rsidR="00F73462" w:rsidRP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d. </w:t>
      </w:r>
      <w:r w:rsidRPr="00F73462">
        <w:rPr>
          <w:rFonts w:ascii="Arial" w:eastAsia="Times New Roman" w:hAnsi="Arial" w:cs="Arial"/>
          <w:bCs/>
          <w:snapToGrid w:val="0"/>
          <w:sz w:val="20"/>
          <w:szCs w:val="20"/>
          <w:lang w:eastAsia="es-ES"/>
        </w:rPr>
        <w:t>Edificio Centro de Desarrollo Infantil, ubicado en Chimalpopoca número 112, esquina San Salvador el Verde, colonia Centro, código postal 06080, alcaldía Cuauhtémoc, Ciudad de México.</w:t>
      </w:r>
    </w:p>
    <w:p w14:paraId="23E5AB37" w14:textId="2EFC72FF" w:rsidR="00F73462" w:rsidRP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F73462">
        <w:rPr>
          <w:rFonts w:ascii="Arial" w:eastAsia="Times New Roman" w:hAnsi="Arial" w:cs="Arial"/>
          <w:b/>
          <w:snapToGrid w:val="0"/>
          <w:sz w:val="20"/>
          <w:szCs w:val="20"/>
          <w:lang w:eastAsia="es-ES"/>
        </w:rPr>
        <w:t>e.</w:t>
      </w:r>
      <w:r>
        <w:rPr>
          <w:rFonts w:ascii="Arial" w:eastAsia="Times New Roman" w:hAnsi="Arial" w:cs="Arial"/>
          <w:bCs/>
          <w:snapToGrid w:val="0"/>
          <w:sz w:val="20"/>
          <w:szCs w:val="20"/>
          <w:lang w:eastAsia="es-ES"/>
        </w:rPr>
        <w:t xml:space="preserve"> </w:t>
      </w:r>
      <w:r w:rsidRPr="00F73462">
        <w:rPr>
          <w:rFonts w:ascii="Arial" w:eastAsia="Times New Roman" w:hAnsi="Arial" w:cs="Arial"/>
          <w:bCs/>
          <w:snapToGrid w:val="0"/>
          <w:sz w:val="20"/>
          <w:szCs w:val="20"/>
          <w:lang w:eastAsia="es-ES"/>
        </w:rPr>
        <w:t>Edificio 5 de Febrero, ubicado en calle Chimalpopoca número 112, esquina 5 de Febrero, colonia Centro, código postal 06080, alcaldía Cuauhtémoc, Ciudad de México.</w:t>
      </w:r>
    </w:p>
    <w:p w14:paraId="3CE635B2" w14:textId="4D61BF75" w:rsidR="00F73462" w:rsidRP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F73462">
        <w:rPr>
          <w:rFonts w:ascii="Arial" w:eastAsia="Times New Roman" w:hAnsi="Arial" w:cs="Arial"/>
          <w:b/>
          <w:snapToGrid w:val="0"/>
          <w:sz w:val="20"/>
          <w:szCs w:val="20"/>
          <w:lang w:eastAsia="es-ES"/>
        </w:rPr>
        <w:t>f.</w:t>
      </w:r>
      <w:r>
        <w:rPr>
          <w:rFonts w:ascii="Arial" w:eastAsia="Times New Roman" w:hAnsi="Arial" w:cs="Arial"/>
          <w:bCs/>
          <w:snapToGrid w:val="0"/>
          <w:sz w:val="20"/>
          <w:szCs w:val="20"/>
          <w:lang w:eastAsia="es-ES"/>
        </w:rPr>
        <w:t xml:space="preserve"> </w:t>
      </w:r>
      <w:r w:rsidRPr="00F73462">
        <w:rPr>
          <w:rFonts w:ascii="Arial" w:eastAsia="Times New Roman" w:hAnsi="Arial" w:cs="Arial"/>
          <w:bCs/>
          <w:snapToGrid w:val="0"/>
          <w:sz w:val="20"/>
          <w:szCs w:val="20"/>
          <w:lang w:eastAsia="es-ES"/>
        </w:rPr>
        <w:t>Edificio Justicia T.V., ubicado en calle República de El Salvador número 56, colonia Centro, código postal 06010, alcaldía Cuauhtémoc, Ciudad de México.</w:t>
      </w:r>
    </w:p>
    <w:p w14:paraId="1A34E83A" w14:textId="1AF713FF" w:rsidR="00F73462" w:rsidRDefault="00F73462"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g. </w:t>
      </w:r>
      <w:r w:rsidRPr="00F73462">
        <w:rPr>
          <w:rFonts w:ascii="Arial" w:eastAsia="Times New Roman" w:hAnsi="Arial" w:cs="Arial"/>
          <w:bCs/>
          <w:snapToGrid w:val="0"/>
          <w:sz w:val="20"/>
          <w:szCs w:val="20"/>
          <w:lang w:eastAsia="es-ES"/>
        </w:rPr>
        <w:t>Almacén General, ubicado en calzada Ignacio Zaragoza número 1340, colonia Juan Escutia, código postal 09100, alcaldía Iztapalapa, Ciudad de México.</w:t>
      </w:r>
    </w:p>
    <w:p w14:paraId="62BE901C" w14:textId="58AFC1AC" w:rsidR="00171E9A" w:rsidRPr="00F93C8E"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commentRangeStart w:id="0"/>
      <w:commentRangeStart w:id="1"/>
      <w:r w:rsidRPr="00171E9A">
        <w:rPr>
          <w:rFonts w:ascii="Arial" w:eastAsia="Times New Roman" w:hAnsi="Arial" w:cs="Arial"/>
          <w:b/>
          <w:snapToGrid w:val="0"/>
          <w:sz w:val="20"/>
          <w:szCs w:val="20"/>
          <w:lang w:val="es-ES_tradnl" w:eastAsia="es-ES"/>
        </w:rPr>
        <w:t>Quinta. Vigencia del contrato y plazo de prestación de los servicios</w:t>
      </w:r>
      <w:commentRangeEnd w:id="0"/>
      <w:r w:rsidR="003526D7">
        <w:rPr>
          <w:rStyle w:val="Refdecomentario"/>
        </w:rPr>
        <w:commentReference w:id="0"/>
      </w:r>
      <w:commentRangeEnd w:id="1"/>
      <w:r w:rsidR="00AB7492">
        <w:rPr>
          <w:rStyle w:val="Refdecomentario"/>
        </w:rPr>
        <w:commentReference w:id="1"/>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r w:rsidR="00F73462" w:rsidRPr="00F73462">
        <w:rPr>
          <w:rFonts w:ascii="Arial" w:eastAsia="Times New Roman" w:hAnsi="Arial" w:cs="Arial"/>
          <w:bCs/>
          <w:snapToGrid w:val="0"/>
          <w:sz w:val="20"/>
          <w:szCs w:val="20"/>
          <w:lang w:val="es-ES" w:eastAsia="es-ES"/>
        </w:rPr>
        <w:t>sesenta días naturales, contados a partir del día hábil siguiente a la formalización del contrato</w:t>
      </w:r>
      <w:r w:rsidRPr="00F93C8E">
        <w:rPr>
          <w:rFonts w:ascii="Arial" w:eastAsia="Times New Roman" w:hAnsi="Arial" w:cs="Arial"/>
          <w:bCs/>
          <w:snapToGrid w:val="0"/>
          <w:sz w:val="20"/>
          <w:szCs w:val="20"/>
          <w:lang w:val="es-ES_tradnl" w:eastAsia="es-ES"/>
        </w:rPr>
        <w:t xml:space="preserve">. </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1F4CAB4"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xml:space="preserve">, la “Suprema Corte” podrá aplicar una pena convencional hasta por el 10% (diez por ciento) del monto que corresponda al valor de los </w:t>
      </w:r>
      <w:commentRangeStart w:id="2"/>
      <w:commentRangeStart w:id="3"/>
      <w:r w:rsidRPr="00F93C8E">
        <w:rPr>
          <w:rFonts w:ascii="Arial" w:eastAsia="Times New Roman" w:hAnsi="Arial" w:cs="Arial"/>
          <w:bCs/>
          <w:snapToGrid w:val="0"/>
          <w:sz w:val="20"/>
          <w:szCs w:val="20"/>
          <w:lang w:val="es-ES_tradnl" w:eastAsia="es-ES"/>
        </w:rPr>
        <w:t>servicios</w:t>
      </w:r>
      <w:commentRangeEnd w:id="2"/>
      <w:r w:rsidR="003526D7">
        <w:rPr>
          <w:rStyle w:val="Refdecomentario"/>
        </w:rPr>
        <w:commentReference w:id="2"/>
      </w:r>
      <w:commentRangeEnd w:id="3"/>
      <w:r w:rsidR="00AB7492">
        <w:rPr>
          <w:rStyle w:val="Refdecomentario"/>
        </w:rPr>
        <w:commentReference w:id="3"/>
      </w:r>
      <w:r w:rsidRPr="00F93C8E">
        <w:rPr>
          <w:rFonts w:ascii="Arial" w:eastAsia="Times New Roman" w:hAnsi="Arial" w:cs="Arial"/>
          <w:bCs/>
          <w:snapToGrid w:val="0"/>
          <w:sz w:val="20"/>
          <w:szCs w:val="20"/>
          <w:lang w:val="es-ES_tradnl" w:eastAsia="es-ES"/>
        </w:rPr>
        <w:t xml:space="preserve">, </w:t>
      </w:r>
      <w:r w:rsidR="00DF4F89">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sin incluir </w:t>
      </w:r>
      <w:r w:rsidR="00DF4F89">
        <w:rPr>
          <w:rFonts w:ascii="Arial" w:eastAsia="Times New Roman" w:hAnsi="Arial" w:cs="Arial"/>
          <w:bCs/>
          <w:snapToGrid w:val="0"/>
          <w:sz w:val="20"/>
          <w:szCs w:val="20"/>
          <w:lang w:val="es-ES_tradnl" w:eastAsia="es-ES"/>
        </w:rPr>
        <w:t>IVA)</w:t>
      </w:r>
      <w:r w:rsidRPr="00F93C8E">
        <w:rPr>
          <w:rFonts w:ascii="Arial" w:eastAsia="Times New Roman" w:hAnsi="Arial" w:cs="Arial"/>
          <w:bCs/>
          <w:snapToGrid w:val="0"/>
          <w:sz w:val="20"/>
          <w:szCs w:val="20"/>
          <w:lang w:val="es-ES_tradnl" w:eastAsia="es-ES"/>
        </w:rPr>
        <w:t xml:space="preserve">, que no se hayan </w:t>
      </w:r>
      <w:r w:rsidR="003D452D">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432ACFE4"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w:t>
      </w:r>
      <w:commentRangeStart w:id="4"/>
      <w:commentRangeStart w:id="5"/>
      <w:r w:rsidRPr="00F93C8E">
        <w:rPr>
          <w:rFonts w:ascii="Arial" w:eastAsia="Times New Roman" w:hAnsi="Arial" w:cs="Arial"/>
          <w:bCs/>
          <w:snapToGrid w:val="0"/>
          <w:sz w:val="20"/>
          <w:szCs w:val="20"/>
          <w:lang w:val="es-ES_tradnl" w:eastAsia="es-ES"/>
        </w:rPr>
        <w:t xml:space="preserve">natural </w:t>
      </w:r>
      <w:commentRangeEnd w:id="4"/>
      <w:r w:rsidR="003526D7">
        <w:rPr>
          <w:rStyle w:val="Refdecomentario"/>
        </w:rPr>
        <w:commentReference w:id="4"/>
      </w:r>
      <w:commentRangeEnd w:id="5"/>
      <w:r w:rsidR="00495F83">
        <w:rPr>
          <w:rStyle w:val="Refdecomentario"/>
        </w:rPr>
        <w:commentReference w:id="5"/>
      </w:r>
      <w:r w:rsidRPr="00F93C8E">
        <w:rPr>
          <w:rFonts w:ascii="Arial" w:eastAsia="Times New Roman" w:hAnsi="Arial" w:cs="Arial"/>
          <w:bCs/>
          <w:snapToGrid w:val="0"/>
          <w:sz w:val="20"/>
          <w:szCs w:val="20"/>
          <w:lang w:val="es-ES_tradnl" w:eastAsia="es-ES"/>
        </w:rPr>
        <w:t>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CFB488" w14:textId="5C763A23"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E246DF" w:rsidRPr="00E246DF">
        <w:rPr>
          <w:rFonts w:ascii="Arial" w:eastAsia="Times New Roman" w:hAnsi="Arial" w:cs="Arial"/>
          <w:bCs/>
          <w:snapToGrid w:val="0"/>
          <w:sz w:val="20"/>
          <w:szCs w:val="20"/>
          <w:lang w:val="es-ES_tradnl" w:eastAsia="es-ES"/>
        </w:rPr>
        <w:t xml:space="preserve">De conformidad con lo establecido en el artículo 169, fracción II, </w:t>
      </w:r>
      <w:commentRangeStart w:id="6"/>
      <w:commentRangeStart w:id="7"/>
      <w:r w:rsidR="003526D7">
        <w:rPr>
          <w:rFonts w:ascii="Arial" w:eastAsia="Times New Roman" w:hAnsi="Arial" w:cs="Arial"/>
          <w:bCs/>
          <w:snapToGrid w:val="0"/>
          <w:sz w:val="20"/>
          <w:szCs w:val="20"/>
          <w:lang w:val="es-ES_tradnl" w:eastAsia="es-ES"/>
        </w:rPr>
        <w:t>cuarto</w:t>
      </w:r>
      <w:commentRangeEnd w:id="6"/>
      <w:r w:rsidR="003526D7">
        <w:rPr>
          <w:rStyle w:val="Refdecomentario"/>
        </w:rPr>
        <w:commentReference w:id="6"/>
      </w:r>
      <w:commentRangeEnd w:id="7"/>
      <w:r w:rsidR="00AB7492">
        <w:rPr>
          <w:rStyle w:val="Refdecomentario"/>
        </w:rPr>
        <w:commentReference w:id="7"/>
      </w:r>
      <w:r w:rsidR="003526D7" w:rsidRPr="00E246DF">
        <w:rPr>
          <w:rFonts w:ascii="Arial" w:eastAsia="Times New Roman" w:hAnsi="Arial" w:cs="Arial"/>
          <w:bCs/>
          <w:snapToGrid w:val="0"/>
          <w:sz w:val="20"/>
          <w:szCs w:val="20"/>
          <w:lang w:val="es-ES_tradnl" w:eastAsia="es-ES"/>
        </w:rPr>
        <w:t xml:space="preserve"> </w:t>
      </w:r>
      <w:r w:rsidR="00E246DF" w:rsidRPr="00E246DF">
        <w:rPr>
          <w:rFonts w:ascii="Arial" w:eastAsia="Times New Roman" w:hAnsi="Arial" w:cs="Arial"/>
          <w:bCs/>
          <w:snapToGrid w:val="0"/>
          <w:sz w:val="20"/>
          <w:szCs w:val="20"/>
          <w:lang w:val="es-ES_tradnl" w:eastAsia="es-ES"/>
        </w:rPr>
        <w:t xml:space="preserve">párrafo, del Acuerdo General de Administración XIV/2019, se exceptúa la presentación de la fianza como garantía del cumplimiento del contrato, toda vez que el monto del presente contrato no excede la cantidad de </w:t>
      </w:r>
      <w:r w:rsidR="000A0175">
        <w:rPr>
          <w:rFonts w:ascii="Arial" w:eastAsia="Times New Roman" w:hAnsi="Arial" w:cs="Arial"/>
          <w:bCs/>
          <w:snapToGrid w:val="0"/>
          <w:sz w:val="20"/>
          <w:szCs w:val="20"/>
          <w:lang w:val="es-ES_tradnl" w:eastAsia="es-ES"/>
        </w:rPr>
        <w:t>7</w:t>
      </w:r>
      <w:r w:rsidR="00E246DF" w:rsidRPr="00E246DF">
        <w:rPr>
          <w:rFonts w:ascii="Arial" w:eastAsia="Times New Roman" w:hAnsi="Arial" w:cs="Arial"/>
          <w:bCs/>
          <w:snapToGrid w:val="0"/>
          <w:sz w:val="20"/>
          <w:szCs w:val="20"/>
          <w:lang w:val="es-ES_tradnl" w:eastAsia="es-ES"/>
        </w:rPr>
        <w:t>,</w:t>
      </w:r>
      <w:r w:rsidR="000A0175">
        <w:rPr>
          <w:rFonts w:ascii="Arial" w:eastAsia="Times New Roman" w:hAnsi="Arial" w:cs="Arial"/>
          <w:bCs/>
          <w:snapToGrid w:val="0"/>
          <w:sz w:val="20"/>
          <w:szCs w:val="20"/>
          <w:lang w:val="es-ES_tradnl" w:eastAsia="es-ES"/>
        </w:rPr>
        <w:t>5</w:t>
      </w:r>
      <w:r w:rsidR="00E246DF" w:rsidRPr="00E246DF">
        <w:rPr>
          <w:rFonts w:ascii="Arial" w:eastAsia="Times New Roman" w:hAnsi="Arial" w:cs="Arial"/>
          <w:bCs/>
          <w:snapToGrid w:val="0"/>
          <w:sz w:val="20"/>
          <w:szCs w:val="20"/>
          <w:lang w:val="es-ES_tradnl" w:eastAsia="es-ES"/>
        </w:rPr>
        <w:t>00 UMAS</w:t>
      </w:r>
      <w:r w:rsidR="003526D7" w:rsidRPr="003526D7">
        <w:t xml:space="preserve"> </w:t>
      </w:r>
      <w:r w:rsidR="003526D7" w:rsidRPr="003526D7">
        <w:rPr>
          <w:rFonts w:ascii="Arial" w:eastAsia="Times New Roman" w:hAnsi="Arial" w:cs="Arial"/>
          <w:bCs/>
          <w:snapToGrid w:val="0"/>
          <w:sz w:val="20"/>
          <w:szCs w:val="20"/>
          <w:lang w:val="es-ES_tradnl" w:eastAsia="es-ES"/>
        </w:rPr>
        <w:t>y el pago se realizará en su totalidad</w:t>
      </w:r>
      <w:r w:rsidR="003526D7">
        <w:rPr>
          <w:rFonts w:ascii="Arial" w:eastAsia="Times New Roman" w:hAnsi="Arial" w:cs="Arial"/>
          <w:bCs/>
          <w:snapToGrid w:val="0"/>
          <w:sz w:val="20"/>
          <w:szCs w:val="20"/>
          <w:lang w:val="es-ES_tradnl" w:eastAsia="es-ES"/>
        </w:rPr>
        <w:t xml:space="preserve"> contra entrega </w:t>
      </w:r>
      <w:r w:rsidR="003526D7" w:rsidRPr="003526D7">
        <w:rPr>
          <w:rFonts w:ascii="Arial" w:eastAsia="Times New Roman" w:hAnsi="Arial" w:cs="Arial"/>
          <w:bCs/>
          <w:snapToGrid w:val="0"/>
          <w:sz w:val="20"/>
          <w:szCs w:val="20"/>
          <w:lang w:val="es-ES_tradnl" w:eastAsia="es-ES"/>
        </w:rPr>
        <w:t>del servicio debidamente ejecutado y a entera satisfacción de la Suprema Corte de Justicia de la Nación</w:t>
      </w:r>
      <w:r w:rsidR="00E246DF" w:rsidRPr="00E246DF">
        <w:rPr>
          <w:rFonts w:ascii="Arial" w:eastAsia="Times New Roman" w:hAnsi="Arial" w:cs="Arial"/>
          <w:bCs/>
          <w:snapToGrid w:val="0"/>
          <w:sz w:val="20"/>
          <w:szCs w:val="20"/>
          <w:lang w:val="es-ES_tradnl" w:eastAsia="es-ES"/>
        </w:rPr>
        <w:t>.</w:t>
      </w:r>
    </w:p>
    <w:p w14:paraId="484DBBB8" w14:textId="5C730387" w:rsidR="00171E9A" w:rsidRPr="000A0175" w:rsidRDefault="00171E9A" w:rsidP="000A0175">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xml:space="preserve">.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w:t>
      </w:r>
      <w:r w:rsidRPr="000A0175">
        <w:rPr>
          <w:rFonts w:ascii="Arial" w:eastAsia="Times New Roman" w:hAnsi="Arial" w:cs="Arial"/>
          <w:bCs/>
          <w:snapToGrid w:val="0"/>
          <w:sz w:val="20"/>
          <w:szCs w:val="20"/>
          <w:lang w:val="es-ES_tradnl" w:eastAsia="es-ES"/>
        </w:rPr>
        <w:lastRenderedPageBreak/>
        <w:t>caso, y se computarán por días naturales, desde la fecha del pago al “Prestador de Servicios”, hasta la fecha que se pongan efectivamente las cantidades a disposición de la “Suprema Corte”.</w:t>
      </w:r>
    </w:p>
    <w:p w14:paraId="69276B6A" w14:textId="38FA9D7E" w:rsidR="00171E9A" w:rsidRPr="00F93C8E" w:rsidRDefault="000A017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663BEA8C"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053952">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4165B7">
        <w:rPr>
          <w:rFonts w:ascii="Arial" w:eastAsia="Times New Roman" w:hAnsi="Arial" w:cs="Arial"/>
          <w:bCs/>
          <w:snapToGrid w:val="0"/>
          <w:sz w:val="20"/>
          <w:szCs w:val="20"/>
          <w:lang w:val="es-ES_tradnl" w:eastAsia="es-ES"/>
        </w:rPr>
        <w:t>n</w:t>
      </w:r>
      <w:r w:rsidR="007E6397">
        <w:rPr>
          <w:rFonts w:ascii="Arial" w:eastAsia="Times New Roman" w:hAnsi="Arial" w:cs="Arial"/>
          <w:bCs/>
          <w:snapToGrid w:val="0"/>
          <w:sz w:val="20"/>
          <w:szCs w:val="20"/>
          <w:lang w:val="es-ES_tradnl" w:eastAsia="es-ES"/>
        </w:rPr>
        <w:t xml:space="preserve"> </w:t>
      </w:r>
      <w:r w:rsidR="009260F1">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053952">
        <w:rPr>
          <w:rFonts w:ascii="Arial" w:eastAsia="Times New Roman" w:hAnsi="Arial" w:cs="Arial"/>
          <w:bCs/>
          <w:snapToGrid w:val="0"/>
          <w:sz w:val="20"/>
          <w:szCs w:val="20"/>
          <w:lang w:val="es-ES_tradnl" w:eastAsia="es-ES"/>
        </w:rPr>
        <w:t xml:space="preserve">este </w:t>
      </w:r>
      <w:r w:rsidRPr="006C2FEA">
        <w:rPr>
          <w:rFonts w:ascii="Arial" w:eastAsia="Times New Roman" w:hAnsi="Arial" w:cs="Arial"/>
          <w:bCs/>
          <w:snapToGrid w:val="0"/>
          <w:sz w:val="20"/>
          <w:szCs w:val="20"/>
          <w:lang w:val="es-ES_tradnl" w:eastAsia="es-ES"/>
        </w:rPr>
        <w:t>y la “Suprema Corte”.</w:t>
      </w:r>
    </w:p>
    <w:p w14:paraId="54F1A529" w14:textId="1431D1A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w:t>
      </w:r>
      <w:r w:rsidR="00CC7605">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3EA1488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sidR="001E7FC5">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sidR="001E7FC5">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4F16F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A4CF15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Primer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2520B6B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D1D57CD"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Tercer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172BF7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47E700B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34BDD1D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5060BE1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397BC0D1"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DC70938"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39BB7522"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w:t>
      </w:r>
      <w:r w:rsidR="00AC53A2">
        <w:rPr>
          <w:rFonts w:ascii="Arial" w:eastAsia="Times New Roman" w:hAnsi="Arial" w:cs="Arial"/>
          <w:b/>
          <w:snapToGrid w:val="0"/>
          <w:sz w:val="20"/>
          <w:szCs w:val="20"/>
          <w:lang w:val="es-ES_tradnl" w:eastAsia="es-ES"/>
        </w:rPr>
        <w:t>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7896BB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4C68278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4F16FB">
        <w:rPr>
          <w:rFonts w:ascii="Arial" w:eastAsia="Times New Roman" w:hAnsi="Arial" w:cs="Arial"/>
          <w:bCs/>
          <w:snapToGrid w:val="0"/>
          <w:sz w:val="20"/>
          <w:szCs w:val="20"/>
          <w:lang w:val="es-ES_tradnl" w:eastAsia="es-ES"/>
        </w:rPr>
        <w:t xml:space="preserve">persona titular de la Dirección </w:t>
      </w:r>
      <w:r w:rsidRPr="00AC53A2">
        <w:rPr>
          <w:rFonts w:ascii="Arial" w:eastAsia="Times New Roman" w:hAnsi="Arial" w:cs="Arial"/>
          <w:bCs/>
          <w:snapToGrid w:val="0"/>
          <w:sz w:val="20"/>
          <w:szCs w:val="20"/>
          <w:lang w:val="es-ES_tradnl" w:eastAsia="es-ES"/>
        </w:rPr>
        <w:t>General de Infraestructura Física de la “Suprema Corte” podrá sustituir al “Administrador” del contrato, lo que informará por escrito al “Prestador de Servicios”.</w:t>
      </w:r>
    </w:p>
    <w:p w14:paraId="33236808" w14:textId="09224CAA" w:rsidR="00AC53A2" w:rsidRPr="00AC53A2" w:rsidRDefault="00171E9A" w:rsidP="00AC53A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sidR="00AC53A2">
        <w:rPr>
          <w:rFonts w:ascii="Arial" w:eastAsia="Times New Roman" w:hAnsi="Arial" w:cs="Arial"/>
          <w:bCs/>
          <w:snapToGrid w:val="0"/>
          <w:sz w:val="20"/>
          <w:szCs w:val="20"/>
          <w:lang w:val="es-ES_tradnl" w:eastAsia="es-ES"/>
        </w:rPr>
        <w:t>por un</w:t>
      </w:r>
      <w:r w:rsidR="00AC53A2"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Suprema Corte</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 respecto de la calidad de</w:t>
      </w:r>
      <w:r w:rsidR="004F4DDD">
        <w:rPr>
          <w:rFonts w:ascii="Arial" w:eastAsia="Times New Roman" w:hAnsi="Arial" w:cs="Arial"/>
          <w:bCs/>
          <w:snapToGrid w:val="0"/>
          <w:sz w:val="20"/>
          <w:szCs w:val="20"/>
          <w:lang w:val="es-ES_tradnl" w:eastAsia="es-ES"/>
        </w:rPr>
        <w:t>l servicio</w:t>
      </w:r>
      <w:r w:rsidR="004E1B57">
        <w:rPr>
          <w:rFonts w:ascii="Arial" w:eastAsia="Times New Roman" w:hAnsi="Arial" w:cs="Arial"/>
          <w:bCs/>
          <w:snapToGrid w:val="0"/>
          <w:sz w:val="20"/>
          <w:szCs w:val="20"/>
          <w:lang w:val="es-ES_tradnl" w:eastAsia="es-ES"/>
        </w:rPr>
        <w:t xml:space="preserve"> e</w:t>
      </w:r>
      <w:r w:rsidR="00306A26">
        <w:rPr>
          <w:rFonts w:ascii="Arial" w:eastAsia="Times New Roman" w:hAnsi="Arial" w:cs="Arial"/>
          <w:bCs/>
          <w:snapToGrid w:val="0"/>
          <w:sz w:val="20"/>
          <w:szCs w:val="20"/>
          <w:lang w:val="es-ES_tradnl" w:eastAsia="es-ES"/>
        </w:rPr>
        <w:t>jecutado</w:t>
      </w:r>
      <w:r w:rsidR="004F4DDD">
        <w:rPr>
          <w:rFonts w:ascii="Arial" w:eastAsia="Times New Roman" w:hAnsi="Arial" w:cs="Arial"/>
          <w:bCs/>
          <w:snapToGrid w:val="0"/>
          <w:sz w:val="20"/>
          <w:szCs w:val="20"/>
          <w:lang w:val="es-ES_tradnl" w:eastAsia="es-ES"/>
        </w:rPr>
        <w:t>.</w:t>
      </w:r>
    </w:p>
    <w:p w14:paraId="73ADB414" w14:textId="08CEB32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77777777" w:rsidR="005748ED" w:rsidRPr="00F9180D" w:rsidRDefault="00AC53A2"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8C688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w:t>
      </w:r>
      <w:r w:rsidRPr="00F9180D">
        <w:rPr>
          <w:rFonts w:ascii="Arial" w:hAnsi="Arial" w:cs="Arial"/>
          <w:bCs/>
          <w:sz w:val="20"/>
          <w:szCs w:val="20"/>
        </w:rPr>
        <w:lastRenderedPageBreak/>
        <w:t>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E90C487" w14:textId="57F464AE" w:rsidR="005748ED" w:rsidRPr="00D46A61" w:rsidRDefault="005748ED" w:rsidP="005748E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284C768"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7D07459" w14:textId="1868CD69"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2D5EA065" w14:textId="77777777" w:rsidR="00D919D4" w:rsidRPr="00F9180D" w:rsidRDefault="00171E9A" w:rsidP="00D919D4">
      <w:pPr>
        <w:tabs>
          <w:tab w:val="left" w:pos="426"/>
          <w:tab w:val="left" w:pos="1276"/>
        </w:tabs>
        <w:spacing w:after="120" w:line="240" w:lineRule="auto"/>
        <w:ind w:left="-284" w:right="-408"/>
        <w:jc w:val="center"/>
        <w:rPr>
          <w:rFonts w:ascii="Arial" w:hAnsi="Arial" w:cs="Arial"/>
          <w:b/>
          <w:bCs/>
          <w:sz w:val="20"/>
          <w:szCs w:val="20"/>
        </w:rPr>
      </w:pPr>
      <w:r w:rsidRPr="00AC53A2">
        <w:rPr>
          <w:rFonts w:ascii="Arial" w:eastAsia="Times New Roman" w:hAnsi="Arial" w:cs="Arial"/>
          <w:bCs/>
          <w:snapToGrid w:val="0"/>
          <w:sz w:val="20"/>
          <w:szCs w:val="20"/>
          <w:lang w:val="es-ES_tradnl" w:eastAsia="es-ES"/>
        </w:rPr>
        <w:tab/>
      </w:r>
      <w:r w:rsidR="00D919D4"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78317A5E"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C1A1E2C" w14:textId="77777777" w:rsidR="00F73462" w:rsidRPr="00171E9A" w:rsidRDefault="00D919D4"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F73462" w:rsidRPr="00AE011C">
        <w:rPr>
          <w:rFonts w:ascii="Arial" w:eastAsia="Times New Roman" w:hAnsi="Arial" w:cs="Arial"/>
          <w:bCs/>
          <w:snapToGrid w:val="0"/>
          <w:sz w:val="20"/>
          <w:szCs w:val="20"/>
          <w:lang w:val="es-ES_tradnl" w:eastAsia="es-ES"/>
        </w:rPr>
        <w:t>2</w:t>
      </w:r>
      <w:r w:rsidR="00F73462" w:rsidRPr="004A6E9A">
        <w:rPr>
          <w:rFonts w:ascii="Arial" w:eastAsia="Times New Roman" w:hAnsi="Arial" w:cs="Arial"/>
          <w:bCs/>
          <w:snapToGrid w:val="0"/>
          <w:sz w:val="20"/>
          <w:szCs w:val="20"/>
          <w:lang w:val="es-ES_tradnl" w:eastAsia="es-ES"/>
        </w:rPr>
        <w:t>4510930</w:t>
      </w:r>
      <w:r w:rsidR="00F73462">
        <w:rPr>
          <w:rFonts w:ascii="Arial" w:eastAsia="Times New Roman" w:hAnsi="Arial" w:cs="Arial"/>
          <w:bCs/>
          <w:snapToGrid w:val="0"/>
          <w:sz w:val="20"/>
          <w:szCs w:val="20"/>
          <w:lang w:val="es-ES_tradnl" w:eastAsia="es-ES"/>
        </w:rPr>
        <w:t>S</w:t>
      </w:r>
      <w:r w:rsidR="00F73462" w:rsidRPr="004A6E9A">
        <w:rPr>
          <w:rFonts w:ascii="Arial" w:eastAsia="Times New Roman" w:hAnsi="Arial" w:cs="Arial"/>
          <w:bCs/>
          <w:snapToGrid w:val="0"/>
          <w:sz w:val="20"/>
          <w:szCs w:val="20"/>
          <w:lang w:val="es-ES_tradnl" w:eastAsia="es-ES"/>
        </w:rPr>
        <w:t>0010001</w:t>
      </w:r>
      <w:r w:rsidR="00F73462" w:rsidRPr="00171E9A">
        <w:rPr>
          <w:rFonts w:ascii="Arial" w:eastAsia="Times New Roman" w:hAnsi="Arial" w:cs="Arial"/>
          <w:bCs/>
          <w:snapToGrid w:val="0"/>
          <w:sz w:val="20"/>
          <w:szCs w:val="20"/>
          <w:lang w:val="es-ES_tradnl" w:eastAsia="es-ES"/>
        </w:rPr>
        <w:t>, Partida Presupuestal</w:t>
      </w:r>
      <w:r w:rsidR="00F73462">
        <w:rPr>
          <w:rFonts w:ascii="Arial" w:eastAsia="Times New Roman" w:hAnsi="Arial" w:cs="Arial"/>
          <w:bCs/>
          <w:snapToGrid w:val="0"/>
          <w:sz w:val="20"/>
          <w:szCs w:val="20"/>
          <w:lang w:val="es-ES_tradnl" w:eastAsia="es-ES"/>
        </w:rPr>
        <w:t xml:space="preserve"> </w:t>
      </w:r>
      <w:r w:rsidR="00F73462" w:rsidRPr="00171E9A">
        <w:rPr>
          <w:rFonts w:ascii="Arial" w:eastAsia="Times New Roman" w:hAnsi="Arial" w:cs="Arial"/>
          <w:bCs/>
          <w:snapToGrid w:val="0"/>
          <w:sz w:val="20"/>
          <w:szCs w:val="20"/>
          <w:lang w:val="es-ES_tradnl" w:eastAsia="es-ES"/>
        </w:rPr>
        <w:t>35</w:t>
      </w:r>
      <w:r w:rsidR="00F73462">
        <w:rPr>
          <w:rFonts w:ascii="Arial" w:eastAsia="Times New Roman" w:hAnsi="Arial" w:cs="Arial"/>
          <w:bCs/>
          <w:snapToGrid w:val="0"/>
          <w:sz w:val="20"/>
          <w:szCs w:val="20"/>
          <w:lang w:val="es-ES_tradnl" w:eastAsia="es-ES"/>
        </w:rPr>
        <w:t>2</w:t>
      </w:r>
      <w:r w:rsidR="00F73462" w:rsidRPr="00171E9A">
        <w:rPr>
          <w:rFonts w:ascii="Arial" w:eastAsia="Times New Roman" w:hAnsi="Arial" w:cs="Arial"/>
          <w:bCs/>
          <w:snapToGrid w:val="0"/>
          <w:sz w:val="20"/>
          <w:szCs w:val="20"/>
          <w:lang w:val="es-ES_tradnl" w:eastAsia="es-ES"/>
        </w:rPr>
        <w:t xml:space="preserve">01 denominada “Mantenimiento y conservación de </w:t>
      </w:r>
      <w:r w:rsidR="00F73462" w:rsidRPr="00D327D3">
        <w:rPr>
          <w:rFonts w:ascii="Arial" w:eastAsia="Times New Roman" w:hAnsi="Arial" w:cs="Arial"/>
          <w:bCs/>
          <w:snapToGrid w:val="0"/>
          <w:sz w:val="20"/>
          <w:szCs w:val="20"/>
          <w:lang w:eastAsia="es-ES"/>
        </w:rPr>
        <w:t>mobiliario y equipo de administración</w:t>
      </w:r>
      <w:r w:rsidR="00F73462" w:rsidRPr="00171E9A">
        <w:rPr>
          <w:rFonts w:ascii="Arial" w:eastAsia="Times New Roman" w:hAnsi="Arial" w:cs="Arial"/>
          <w:bCs/>
          <w:snapToGrid w:val="0"/>
          <w:sz w:val="20"/>
          <w:szCs w:val="20"/>
          <w:lang w:val="es-ES_tradnl" w:eastAsia="es-ES"/>
        </w:rPr>
        <w:t>”</w:t>
      </w:r>
      <w:r w:rsidR="00F73462">
        <w:rPr>
          <w:rFonts w:ascii="Arial" w:eastAsia="Times New Roman" w:hAnsi="Arial" w:cs="Arial"/>
          <w:bCs/>
          <w:snapToGrid w:val="0"/>
          <w:sz w:val="20"/>
          <w:szCs w:val="20"/>
          <w:lang w:val="es-ES_tradnl" w:eastAsia="es-ES"/>
        </w:rPr>
        <w:t>.</w:t>
      </w:r>
    </w:p>
    <w:p w14:paraId="093B9699" w14:textId="610446D0"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C L Á U S U L A S</w:t>
      </w:r>
    </w:p>
    <w:p w14:paraId="582B2FE5" w14:textId="77777777" w:rsidR="00AD1243" w:rsidRPr="00AE011C"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lastRenderedPageBreak/>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descrito en el presente instrumento y a respetar en todo momento el objeto, precio, plazo, condiciones de pago y garantía señalados en el presente instrumento contractual, durante y hasta el cumplimiento total del objeto de este acuerdo de voluntades. </w:t>
      </w:r>
    </w:p>
    <w:p w14:paraId="0BD94886" w14:textId="77777777" w:rsidR="00AD1243" w:rsidRPr="00F9180D" w:rsidRDefault="00AD1243" w:rsidP="00AD1243">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9BFF879" w14:textId="77777777" w:rsidR="00AD1243" w:rsidRPr="00AE011C"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44AC11D9" w14:textId="77777777" w:rsidR="00AD1243" w:rsidRPr="00AE011C"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Pr>
          <w:rFonts w:ascii="Arial" w:eastAsia="Times New Roman" w:hAnsi="Arial" w:cs="Arial"/>
          <w:bCs/>
          <w:snapToGrid w:val="0"/>
          <w:sz w:val="20"/>
          <w:szCs w:val="20"/>
          <w:lang w:val="es-ES_tradnl" w:eastAsia="es-ES"/>
        </w:rPr>
        <w:t xml:space="preserve"> </w:t>
      </w:r>
      <w:r w:rsidRPr="008A12C4">
        <w:rPr>
          <w:rFonts w:ascii="Arial" w:eastAsia="Times New Roman" w:hAnsi="Arial" w:cs="Arial"/>
          <w:bCs/>
          <w:snapToGrid w:val="0"/>
          <w:sz w:val="20"/>
          <w:szCs w:val="20"/>
          <w:lang w:val="es-ES" w:eastAsia="es-ES"/>
        </w:rPr>
        <w:t xml:space="preserve">contra entrega </w:t>
      </w:r>
      <w:r w:rsidRPr="00F73462">
        <w:rPr>
          <w:rFonts w:ascii="Arial" w:eastAsia="Times New Roman" w:hAnsi="Arial" w:cs="Arial"/>
          <w:bCs/>
          <w:snapToGrid w:val="0"/>
          <w:sz w:val="20"/>
          <w:szCs w:val="20"/>
          <w:lang w:val="es-ES" w:eastAsia="es-ES"/>
        </w:rPr>
        <w:t xml:space="preserve">del servicio debidamente ejecutado </w:t>
      </w:r>
      <w:r w:rsidRPr="008A12C4">
        <w:rPr>
          <w:rFonts w:ascii="Arial" w:eastAsia="Times New Roman" w:hAnsi="Arial" w:cs="Arial"/>
          <w:bCs/>
          <w:snapToGrid w:val="0"/>
          <w:sz w:val="20"/>
          <w:szCs w:val="20"/>
          <w:lang w:val="es-ES" w:eastAsia="es-ES"/>
        </w:rPr>
        <w:t>y a entera satisfacción</w:t>
      </w:r>
      <w:r>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8358E25" w14:textId="77777777" w:rsidR="00AD1243" w:rsidRPr="00AE011C"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599AF2E3" w14:textId="77777777" w:rsidR="00AD1243"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171E9A">
        <w:rPr>
          <w:rFonts w:ascii="Arial" w:eastAsia="Times New Roman" w:hAnsi="Arial" w:cs="Arial"/>
          <w:b/>
          <w:snapToGrid w:val="0"/>
          <w:sz w:val="20"/>
          <w:szCs w:val="20"/>
          <w:lang w:val="es-ES_tradnl" w:eastAsia="es-ES"/>
        </w:rPr>
        <w:t xml:space="preserve">Cuarta. Lugar de prestación del servicio.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Pr>
          <w:rFonts w:ascii="Arial" w:eastAsia="Times New Roman" w:hAnsi="Arial" w:cs="Arial"/>
          <w:bCs/>
          <w:snapToGrid w:val="0"/>
          <w:sz w:val="20"/>
          <w:szCs w:val="20"/>
          <w:lang w:val="es-ES_tradnl" w:eastAsia="es-ES"/>
        </w:rPr>
        <w:t xml:space="preserve"> </w:t>
      </w:r>
      <w:r w:rsidRPr="005B67AD">
        <w:rPr>
          <w:rFonts w:ascii="Arial" w:eastAsia="Times New Roman" w:hAnsi="Arial" w:cs="Arial"/>
          <w:bCs/>
          <w:snapToGrid w:val="0"/>
          <w:sz w:val="20"/>
          <w:szCs w:val="20"/>
          <w:lang w:eastAsia="es-ES"/>
        </w:rPr>
        <w:t xml:space="preserve">en </w:t>
      </w:r>
      <w:r>
        <w:rPr>
          <w:rFonts w:ascii="Arial" w:eastAsia="Times New Roman" w:hAnsi="Arial" w:cs="Arial"/>
          <w:bCs/>
          <w:snapToGrid w:val="0"/>
          <w:sz w:val="20"/>
          <w:szCs w:val="20"/>
          <w:lang w:eastAsia="es-ES"/>
        </w:rPr>
        <w:t>los siguientes</w:t>
      </w:r>
      <w:r w:rsidRPr="005B67AD">
        <w:rPr>
          <w:rFonts w:ascii="Arial" w:eastAsia="Times New Roman" w:hAnsi="Arial" w:cs="Arial"/>
          <w:bCs/>
          <w:snapToGrid w:val="0"/>
          <w:sz w:val="20"/>
          <w:szCs w:val="20"/>
          <w:lang w:eastAsia="es-ES"/>
        </w:rPr>
        <w:t xml:space="preserve"> inmueble</w:t>
      </w:r>
      <w:r>
        <w:rPr>
          <w:rFonts w:ascii="Arial" w:eastAsia="Times New Roman" w:hAnsi="Arial" w:cs="Arial"/>
          <w:bCs/>
          <w:snapToGrid w:val="0"/>
          <w:sz w:val="20"/>
          <w:szCs w:val="20"/>
          <w:lang w:eastAsia="es-ES"/>
        </w:rPr>
        <w:t>s:</w:t>
      </w:r>
    </w:p>
    <w:p w14:paraId="2864D950" w14:textId="77777777" w:rsidR="00AD1243" w:rsidRPr="00F7346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a. </w:t>
      </w:r>
      <w:r w:rsidRPr="00F73462">
        <w:rPr>
          <w:rFonts w:ascii="Arial" w:eastAsia="Times New Roman" w:hAnsi="Arial" w:cs="Arial"/>
          <w:bCs/>
          <w:snapToGrid w:val="0"/>
          <w:sz w:val="20"/>
          <w:szCs w:val="20"/>
          <w:lang w:eastAsia="es-ES"/>
        </w:rPr>
        <w:t>Edificio Sede, ubicado en avenida José María Pino Suárez número 2, colonia Centro, código postal 06060, alcaldía Cuauhtémoc, Ciudad de México.</w:t>
      </w:r>
    </w:p>
    <w:p w14:paraId="3FF1ACA7" w14:textId="77777777" w:rsidR="00AD1243" w:rsidRPr="00F7346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b. </w:t>
      </w:r>
      <w:r w:rsidRPr="00F73462">
        <w:rPr>
          <w:rFonts w:ascii="Arial" w:eastAsia="Times New Roman" w:hAnsi="Arial" w:cs="Arial"/>
          <w:bCs/>
          <w:snapToGrid w:val="0"/>
          <w:sz w:val="20"/>
          <w:szCs w:val="20"/>
          <w:lang w:eastAsia="es-ES"/>
        </w:rPr>
        <w:t>Edificio Alterno, ubicado en calle 16 de Septiembre número 38, colonia Centro, código postal 06000, alcaldía Cuauhtémoc, Ciudad de México.</w:t>
      </w:r>
    </w:p>
    <w:p w14:paraId="35794D4C" w14:textId="77777777" w:rsidR="00AD1243" w:rsidRPr="00F7346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c. </w:t>
      </w:r>
      <w:r w:rsidRPr="00F73462">
        <w:rPr>
          <w:rFonts w:ascii="Arial" w:eastAsia="Times New Roman" w:hAnsi="Arial" w:cs="Arial"/>
          <w:bCs/>
          <w:snapToGrid w:val="0"/>
          <w:sz w:val="20"/>
          <w:szCs w:val="20"/>
          <w:lang w:eastAsia="es-ES"/>
        </w:rPr>
        <w:t>Edificio Bolívar, ubicado en calle Bolívar número 30, colonia Centro, código postal 06010, alcaldía Cuauhtémoc, Ciudad de México.</w:t>
      </w:r>
    </w:p>
    <w:p w14:paraId="09973328" w14:textId="77777777" w:rsidR="00AD1243" w:rsidRPr="00F7346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d. </w:t>
      </w:r>
      <w:r w:rsidRPr="00F73462">
        <w:rPr>
          <w:rFonts w:ascii="Arial" w:eastAsia="Times New Roman" w:hAnsi="Arial" w:cs="Arial"/>
          <w:bCs/>
          <w:snapToGrid w:val="0"/>
          <w:sz w:val="20"/>
          <w:szCs w:val="20"/>
          <w:lang w:eastAsia="es-ES"/>
        </w:rPr>
        <w:t>Edificio Centro de Desarrollo Infantil, ubicado en Chimalpopoca número 112, esquina San Salvador el Verde, colonia Centro, código postal 06080, alcaldía Cuauhtémoc, Ciudad de México.</w:t>
      </w:r>
    </w:p>
    <w:p w14:paraId="08923125" w14:textId="77777777" w:rsidR="00AD1243" w:rsidRPr="00F7346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F73462">
        <w:rPr>
          <w:rFonts w:ascii="Arial" w:eastAsia="Times New Roman" w:hAnsi="Arial" w:cs="Arial"/>
          <w:b/>
          <w:snapToGrid w:val="0"/>
          <w:sz w:val="20"/>
          <w:szCs w:val="20"/>
          <w:lang w:eastAsia="es-ES"/>
        </w:rPr>
        <w:t>e.</w:t>
      </w:r>
      <w:r>
        <w:rPr>
          <w:rFonts w:ascii="Arial" w:eastAsia="Times New Roman" w:hAnsi="Arial" w:cs="Arial"/>
          <w:bCs/>
          <w:snapToGrid w:val="0"/>
          <w:sz w:val="20"/>
          <w:szCs w:val="20"/>
          <w:lang w:eastAsia="es-ES"/>
        </w:rPr>
        <w:t xml:space="preserve"> </w:t>
      </w:r>
      <w:r w:rsidRPr="00F73462">
        <w:rPr>
          <w:rFonts w:ascii="Arial" w:eastAsia="Times New Roman" w:hAnsi="Arial" w:cs="Arial"/>
          <w:bCs/>
          <w:snapToGrid w:val="0"/>
          <w:sz w:val="20"/>
          <w:szCs w:val="20"/>
          <w:lang w:eastAsia="es-ES"/>
        </w:rPr>
        <w:t>Edificio 5 de Febrero, ubicado en calle Chimalpopoca número 112, esquina 5 de Febrero, colonia Centro, código postal 06080, alcaldía Cuauhtémoc, Ciudad de México.</w:t>
      </w:r>
    </w:p>
    <w:p w14:paraId="6B7400FA" w14:textId="77777777" w:rsidR="00AD1243" w:rsidRPr="00F7346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sidRPr="00F73462">
        <w:rPr>
          <w:rFonts w:ascii="Arial" w:eastAsia="Times New Roman" w:hAnsi="Arial" w:cs="Arial"/>
          <w:b/>
          <w:snapToGrid w:val="0"/>
          <w:sz w:val="20"/>
          <w:szCs w:val="20"/>
          <w:lang w:eastAsia="es-ES"/>
        </w:rPr>
        <w:t>f.</w:t>
      </w:r>
      <w:r>
        <w:rPr>
          <w:rFonts w:ascii="Arial" w:eastAsia="Times New Roman" w:hAnsi="Arial" w:cs="Arial"/>
          <w:bCs/>
          <w:snapToGrid w:val="0"/>
          <w:sz w:val="20"/>
          <w:szCs w:val="20"/>
          <w:lang w:eastAsia="es-ES"/>
        </w:rPr>
        <w:t xml:space="preserve"> </w:t>
      </w:r>
      <w:r w:rsidRPr="00F73462">
        <w:rPr>
          <w:rFonts w:ascii="Arial" w:eastAsia="Times New Roman" w:hAnsi="Arial" w:cs="Arial"/>
          <w:bCs/>
          <w:snapToGrid w:val="0"/>
          <w:sz w:val="20"/>
          <w:szCs w:val="20"/>
          <w:lang w:eastAsia="es-ES"/>
        </w:rPr>
        <w:t>Edificio Justicia T.V., ubicado en calle República de El Salvador número 56, colonia Centro, código postal 06010, alcaldía Cuauhtémoc, Ciudad de México.</w:t>
      </w:r>
    </w:p>
    <w:p w14:paraId="5C565AEC" w14:textId="77777777" w:rsidR="00AD1243"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eastAsia="es-ES"/>
        </w:rPr>
      </w:pPr>
      <w:r>
        <w:rPr>
          <w:rFonts w:ascii="Arial" w:eastAsia="Times New Roman" w:hAnsi="Arial" w:cs="Arial"/>
          <w:b/>
          <w:snapToGrid w:val="0"/>
          <w:sz w:val="20"/>
          <w:szCs w:val="20"/>
          <w:lang w:eastAsia="es-ES"/>
        </w:rPr>
        <w:t xml:space="preserve">g. </w:t>
      </w:r>
      <w:r w:rsidRPr="00F73462">
        <w:rPr>
          <w:rFonts w:ascii="Arial" w:eastAsia="Times New Roman" w:hAnsi="Arial" w:cs="Arial"/>
          <w:bCs/>
          <w:snapToGrid w:val="0"/>
          <w:sz w:val="20"/>
          <w:szCs w:val="20"/>
          <w:lang w:eastAsia="es-ES"/>
        </w:rPr>
        <w:t>Almacén General, ubicado en calzada Ignacio Zaragoza número 1340, colonia Juan Escutia, código postal 09100, alcaldía Iztapalapa, Ciudad de México.</w:t>
      </w:r>
    </w:p>
    <w:p w14:paraId="77EB0358"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commentRangeStart w:id="8"/>
      <w:commentRangeStart w:id="9"/>
      <w:r w:rsidRPr="00171E9A">
        <w:rPr>
          <w:rFonts w:ascii="Arial" w:eastAsia="Times New Roman" w:hAnsi="Arial" w:cs="Arial"/>
          <w:b/>
          <w:snapToGrid w:val="0"/>
          <w:sz w:val="20"/>
          <w:szCs w:val="20"/>
          <w:lang w:val="es-ES_tradnl" w:eastAsia="es-ES"/>
        </w:rPr>
        <w:t>Quinta. Vigencia del contrato y plazo de prestación de los servicios</w:t>
      </w:r>
      <w:commentRangeEnd w:id="8"/>
      <w:r w:rsidR="00334308">
        <w:rPr>
          <w:rStyle w:val="Refdecomentario"/>
        </w:rPr>
        <w:commentReference w:id="8"/>
      </w:r>
      <w:commentRangeEnd w:id="9"/>
      <w:r w:rsidR="00AB7492">
        <w:rPr>
          <w:rStyle w:val="Refdecomentario"/>
        </w:rPr>
        <w:commentReference w:id="9"/>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 xml:space="preserve">de </w:t>
      </w:r>
      <w:r w:rsidRPr="00F73462">
        <w:rPr>
          <w:rFonts w:ascii="Arial" w:eastAsia="Times New Roman" w:hAnsi="Arial" w:cs="Arial"/>
          <w:bCs/>
          <w:snapToGrid w:val="0"/>
          <w:sz w:val="20"/>
          <w:szCs w:val="20"/>
          <w:lang w:val="es-ES" w:eastAsia="es-ES"/>
        </w:rPr>
        <w:t>sesenta días naturales, contados a partir del día hábil siguiente a la formalización del contrato</w:t>
      </w:r>
      <w:r w:rsidRPr="00F93C8E">
        <w:rPr>
          <w:rFonts w:ascii="Arial" w:eastAsia="Times New Roman" w:hAnsi="Arial" w:cs="Arial"/>
          <w:bCs/>
          <w:snapToGrid w:val="0"/>
          <w:sz w:val="20"/>
          <w:szCs w:val="20"/>
          <w:lang w:val="es-ES_tradnl" w:eastAsia="es-ES"/>
        </w:rPr>
        <w:t xml:space="preserve">. </w:t>
      </w:r>
    </w:p>
    <w:p w14:paraId="0DEC5197"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3E02C2D5"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0AF928F8"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13A55F6E" w14:textId="52C140A1"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xml:space="preserve">, la “Suprema Corte” podrá aplicar una pena convencional hasta por el 10% (diez por ciento) del monto que corresponda al valor de los </w:t>
      </w:r>
      <w:commentRangeStart w:id="10"/>
      <w:commentRangeStart w:id="11"/>
      <w:r w:rsidRPr="00F93C8E">
        <w:rPr>
          <w:rFonts w:ascii="Arial" w:eastAsia="Times New Roman" w:hAnsi="Arial" w:cs="Arial"/>
          <w:bCs/>
          <w:snapToGrid w:val="0"/>
          <w:sz w:val="20"/>
          <w:szCs w:val="20"/>
          <w:lang w:val="es-ES_tradnl" w:eastAsia="es-ES"/>
        </w:rPr>
        <w:t>servicios</w:t>
      </w:r>
      <w:commentRangeEnd w:id="10"/>
      <w:r w:rsidR="00334308">
        <w:rPr>
          <w:rStyle w:val="Refdecomentario"/>
        </w:rPr>
        <w:commentReference w:id="10"/>
      </w:r>
      <w:commentRangeEnd w:id="11"/>
      <w:r w:rsidR="00AB7492">
        <w:rPr>
          <w:rStyle w:val="Refdecomentario"/>
        </w:rPr>
        <w:commentReference w:id="11"/>
      </w:r>
      <w:r w:rsidRPr="00F93C8E">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sin incluir </w:t>
      </w:r>
      <w:r>
        <w:rPr>
          <w:rFonts w:ascii="Arial" w:eastAsia="Times New Roman" w:hAnsi="Arial" w:cs="Arial"/>
          <w:bCs/>
          <w:snapToGrid w:val="0"/>
          <w:sz w:val="20"/>
          <w:szCs w:val="20"/>
          <w:lang w:val="es-ES_tradnl" w:eastAsia="es-ES"/>
        </w:rPr>
        <w:t>IVA)</w:t>
      </w:r>
      <w:r w:rsidRPr="00F93C8E">
        <w:rPr>
          <w:rFonts w:ascii="Arial" w:eastAsia="Times New Roman" w:hAnsi="Arial" w:cs="Arial"/>
          <w:bCs/>
          <w:snapToGrid w:val="0"/>
          <w:sz w:val="20"/>
          <w:szCs w:val="20"/>
          <w:lang w:val="es-ES_tradnl" w:eastAsia="es-ES"/>
        </w:rPr>
        <w:t xml:space="preserve">, que no se hayan </w:t>
      </w:r>
      <w:r>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4A4AAE51" w14:textId="4E1D2D0B"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equivalente al monto que resulte de aplicar el 1% (uno por ciento) por cada día </w:t>
      </w:r>
      <w:commentRangeStart w:id="12"/>
      <w:commentRangeStart w:id="13"/>
      <w:r w:rsidRPr="00F93C8E">
        <w:rPr>
          <w:rFonts w:ascii="Arial" w:eastAsia="Times New Roman" w:hAnsi="Arial" w:cs="Arial"/>
          <w:bCs/>
          <w:snapToGrid w:val="0"/>
          <w:sz w:val="20"/>
          <w:szCs w:val="20"/>
          <w:lang w:val="es-ES_tradnl" w:eastAsia="es-ES"/>
        </w:rPr>
        <w:t>natural</w:t>
      </w:r>
      <w:commentRangeEnd w:id="12"/>
      <w:r w:rsidR="00334308">
        <w:rPr>
          <w:rStyle w:val="Refdecomentario"/>
        </w:rPr>
        <w:commentReference w:id="12"/>
      </w:r>
      <w:commentRangeEnd w:id="13"/>
      <w:r w:rsidR="00495F83">
        <w:rPr>
          <w:rStyle w:val="Refdecomentario"/>
        </w:rPr>
        <w:commentReference w:id="13"/>
      </w:r>
      <w:r w:rsidRPr="00F93C8E">
        <w:rPr>
          <w:rFonts w:ascii="Arial" w:eastAsia="Times New Roman" w:hAnsi="Arial" w:cs="Arial"/>
          <w:bCs/>
          <w:snapToGrid w:val="0"/>
          <w:sz w:val="20"/>
          <w:szCs w:val="20"/>
          <w:lang w:val="es-ES_tradnl" w:eastAsia="es-ES"/>
        </w:rPr>
        <w:t xml:space="preserve"> a la cantidad que importen los servicios no prestados</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E0E2B79"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0A696D2"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lastRenderedPageBreak/>
        <w:t xml:space="preserve">Si las penas convencionales rebasan el porcentaje señalado anteriormente, se podrá iniciar el procedimiento de rescisión del contrato. </w:t>
      </w:r>
    </w:p>
    <w:p w14:paraId="41F4FCA3"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6E8CC6EA" w14:textId="5055CDE5"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E246DF">
        <w:rPr>
          <w:rFonts w:ascii="Arial" w:eastAsia="Times New Roman" w:hAnsi="Arial" w:cs="Arial"/>
          <w:bCs/>
          <w:snapToGrid w:val="0"/>
          <w:sz w:val="20"/>
          <w:szCs w:val="20"/>
          <w:lang w:val="es-ES_tradnl" w:eastAsia="es-ES"/>
        </w:rPr>
        <w:t xml:space="preserve">De conformidad con lo establecido en el artículo 169, fracción II, </w:t>
      </w:r>
      <w:commentRangeStart w:id="14"/>
      <w:commentRangeStart w:id="15"/>
      <w:r w:rsidR="00334308">
        <w:rPr>
          <w:rFonts w:ascii="Arial" w:eastAsia="Times New Roman" w:hAnsi="Arial" w:cs="Arial"/>
          <w:bCs/>
          <w:snapToGrid w:val="0"/>
          <w:sz w:val="20"/>
          <w:szCs w:val="20"/>
          <w:lang w:val="es-ES_tradnl" w:eastAsia="es-ES"/>
        </w:rPr>
        <w:t>cuarto</w:t>
      </w:r>
      <w:r w:rsidR="00334308" w:rsidRPr="00E246DF">
        <w:rPr>
          <w:rFonts w:ascii="Arial" w:eastAsia="Times New Roman" w:hAnsi="Arial" w:cs="Arial"/>
          <w:bCs/>
          <w:snapToGrid w:val="0"/>
          <w:sz w:val="20"/>
          <w:szCs w:val="20"/>
          <w:lang w:val="es-ES_tradnl" w:eastAsia="es-ES"/>
        </w:rPr>
        <w:t xml:space="preserve"> </w:t>
      </w:r>
      <w:commentRangeEnd w:id="14"/>
      <w:r w:rsidR="00334308">
        <w:rPr>
          <w:rStyle w:val="Refdecomentario"/>
        </w:rPr>
        <w:commentReference w:id="14"/>
      </w:r>
      <w:commentRangeEnd w:id="15"/>
      <w:r w:rsidR="00AB7492">
        <w:rPr>
          <w:rStyle w:val="Refdecomentario"/>
        </w:rPr>
        <w:commentReference w:id="15"/>
      </w:r>
      <w:r w:rsidRPr="00E246DF">
        <w:rPr>
          <w:rFonts w:ascii="Arial" w:eastAsia="Times New Roman" w:hAnsi="Arial" w:cs="Arial"/>
          <w:bCs/>
          <w:snapToGrid w:val="0"/>
          <w:sz w:val="20"/>
          <w:szCs w:val="20"/>
          <w:lang w:val="es-ES_tradnl" w:eastAsia="es-ES"/>
        </w:rPr>
        <w:t xml:space="preserve">párrafo, del Acuerdo General de Administración XIV/2019, se exceptúa la presentación de la fianza como garantía del cumplimiento del contrato, toda vez que el monto del presente contrato no excede la cantidad de </w:t>
      </w:r>
      <w:r>
        <w:rPr>
          <w:rFonts w:ascii="Arial" w:eastAsia="Times New Roman" w:hAnsi="Arial" w:cs="Arial"/>
          <w:bCs/>
          <w:snapToGrid w:val="0"/>
          <w:sz w:val="20"/>
          <w:szCs w:val="20"/>
          <w:lang w:val="es-ES_tradnl" w:eastAsia="es-ES"/>
        </w:rPr>
        <w:t>7</w:t>
      </w:r>
      <w:r w:rsidRPr="00E246DF">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5</w:t>
      </w:r>
      <w:r w:rsidRPr="00E246DF">
        <w:rPr>
          <w:rFonts w:ascii="Arial" w:eastAsia="Times New Roman" w:hAnsi="Arial" w:cs="Arial"/>
          <w:bCs/>
          <w:snapToGrid w:val="0"/>
          <w:sz w:val="20"/>
          <w:szCs w:val="20"/>
          <w:lang w:val="es-ES_tradnl" w:eastAsia="es-ES"/>
        </w:rPr>
        <w:t>00 UMAS</w:t>
      </w:r>
      <w:r w:rsidR="00334308">
        <w:rPr>
          <w:rFonts w:ascii="Arial" w:eastAsia="Times New Roman" w:hAnsi="Arial" w:cs="Arial"/>
          <w:bCs/>
          <w:snapToGrid w:val="0"/>
          <w:sz w:val="20"/>
          <w:szCs w:val="20"/>
          <w:lang w:val="es-ES_tradnl" w:eastAsia="es-ES"/>
        </w:rPr>
        <w:t xml:space="preserve"> </w:t>
      </w:r>
      <w:r w:rsidR="00334308" w:rsidRPr="003526D7">
        <w:rPr>
          <w:rFonts w:ascii="Arial" w:eastAsia="Times New Roman" w:hAnsi="Arial" w:cs="Arial"/>
          <w:bCs/>
          <w:snapToGrid w:val="0"/>
          <w:sz w:val="20"/>
          <w:szCs w:val="20"/>
          <w:lang w:val="es-ES_tradnl" w:eastAsia="es-ES"/>
        </w:rPr>
        <w:t>y el pago se realizará en su totalidad</w:t>
      </w:r>
      <w:r w:rsidR="00334308">
        <w:rPr>
          <w:rFonts w:ascii="Arial" w:eastAsia="Times New Roman" w:hAnsi="Arial" w:cs="Arial"/>
          <w:bCs/>
          <w:snapToGrid w:val="0"/>
          <w:sz w:val="20"/>
          <w:szCs w:val="20"/>
          <w:lang w:val="es-ES_tradnl" w:eastAsia="es-ES"/>
        </w:rPr>
        <w:t xml:space="preserve"> contra entrega </w:t>
      </w:r>
      <w:r w:rsidR="00334308" w:rsidRPr="003526D7">
        <w:rPr>
          <w:rFonts w:ascii="Arial" w:eastAsia="Times New Roman" w:hAnsi="Arial" w:cs="Arial"/>
          <w:bCs/>
          <w:snapToGrid w:val="0"/>
          <w:sz w:val="20"/>
          <w:szCs w:val="20"/>
          <w:lang w:val="es-ES_tradnl" w:eastAsia="es-ES"/>
        </w:rPr>
        <w:t>del servicio debidamente ejecutado y a entera satisfacción de la Suprema Corte de Justicia de la Nación</w:t>
      </w:r>
      <w:r w:rsidRPr="00E246DF">
        <w:rPr>
          <w:rFonts w:ascii="Arial" w:eastAsia="Times New Roman" w:hAnsi="Arial" w:cs="Arial"/>
          <w:bCs/>
          <w:snapToGrid w:val="0"/>
          <w:sz w:val="20"/>
          <w:szCs w:val="20"/>
          <w:lang w:val="es-ES_tradnl" w:eastAsia="es-ES"/>
        </w:rPr>
        <w:t>.</w:t>
      </w:r>
    </w:p>
    <w:p w14:paraId="29B7E6B6" w14:textId="77777777" w:rsidR="00AD1243" w:rsidRPr="000A0175"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F1A9695" w14:textId="77777777" w:rsidR="00AD1243" w:rsidRPr="00F93C8E"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0A0F8A07"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112EF55A"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51874A1F"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4E336B97"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Pr>
          <w:rFonts w:ascii="Arial" w:eastAsia="Times New Roman" w:hAnsi="Arial" w:cs="Arial"/>
          <w:bCs/>
          <w:snapToGrid w:val="0"/>
          <w:sz w:val="20"/>
          <w:szCs w:val="20"/>
          <w:lang w:val="es-ES_tradnl" w:eastAsia="es-ES"/>
        </w:rPr>
        <w:t xml:space="preserve">n 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Pr>
          <w:rFonts w:ascii="Arial" w:eastAsia="Times New Roman" w:hAnsi="Arial" w:cs="Arial"/>
          <w:bCs/>
          <w:snapToGrid w:val="0"/>
          <w:sz w:val="20"/>
          <w:szCs w:val="20"/>
          <w:lang w:val="es-ES_tradnl" w:eastAsia="es-ES"/>
        </w:rPr>
        <w:t xml:space="preserve">este </w:t>
      </w:r>
      <w:r w:rsidRPr="006C2FEA">
        <w:rPr>
          <w:rFonts w:ascii="Arial" w:eastAsia="Times New Roman" w:hAnsi="Arial" w:cs="Arial"/>
          <w:bCs/>
          <w:snapToGrid w:val="0"/>
          <w:sz w:val="20"/>
          <w:szCs w:val="20"/>
          <w:lang w:val="es-ES_tradnl" w:eastAsia="es-ES"/>
        </w:rPr>
        <w:t>y la “Suprema Corte”.</w:t>
      </w:r>
    </w:p>
    <w:p w14:paraId="25B36203"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w:t>
      </w:r>
      <w:r>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6DC3E4FA"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0F344D80" w14:textId="06C8AE4D"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308">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648DD295"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FD488FA"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0797B96A" w14:textId="77777777" w:rsidR="00AD1243" w:rsidRPr="00171E9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2B0BBC5" w14:textId="77777777" w:rsidR="00AD1243" w:rsidRPr="006C2FE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207179"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4AE00EE"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266795C"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04AA288"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A49E24C"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1F7B3B81" w14:textId="77777777" w:rsidR="00AD1243" w:rsidRPr="00171E9A"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55A678B0"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E70D3F2"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97FED36"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BBC2C06"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3CF1C250"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21B852A1" w14:textId="5BD366DC"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 xml:space="preserve">La </w:t>
      </w:r>
      <w:r w:rsidR="00334308">
        <w:rPr>
          <w:rFonts w:ascii="Arial" w:eastAsia="Times New Roman" w:hAnsi="Arial" w:cs="Arial"/>
          <w:bCs/>
          <w:snapToGrid w:val="0"/>
          <w:sz w:val="20"/>
          <w:szCs w:val="20"/>
          <w:lang w:val="es-ES_tradnl" w:eastAsia="es-ES"/>
        </w:rPr>
        <w:t>persona titular de la Dirección</w:t>
      </w:r>
      <w:r w:rsidR="00334308"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General de Infraestructura Física de la “Suprema Corte” podrá sustituir al “Administrador” del contrato, lo que informará por escrito al “Prestador de Servicios”.</w:t>
      </w:r>
    </w:p>
    <w:p w14:paraId="37469C9E"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Pr>
          <w:rFonts w:ascii="Arial" w:eastAsia="Times New Roman" w:hAnsi="Arial" w:cs="Arial"/>
          <w:bCs/>
          <w:snapToGrid w:val="0"/>
          <w:sz w:val="20"/>
          <w:szCs w:val="20"/>
          <w:lang w:val="es-ES_tradnl" w:eastAsia="es-ES"/>
        </w:rPr>
        <w:t>por un</w:t>
      </w:r>
      <w:r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 respecto de la calidad de</w:t>
      </w:r>
      <w:r>
        <w:rPr>
          <w:rFonts w:ascii="Arial" w:eastAsia="Times New Roman" w:hAnsi="Arial" w:cs="Arial"/>
          <w:bCs/>
          <w:snapToGrid w:val="0"/>
          <w:sz w:val="20"/>
          <w:szCs w:val="20"/>
          <w:lang w:val="es-ES_tradnl" w:eastAsia="es-ES"/>
        </w:rPr>
        <w:t>l servicio ejecutado.</w:t>
      </w:r>
    </w:p>
    <w:p w14:paraId="2AF320BB"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C3B7CC6" w14:textId="77777777" w:rsidR="00AD1243" w:rsidRPr="00AC53A2" w:rsidRDefault="00AD1243" w:rsidP="00AD124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212EA5C7" w14:textId="77777777" w:rsidR="00AD1243" w:rsidRPr="00F9180D" w:rsidRDefault="00AD1243" w:rsidP="00AD1243">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59A81B6" w14:textId="77777777" w:rsidR="00AD1243" w:rsidRPr="00D46A61" w:rsidRDefault="00AD1243" w:rsidP="00AD1243">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AD1243" w:rsidRPr="00D46A61" w14:paraId="64135C67" w14:textId="77777777" w:rsidTr="00377D55">
        <w:trPr>
          <w:trHeight w:val="494"/>
          <w:jc w:val="center"/>
        </w:trPr>
        <w:tc>
          <w:tcPr>
            <w:tcW w:w="4395" w:type="dxa"/>
          </w:tcPr>
          <w:p w14:paraId="636EE25B" w14:textId="77777777" w:rsidR="00AD1243" w:rsidRPr="00D46A61" w:rsidRDefault="00AD1243" w:rsidP="00377D5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FEEA296" w14:textId="77777777" w:rsidR="00AD1243" w:rsidRPr="00D46A61" w:rsidRDefault="00AD1243" w:rsidP="00377D5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70E0330D" w14:textId="77777777" w:rsidR="00AD1243" w:rsidRPr="00D46A61" w:rsidRDefault="00AD1243" w:rsidP="00377D5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0E6BC9D9" w14:textId="77777777" w:rsidR="00AD1243" w:rsidRPr="00171E9A" w:rsidRDefault="00AD1243"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p>
    <w:p w14:paraId="3199A946" w14:textId="7C1D88AE" w:rsidR="00D919D4" w:rsidRPr="00AC53A2" w:rsidRDefault="00D919D4" w:rsidP="00F7346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b/>
      </w:r>
    </w:p>
    <w:p w14:paraId="65EA87C5" w14:textId="6EFFB8D2" w:rsidR="008368CC" w:rsidRPr="00AC53A2" w:rsidRDefault="008368C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8368CC" w:rsidRPr="00AC53A2" w:rsidSect="003E5D14">
      <w:headerReference w:type="default" r:id="rId12"/>
      <w:footerReference w:type="defaul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DGAJ" w:date="2024-04-30T12:28:00Z" w:initials="DGAJ">
    <w:p w14:paraId="003939B5" w14:textId="77777777" w:rsidR="003526D7" w:rsidRDefault="003526D7" w:rsidP="003526D7">
      <w:pPr>
        <w:pStyle w:val="Textocomentario"/>
      </w:pPr>
      <w:r>
        <w:rPr>
          <w:rStyle w:val="Refdecomentario"/>
        </w:rPr>
        <w:annotationRef/>
      </w:r>
      <w:r>
        <w:rPr>
          <w:lang w:val="es-ES"/>
        </w:rPr>
        <w:t>Considerando que los días se encuentran en naturales y la fecha a partir de la cual empieza a correr de una fecha incierta, se recomienda incorporar la previsión siguiente:</w:t>
      </w:r>
      <w:r>
        <w:rPr>
          <w:lang w:val="es-ES"/>
        </w:rPr>
        <w:br/>
      </w:r>
    </w:p>
    <w:p w14:paraId="509F29E8" w14:textId="77777777" w:rsidR="003526D7" w:rsidRDefault="003526D7" w:rsidP="003526D7">
      <w:pPr>
        <w:pStyle w:val="Textocomentario"/>
      </w:pPr>
      <w:r>
        <w:rPr>
          <w:i/>
          <w:iCs/>
          <w:lang w:val="es-ES"/>
        </w:rPr>
        <w:t>“En caso de que cualquiera de los plazos fenezca en día inhábil, la entrega se recorrerá al día hábil inmediato siguiente.”</w:t>
      </w:r>
    </w:p>
  </w:comment>
  <w:comment w:id="1" w:author="Shaill Meave González" w:date="2024-05-02T19:52:00Z" w:initials="SMG">
    <w:p w14:paraId="30FEDC31" w14:textId="77777777" w:rsidR="00AB7492" w:rsidRDefault="00AB7492" w:rsidP="00AB7492">
      <w:r>
        <w:rPr>
          <w:rStyle w:val="Refdecomentario"/>
        </w:rPr>
        <w:annotationRef/>
      </w:r>
      <w:r>
        <w:rPr>
          <w:sz w:val="20"/>
          <w:szCs w:val="20"/>
        </w:rPr>
        <w:t>Se acepta; por favor DGIF ajustar.</w:t>
      </w:r>
    </w:p>
  </w:comment>
  <w:comment w:id="2" w:author="DGAJ" w:date="2024-04-30T12:30:00Z" w:initials="DGAJ">
    <w:p w14:paraId="02F3A8E5" w14:textId="59C4B5AC" w:rsidR="003526D7" w:rsidRDefault="003526D7" w:rsidP="003526D7">
      <w:pPr>
        <w:pStyle w:val="Textocomentario"/>
      </w:pPr>
      <w:r>
        <w:rPr>
          <w:rStyle w:val="Refdecomentario"/>
        </w:rPr>
        <w:annotationRef/>
      </w:r>
      <w:r>
        <w:t>Se ajuste de acuerdo con el objeto de la contratación.</w:t>
      </w:r>
    </w:p>
  </w:comment>
  <w:comment w:id="3" w:author="Shaill Meave González" w:date="2024-05-02T19:52:00Z" w:initials="SMG">
    <w:p w14:paraId="694E9DAC" w14:textId="77777777" w:rsidR="00AB7492" w:rsidRDefault="00AB7492" w:rsidP="00AB7492">
      <w:r>
        <w:rPr>
          <w:rStyle w:val="Refdecomentario"/>
        </w:rPr>
        <w:annotationRef/>
      </w:r>
      <w:r>
        <w:rPr>
          <w:sz w:val="20"/>
          <w:szCs w:val="20"/>
        </w:rPr>
        <w:t>Se acepta.</w:t>
      </w:r>
    </w:p>
  </w:comment>
  <w:comment w:id="4" w:author="DGAJ" w:date="2024-04-30T12:31:00Z" w:initials="DGAJ">
    <w:p w14:paraId="45DB305D" w14:textId="74622BB3" w:rsidR="003526D7" w:rsidRDefault="003526D7" w:rsidP="003526D7">
      <w:pPr>
        <w:pStyle w:val="Textocomentario"/>
      </w:pPr>
      <w:r>
        <w:rPr>
          <w:rStyle w:val="Refdecomentario"/>
        </w:rPr>
        <w:annotationRef/>
      </w:r>
      <w:r>
        <w:t xml:space="preserve">Se sugiere confirmar que la pena por atrasos se calculará sobre días naturales. </w:t>
      </w:r>
    </w:p>
  </w:comment>
  <w:comment w:id="5" w:author="Shaill Meave González" w:date="2024-05-06T11:11:00Z" w:initials="SMG">
    <w:p w14:paraId="29611718" w14:textId="77777777" w:rsidR="00495F83" w:rsidRDefault="00495F83" w:rsidP="00495F83">
      <w:r>
        <w:rPr>
          <w:rStyle w:val="Refdecomentario"/>
        </w:rPr>
        <w:annotationRef/>
      </w:r>
      <w:r>
        <w:rPr>
          <w:sz w:val="20"/>
          <w:szCs w:val="20"/>
        </w:rPr>
        <w:t>Área técnica.- serán días naturales.</w:t>
      </w:r>
    </w:p>
  </w:comment>
  <w:comment w:id="6" w:author="DGAJ" w:date="2024-04-30T12:33:00Z" w:initials="DGAJ">
    <w:p w14:paraId="23031EBE" w14:textId="56E0FA4F" w:rsidR="003526D7" w:rsidRDefault="003526D7" w:rsidP="003526D7">
      <w:pPr>
        <w:pStyle w:val="Textocomentario"/>
      </w:pPr>
      <w:r>
        <w:rPr>
          <w:rStyle w:val="Refdecomentario"/>
        </w:rPr>
        <w:annotationRef/>
      </w:r>
      <w:r>
        <w:t>Se ajusta, el supuesto de excepción para este procedimiento se encuentra previsto en el cuarto párrafo de la disposición referida.</w:t>
      </w:r>
    </w:p>
  </w:comment>
  <w:comment w:id="7" w:author="Shaill Meave González" w:date="2024-05-02T19:53:00Z" w:initials="SMG">
    <w:p w14:paraId="09951AEF" w14:textId="77777777" w:rsidR="00AB7492" w:rsidRDefault="00AB7492" w:rsidP="00AB7492">
      <w:r>
        <w:rPr>
          <w:rStyle w:val="Refdecomentario"/>
        </w:rPr>
        <w:annotationRef/>
      </w:r>
      <w:r>
        <w:rPr>
          <w:sz w:val="20"/>
          <w:szCs w:val="20"/>
        </w:rPr>
        <w:t>Se acepta.</w:t>
      </w:r>
    </w:p>
  </w:comment>
  <w:comment w:id="8" w:author="DGAJ" w:date="2024-04-30T13:46:00Z" w:initials="DGAJ">
    <w:p w14:paraId="1625700B" w14:textId="2CF1A4FB" w:rsidR="00334308" w:rsidRDefault="00334308" w:rsidP="00334308">
      <w:pPr>
        <w:pStyle w:val="Textocomentario"/>
      </w:pPr>
      <w:r>
        <w:rPr>
          <w:rStyle w:val="Refdecomentario"/>
        </w:rPr>
        <w:annotationRef/>
      </w:r>
      <w:r>
        <w:rPr>
          <w:lang w:val="es-ES"/>
        </w:rPr>
        <w:t>Considerando que los días se encuentran en naturales y la fecha a partir de la cual empieza a correr de una fecha incierta, se recomienda incorporar la previsión siguiente:</w:t>
      </w:r>
      <w:r>
        <w:rPr>
          <w:lang w:val="es-ES"/>
        </w:rPr>
        <w:br/>
      </w:r>
    </w:p>
    <w:p w14:paraId="1BD45C03" w14:textId="77777777" w:rsidR="00334308" w:rsidRDefault="00334308" w:rsidP="00334308">
      <w:pPr>
        <w:pStyle w:val="Textocomentario"/>
      </w:pPr>
      <w:r>
        <w:rPr>
          <w:i/>
          <w:iCs/>
          <w:lang w:val="es-ES"/>
        </w:rPr>
        <w:t>“En caso de que cualquiera de los plazos fenezca en día inhábil, la entrega se recorrerá al día hábil inmediato siguiente.”</w:t>
      </w:r>
    </w:p>
  </w:comment>
  <w:comment w:id="9" w:author="Shaill Meave González" w:date="2024-05-02T19:53:00Z" w:initials="SMG">
    <w:p w14:paraId="7643289E" w14:textId="77777777" w:rsidR="00AB7492" w:rsidRDefault="00AB7492" w:rsidP="00AB7492">
      <w:r>
        <w:rPr>
          <w:rStyle w:val="Refdecomentario"/>
        </w:rPr>
        <w:annotationRef/>
      </w:r>
      <w:r>
        <w:rPr>
          <w:sz w:val="20"/>
          <w:szCs w:val="20"/>
        </w:rPr>
        <w:t>Se acepta; por favor DGIF ajustar.</w:t>
      </w:r>
    </w:p>
  </w:comment>
  <w:comment w:id="10" w:author="DGAJ" w:date="2024-04-30T13:47:00Z" w:initials="DGAJ">
    <w:p w14:paraId="3D1C3C84" w14:textId="3F0FC18B" w:rsidR="00334308" w:rsidRDefault="00334308" w:rsidP="00334308">
      <w:pPr>
        <w:pStyle w:val="Textocomentario"/>
      </w:pPr>
      <w:r>
        <w:rPr>
          <w:rStyle w:val="Refdecomentario"/>
        </w:rPr>
        <w:annotationRef/>
      </w:r>
      <w:r>
        <w:t>Se ajuste de acuerdo con el objeto de la contratación.</w:t>
      </w:r>
    </w:p>
  </w:comment>
  <w:comment w:id="11" w:author="Shaill Meave González" w:date="2024-05-02T19:53:00Z" w:initials="SMG">
    <w:p w14:paraId="7E731801" w14:textId="77777777" w:rsidR="00AB7492" w:rsidRDefault="00AB7492" w:rsidP="00AB7492">
      <w:r>
        <w:rPr>
          <w:rStyle w:val="Refdecomentario"/>
        </w:rPr>
        <w:annotationRef/>
      </w:r>
      <w:r>
        <w:rPr>
          <w:sz w:val="20"/>
          <w:szCs w:val="20"/>
        </w:rPr>
        <w:t>Se acepta.</w:t>
      </w:r>
    </w:p>
  </w:comment>
  <w:comment w:id="12" w:author="DGAJ" w:date="2024-04-30T13:47:00Z" w:initials="DGAJ">
    <w:p w14:paraId="0BE030CD" w14:textId="58901006" w:rsidR="00334308" w:rsidRDefault="00334308" w:rsidP="00334308">
      <w:pPr>
        <w:pStyle w:val="Textocomentario"/>
      </w:pPr>
      <w:r>
        <w:rPr>
          <w:rStyle w:val="Refdecomentario"/>
        </w:rPr>
        <w:annotationRef/>
      </w:r>
      <w:r>
        <w:t xml:space="preserve">Se sugiere confirmar que la pena por atrasos se calculará sobre días naturales. </w:t>
      </w:r>
    </w:p>
  </w:comment>
  <w:comment w:id="13" w:author="Shaill Meave González" w:date="2024-05-06T11:12:00Z" w:initials="SMG">
    <w:p w14:paraId="2B7FB6BB" w14:textId="77777777" w:rsidR="00495F83" w:rsidRDefault="00495F83" w:rsidP="00495F83">
      <w:r>
        <w:rPr>
          <w:rStyle w:val="Refdecomentario"/>
        </w:rPr>
        <w:annotationRef/>
      </w:r>
      <w:r>
        <w:rPr>
          <w:sz w:val="20"/>
          <w:szCs w:val="20"/>
        </w:rPr>
        <w:t>Área técnica.- se confirman días naturales.</w:t>
      </w:r>
    </w:p>
  </w:comment>
  <w:comment w:id="14" w:author="DGAJ" w:date="2024-04-30T13:49:00Z" w:initials="DGAJ">
    <w:p w14:paraId="15DE4F83" w14:textId="62218CA3" w:rsidR="00334308" w:rsidRDefault="00334308" w:rsidP="00334308">
      <w:pPr>
        <w:pStyle w:val="Textocomentario"/>
      </w:pPr>
      <w:r>
        <w:rPr>
          <w:rStyle w:val="Refdecomentario"/>
        </w:rPr>
        <w:annotationRef/>
      </w:r>
      <w:r>
        <w:t>Se ajusta, el supuesto de excepción para este procedimiento se encuentra previsto en el cuarto párrafo de la disposición referida.</w:t>
      </w:r>
    </w:p>
  </w:comment>
  <w:comment w:id="15" w:author="Shaill Meave González" w:date="2024-05-02T19:53:00Z" w:initials="SMG">
    <w:p w14:paraId="600A9CCD" w14:textId="77777777" w:rsidR="00AB7492" w:rsidRDefault="00AB7492" w:rsidP="00AB7492">
      <w:r>
        <w:rPr>
          <w:rStyle w:val="Refdecomentario"/>
        </w:rPr>
        <w:annotationRef/>
      </w:r>
      <w:r>
        <w:rPr>
          <w:sz w:val="20"/>
          <w:szCs w:val="20"/>
        </w:rPr>
        <w:t>Se acepta.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9F29E8" w15:done="0"/>
  <w15:commentEx w15:paraId="30FEDC31" w15:paraIdParent="509F29E8" w15:done="0"/>
  <w15:commentEx w15:paraId="02F3A8E5" w15:done="0"/>
  <w15:commentEx w15:paraId="694E9DAC" w15:paraIdParent="02F3A8E5" w15:done="0"/>
  <w15:commentEx w15:paraId="45DB305D" w15:done="0"/>
  <w15:commentEx w15:paraId="29611718" w15:paraIdParent="45DB305D" w15:done="0"/>
  <w15:commentEx w15:paraId="23031EBE" w15:done="0"/>
  <w15:commentEx w15:paraId="09951AEF" w15:paraIdParent="23031EBE" w15:done="0"/>
  <w15:commentEx w15:paraId="1BD45C03" w15:done="0"/>
  <w15:commentEx w15:paraId="7643289E" w15:paraIdParent="1BD45C03" w15:done="0"/>
  <w15:commentEx w15:paraId="3D1C3C84" w15:done="0"/>
  <w15:commentEx w15:paraId="7E731801" w15:paraIdParent="3D1C3C84" w15:done="0"/>
  <w15:commentEx w15:paraId="0BE030CD" w15:done="0"/>
  <w15:commentEx w15:paraId="2B7FB6BB" w15:paraIdParent="0BE030CD" w15:done="0"/>
  <w15:commentEx w15:paraId="15DE4F83" w15:done="0"/>
  <w15:commentEx w15:paraId="600A9CCD" w15:paraIdParent="15DE4F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1CFC6C" w16cex:dateUtc="2024-04-30T18:28:00Z"/>
  <w16cex:commentExtensible w16cex:durableId="71B7AB0B" w16cex:dateUtc="2024-05-03T01:52:00Z"/>
  <w16cex:commentExtensible w16cex:durableId="6C103802" w16cex:dateUtc="2024-04-30T18:30:00Z"/>
  <w16cex:commentExtensible w16cex:durableId="7907DC10" w16cex:dateUtc="2024-05-03T01:52:00Z"/>
  <w16cex:commentExtensible w16cex:durableId="282A538A" w16cex:dateUtc="2024-04-30T18:31:00Z"/>
  <w16cex:commentExtensible w16cex:durableId="17E3DF33" w16cex:dateUtc="2024-05-06T17:11:00Z"/>
  <w16cex:commentExtensible w16cex:durableId="7080C705" w16cex:dateUtc="2024-04-30T18:33:00Z"/>
  <w16cex:commentExtensible w16cex:durableId="41499F05" w16cex:dateUtc="2024-05-03T01:53:00Z"/>
  <w16cex:commentExtensible w16cex:durableId="7ACCEFEF" w16cex:dateUtc="2024-04-30T19:46:00Z"/>
  <w16cex:commentExtensible w16cex:durableId="7B58B098" w16cex:dateUtc="2024-05-03T01:53:00Z"/>
  <w16cex:commentExtensible w16cex:durableId="353FF8A4" w16cex:dateUtc="2024-04-30T19:47:00Z"/>
  <w16cex:commentExtensible w16cex:durableId="36D783E1" w16cex:dateUtc="2024-05-03T01:53:00Z"/>
  <w16cex:commentExtensible w16cex:durableId="7601DC1A" w16cex:dateUtc="2024-04-30T19:47:00Z"/>
  <w16cex:commentExtensible w16cex:durableId="240BBD14" w16cex:dateUtc="2024-05-06T17:12:00Z"/>
  <w16cex:commentExtensible w16cex:durableId="5A359589" w16cex:dateUtc="2024-04-30T19:49:00Z"/>
  <w16cex:commentExtensible w16cex:durableId="597F1F08" w16cex:dateUtc="2024-05-03T0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9F29E8" w16cid:durableId="5B1CFC6C"/>
  <w16cid:commentId w16cid:paraId="30FEDC31" w16cid:durableId="71B7AB0B"/>
  <w16cid:commentId w16cid:paraId="02F3A8E5" w16cid:durableId="6C103802"/>
  <w16cid:commentId w16cid:paraId="694E9DAC" w16cid:durableId="7907DC10"/>
  <w16cid:commentId w16cid:paraId="45DB305D" w16cid:durableId="282A538A"/>
  <w16cid:commentId w16cid:paraId="29611718" w16cid:durableId="17E3DF33"/>
  <w16cid:commentId w16cid:paraId="23031EBE" w16cid:durableId="7080C705"/>
  <w16cid:commentId w16cid:paraId="09951AEF" w16cid:durableId="41499F05"/>
  <w16cid:commentId w16cid:paraId="1BD45C03" w16cid:durableId="7ACCEFEF"/>
  <w16cid:commentId w16cid:paraId="7643289E" w16cid:durableId="7B58B098"/>
  <w16cid:commentId w16cid:paraId="3D1C3C84" w16cid:durableId="353FF8A4"/>
  <w16cid:commentId w16cid:paraId="7E731801" w16cid:durableId="36D783E1"/>
  <w16cid:commentId w16cid:paraId="0BE030CD" w16cid:durableId="7601DC1A"/>
  <w16cid:commentId w16cid:paraId="2B7FB6BB" w16cid:durableId="240BBD14"/>
  <w16cid:commentId w16cid:paraId="15DE4F83" w16cid:durableId="5A359589"/>
  <w16cid:commentId w16cid:paraId="600A9CCD" w16cid:durableId="597F1F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C984E" w14:textId="77777777" w:rsidR="00A53199" w:rsidRDefault="00A53199" w:rsidP="00752047">
      <w:pPr>
        <w:spacing w:after="0" w:line="240" w:lineRule="auto"/>
      </w:pPr>
      <w:r>
        <w:separator/>
      </w:r>
    </w:p>
  </w:endnote>
  <w:endnote w:type="continuationSeparator" w:id="0">
    <w:p w14:paraId="46462E4A" w14:textId="77777777" w:rsidR="00A53199" w:rsidRDefault="00A53199" w:rsidP="00752047">
      <w:pPr>
        <w:spacing w:after="0" w:line="240" w:lineRule="auto"/>
      </w:pPr>
      <w:r>
        <w:continuationSeparator/>
      </w:r>
    </w:p>
  </w:endnote>
  <w:endnote w:type="continuationNotice" w:id="1">
    <w:p w14:paraId="4CDBEECA" w14:textId="77777777" w:rsidR="00A53199" w:rsidRDefault="00A531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43C2CC9A"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2C1359">
      <w:rPr>
        <w:rFonts w:ascii="Arial" w:hAnsi="Arial" w:cs="Arial"/>
        <w:sz w:val="10"/>
        <w:szCs w:val="10"/>
        <w:lang w:val="en-US"/>
      </w:rPr>
      <w:t>0</w:t>
    </w:r>
    <w:r w:rsidR="003F53F7">
      <w:rPr>
        <w:rFonts w:ascii="Arial" w:hAnsi="Arial" w:cs="Arial"/>
        <w:sz w:val="10"/>
        <w:szCs w:val="10"/>
        <w:lang w:val="en-US"/>
      </w:rPr>
      <w:t>8</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6924D" w14:textId="77777777" w:rsidR="00A53199" w:rsidRDefault="00A53199" w:rsidP="00752047">
      <w:pPr>
        <w:spacing w:after="0" w:line="240" w:lineRule="auto"/>
      </w:pPr>
      <w:r>
        <w:separator/>
      </w:r>
    </w:p>
  </w:footnote>
  <w:footnote w:type="continuationSeparator" w:id="0">
    <w:p w14:paraId="634FFCE2" w14:textId="77777777" w:rsidR="00A53199" w:rsidRDefault="00A53199" w:rsidP="00752047">
      <w:pPr>
        <w:spacing w:after="0" w:line="240" w:lineRule="auto"/>
      </w:pPr>
      <w:r>
        <w:continuationSeparator/>
      </w:r>
    </w:p>
  </w:footnote>
  <w:footnote w:type="continuationNotice" w:id="1">
    <w:p w14:paraId="7A8A4867" w14:textId="77777777" w:rsidR="00A53199" w:rsidRDefault="00A531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3C6BB" w14:textId="77777777" w:rsidR="003F53F7" w:rsidRPr="00B72ADA" w:rsidRDefault="003F53F7" w:rsidP="003F53F7">
    <w:pPr>
      <w:spacing w:after="0"/>
      <w:ind w:right="17"/>
      <w:jc w:val="center"/>
      <w:rPr>
        <w:rFonts w:ascii="Arial Unicode MS" w:eastAsia="Arial Unicode MS" w:hAnsi="Arial Unicode MS" w:cs="Arial Unicode MS"/>
        <w:b/>
        <w:color w:val="7F7F7F" w:themeColor="text1" w:themeTint="80"/>
        <w:sz w:val="20"/>
        <w:szCs w:val="20"/>
        <w:lang w:val="pt-PT"/>
      </w:rPr>
    </w:pPr>
    <w:bookmarkStart w:id="16" w:name="_Hlk127355376"/>
    <w:bookmarkStart w:id="17" w:name="_Hlk127353508"/>
    <w:bookmarkStart w:id="18" w:name="_Hlk107240364"/>
    <w:r w:rsidRPr="00B72ADA">
      <w:rPr>
        <w:rFonts w:ascii="Arial Unicode MS" w:eastAsia="Arial Unicode MS" w:hAnsi="Arial Unicode MS" w:cs="Arial Unicode MS"/>
        <w:b/>
        <w:color w:val="7F7F7F" w:themeColor="text1" w:themeTint="80"/>
        <w:sz w:val="20"/>
        <w:szCs w:val="20"/>
        <w:lang w:val="pt-PT"/>
      </w:rPr>
      <w:t xml:space="preserve">CONCURSO PÚBLICO SUMARIO </w:t>
    </w:r>
    <w:bookmarkStart w:id="19" w:name="_Hlk127357124"/>
    <w:bookmarkStart w:id="20" w:name="_Hlk127347299"/>
    <w:r w:rsidRPr="00B72ADA">
      <w:rPr>
        <w:rFonts w:ascii="Arial Unicode MS" w:eastAsia="Arial Unicode MS" w:hAnsi="Arial Unicode MS" w:cs="Arial Unicode MS"/>
        <w:b/>
        <w:color w:val="7F7F7F" w:themeColor="text1" w:themeTint="80"/>
        <w:sz w:val="20"/>
        <w:szCs w:val="20"/>
        <w:lang w:val="pt-PT"/>
      </w:rPr>
      <w:t>SCJN/CPS/DGIF-DACCI/008/2024</w:t>
    </w:r>
    <w:bookmarkEnd w:id="19"/>
    <w:bookmarkEnd w:id="20"/>
  </w:p>
  <w:p w14:paraId="222BE6F3" w14:textId="77777777" w:rsidR="003F53F7" w:rsidRDefault="003F53F7" w:rsidP="003F53F7">
    <w:pPr>
      <w:tabs>
        <w:tab w:val="center" w:pos="5031"/>
        <w:tab w:val="right" w:pos="10063"/>
      </w:tabs>
      <w:ind w:right="17"/>
      <w:jc w:val="center"/>
      <w:rPr>
        <w:rFonts w:ascii="Arial Unicode MS" w:eastAsia="Arial Unicode MS" w:hAnsi="Arial Unicode MS" w:cs="Arial Unicode MS"/>
        <w:b/>
        <w:color w:val="7F7F7F" w:themeColor="text1" w:themeTint="80"/>
        <w:sz w:val="20"/>
        <w:szCs w:val="20"/>
      </w:rPr>
    </w:pPr>
    <w:bookmarkStart w:id="21" w:name="_Hlk134453247"/>
    <w:bookmarkStart w:id="22" w:name="_Hlk134454435"/>
    <w:bookmarkStart w:id="23" w:name="_Hlk134454436"/>
    <w:bookmarkStart w:id="24" w:name="_Hlk134454487"/>
    <w:bookmarkStart w:id="25" w:name="_Hlk134454488"/>
    <w:bookmarkStart w:id="26" w:name="_Hlk134454529"/>
    <w:bookmarkStart w:id="27" w:name="_Hlk134454530"/>
    <w:bookmarkStart w:id="28" w:name="_Hlk134454626"/>
    <w:bookmarkStart w:id="29" w:name="_Hlk134454627"/>
    <w:bookmarkStart w:id="30" w:name="_Hlk134453590"/>
    <w:r w:rsidRPr="00542231">
      <w:rPr>
        <w:rFonts w:ascii="Arial Unicode MS" w:eastAsia="Arial Unicode MS" w:hAnsi="Arial Unicode MS" w:cs="Arial Unicode MS"/>
        <w:b/>
        <w:color w:val="7F7F7F" w:themeColor="text1" w:themeTint="80"/>
        <w:sz w:val="20"/>
        <w:szCs w:val="20"/>
      </w:rPr>
      <w:t xml:space="preserve">“MANTENIMIENTO </w:t>
    </w:r>
    <w:r>
      <w:rPr>
        <w:rFonts w:ascii="Arial Unicode MS" w:eastAsia="Arial Unicode MS" w:hAnsi="Arial Unicode MS" w:cs="Arial Unicode MS"/>
        <w:b/>
        <w:color w:val="7F7F7F" w:themeColor="text1" w:themeTint="80"/>
        <w:sz w:val="20"/>
        <w:szCs w:val="20"/>
      </w:rPr>
      <w:t>PREVENTIVO Y CORRECTIVO A EQUIPO CONTRA INCENDIO EN SIETE INMUEBLES DE LA SUPREMA CORTE DE JUSTICIA DE LA NACIÓN</w:t>
    </w:r>
    <w:r w:rsidRPr="00542231">
      <w:rPr>
        <w:rFonts w:ascii="Arial Unicode MS" w:eastAsia="Arial Unicode MS" w:hAnsi="Arial Unicode MS" w:cs="Arial Unicode MS"/>
        <w:b/>
        <w:color w:val="7F7F7F" w:themeColor="text1" w:themeTint="80"/>
        <w:sz w:val="20"/>
        <w:szCs w:val="20"/>
      </w:rPr>
      <w:t>”</w:t>
    </w:r>
    <w:bookmarkEnd w:id="16"/>
  </w:p>
  <w:bookmarkEnd w:id="17"/>
  <w:bookmarkEnd w:id="18"/>
  <w:bookmarkEnd w:id="21"/>
  <w:bookmarkEnd w:id="22"/>
  <w:bookmarkEnd w:id="23"/>
  <w:bookmarkEnd w:id="24"/>
  <w:bookmarkEnd w:id="25"/>
  <w:bookmarkEnd w:id="26"/>
  <w:bookmarkEnd w:id="27"/>
  <w:bookmarkEnd w:id="28"/>
  <w:bookmarkEnd w:id="29"/>
  <w:bookmarkEnd w:id="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GAJ">
    <w15:presenceInfo w15:providerId="None" w15:userId="DGAJ"/>
  </w15:person>
  <w15:person w15:author="Shaill Meave González">
    <w15:presenceInfo w15:providerId="AD" w15:userId="S::smeave@scjn.gob.mx::fa6a3102-4d7a-4277-ba99-c47ee03b5b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CC6"/>
    <w:rsid w:val="00030D71"/>
    <w:rsid w:val="00030E60"/>
    <w:rsid w:val="0003536A"/>
    <w:rsid w:val="0003595F"/>
    <w:rsid w:val="00035C60"/>
    <w:rsid w:val="00040787"/>
    <w:rsid w:val="00042788"/>
    <w:rsid w:val="000443F5"/>
    <w:rsid w:val="0004591F"/>
    <w:rsid w:val="00047D2F"/>
    <w:rsid w:val="00050CBB"/>
    <w:rsid w:val="00051C1D"/>
    <w:rsid w:val="00052980"/>
    <w:rsid w:val="00053952"/>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175"/>
    <w:rsid w:val="000A0232"/>
    <w:rsid w:val="000A1F8A"/>
    <w:rsid w:val="000A6300"/>
    <w:rsid w:val="000B3000"/>
    <w:rsid w:val="000B6F59"/>
    <w:rsid w:val="000C016A"/>
    <w:rsid w:val="000C345C"/>
    <w:rsid w:val="000C752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2B15"/>
    <w:rsid w:val="00154621"/>
    <w:rsid w:val="0015529A"/>
    <w:rsid w:val="00161F32"/>
    <w:rsid w:val="001649AB"/>
    <w:rsid w:val="0016675F"/>
    <w:rsid w:val="00171C2A"/>
    <w:rsid w:val="00171E9A"/>
    <w:rsid w:val="00175CE7"/>
    <w:rsid w:val="001803DA"/>
    <w:rsid w:val="0018048A"/>
    <w:rsid w:val="001864CF"/>
    <w:rsid w:val="00193F07"/>
    <w:rsid w:val="001A6150"/>
    <w:rsid w:val="001B0099"/>
    <w:rsid w:val="001B20C8"/>
    <w:rsid w:val="001B5939"/>
    <w:rsid w:val="001C13F0"/>
    <w:rsid w:val="001C210D"/>
    <w:rsid w:val="001C236B"/>
    <w:rsid w:val="001C4488"/>
    <w:rsid w:val="001D4493"/>
    <w:rsid w:val="001E283D"/>
    <w:rsid w:val="001E5FB4"/>
    <w:rsid w:val="001E64FA"/>
    <w:rsid w:val="001E7FC5"/>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7ED0"/>
    <w:rsid w:val="002D006F"/>
    <w:rsid w:val="002D30BF"/>
    <w:rsid w:val="002D3CC3"/>
    <w:rsid w:val="002D41F0"/>
    <w:rsid w:val="002D65DA"/>
    <w:rsid w:val="002D7745"/>
    <w:rsid w:val="002E0854"/>
    <w:rsid w:val="002E47D8"/>
    <w:rsid w:val="002E4BE2"/>
    <w:rsid w:val="002F121F"/>
    <w:rsid w:val="0030119B"/>
    <w:rsid w:val="00306A26"/>
    <w:rsid w:val="0030725E"/>
    <w:rsid w:val="00312BDD"/>
    <w:rsid w:val="00314C06"/>
    <w:rsid w:val="00315F2D"/>
    <w:rsid w:val="00321DC9"/>
    <w:rsid w:val="00325659"/>
    <w:rsid w:val="003261D2"/>
    <w:rsid w:val="00330B53"/>
    <w:rsid w:val="00334308"/>
    <w:rsid w:val="003345D2"/>
    <w:rsid w:val="00335C6E"/>
    <w:rsid w:val="003376ED"/>
    <w:rsid w:val="00340330"/>
    <w:rsid w:val="003439C0"/>
    <w:rsid w:val="00346C9C"/>
    <w:rsid w:val="00347930"/>
    <w:rsid w:val="003501C5"/>
    <w:rsid w:val="003516EE"/>
    <w:rsid w:val="00352157"/>
    <w:rsid w:val="003526D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D2A4B"/>
    <w:rsid w:val="003D452D"/>
    <w:rsid w:val="003D7D8E"/>
    <w:rsid w:val="003E2316"/>
    <w:rsid w:val="003E5D14"/>
    <w:rsid w:val="003E62A3"/>
    <w:rsid w:val="003F4773"/>
    <w:rsid w:val="003F53F7"/>
    <w:rsid w:val="003F78F7"/>
    <w:rsid w:val="004006C6"/>
    <w:rsid w:val="0041014A"/>
    <w:rsid w:val="004165B7"/>
    <w:rsid w:val="00425445"/>
    <w:rsid w:val="00427C63"/>
    <w:rsid w:val="0043515E"/>
    <w:rsid w:val="0043742E"/>
    <w:rsid w:val="00440DE9"/>
    <w:rsid w:val="00441623"/>
    <w:rsid w:val="004423DD"/>
    <w:rsid w:val="00444E48"/>
    <w:rsid w:val="004466C1"/>
    <w:rsid w:val="004477FE"/>
    <w:rsid w:val="00455DE8"/>
    <w:rsid w:val="00464601"/>
    <w:rsid w:val="004729EB"/>
    <w:rsid w:val="00472CC6"/>
    <w:rsid w:val="00473CB2"/>
    <w:rsid w:val="00480277"/>
    <w:rsid w:val="00480BD0"/>
    <w:rsid w:val="00482838"/>
    <w:rsid w:val="00491F3B"/>
    <w:rsid w:val="00495C8D"/>
    <w:rsid w:val="00495F83"/>
    <w:rsid w:val="004A185D"/>
    <w:rsid w:val="004A6000"/>
    <w:rsid w:val="004A660F"/>
    <w:rsid w:val="004A6E9A"/>
    <w:rsid w:val="004B37EC"/>
    <w:rsid w:val="004B7A4D"/>
    <w:rsid w:val="004C1AC1"/>
    <w:rsid w:val="004C350B"/>
    <w:rsid w:val="004C37A7"/>
    <w:rsid w:val="004D131C"/>
    <w:rsid w:val="004D3B3E"/>
    <w:rsid w:val="004D5C0B"/>
    <w:rsid w:val="004E1B57"/>
    <w:rsid w:val="004E236A"/>
    <w:rsid w:val="004E4901"/>
    <w:rsid w:val="004E6F8B"/>
    <w:rsid w:val="004F16FB"/>
    <w:rsid w:val="004F178B"/>
    <w:rsid w:val="004F29AA"/>
    <w:rsid w:val="004F4DDD"/>
    <w:rsid w:val="00513951"/>
    <w:rsid w:val="00513A46"/>
    <w:rsid w:val="00516200"/>
    <w:rsid w:val="00516CDB"/>
    <w:rsid w:val="00523DEF"/>
    <w:rsid w:val="00525E78"/>
    <w:rsid w:val="00547BAE"/>
    <w:rsid w:val="00550B43"/>
    <w:rsid w:val="005551DE"/>
    <w:rsid w:val="00560224"/>
    <w:rsid w:val="00573593"/>
    <w:rsid w:val="005748ED"/>
    <w:rsid w:val="00574AAC"/>
    <w:rsid w:val="00575124"/>
    <w:rsid w:val="005764F5"/>
    <w:rsid w:val="00576D47"/>
    <w:rsid w:val="00580247"/>
    <w:rsid w:val="0058154D"/>
    <w:rsid w:val="00587C82"/>
    <w:rsid w:val="00587F19"/>
    <w:rsid w:val="005B0938"/>
    <w:rsid w:val="005B0BBB"/>
    <w:rsid w:val="005B206D"/>
    <w:rsid w:val="005B2125"/>
    <w:rsid w:val="005B67AD"/>
    <w:rsid w:val="005C0758"/>
    <w:rsid w:val="005C16B7"/>
    <w:rsid w:val="005C391A"/>
    <w:rsid w:val="005C4661"/>
    <w:rsid w:val="005D4A2B"/>
    <w:rsid w:val="005D4B85"/>
    <w:rsid w:val="005E0208"/>
    <w:rsid w:val="005E0FD7"/>
    <w:rsid w:val="005E252B"/>
    <w:rsid w:val="005E432B"/>
    <w:rsid w:val="005E6619"/>
    <w:rsid w:val="005F43E7"/>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51152"/>
    <w:rsid w:val="00661ADD"/>
    <w:rsid w:val="00664DDF"/>
    <w:rsid w:val="00665987"/>
    <w:rsid w:val="00666488"/>
    <w:rsid w:val="00671E86"/>
    <w:rsid w:val="006721F4"/>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2A9"/>
    <w:rsid w:val="006B13EA"/>
    <w:rsid w:val="006B2721"/>
    <w:rsid w:val="006B2B0C"/>
    <w:rsid w:val="006B7A23"/>
    <w:rsid w:val="006C039D"/>
    <w:rsid w:val="006C2FEA"/>
    <w:rsid w:val="006C6056"/>
    <w:rsid w:val="006D10BD"/>
    <w:rsid w:val="006D4954"/>
    <w:rsid w:val="006D4A15"/>
    <w:rsid w:val="006E019B"/>
    <w:rsid w:val="006E263C"/>
    <w:rsid w:val="006F2A57"/>
    <w:rsid w:val="006F3ABA"/>
    <w:rsid w:val="006F4DDC"/>
    <w:rsid w:val="00700689"/>
    <w:rsid w:val="00702764"/>
    <w:rsid w:val="0070369A"/>
    <w:rsid w:val="0071134E"/>
    <w:rsid w:val="00712DC1"/>
    <w:rsid w:val="0071490E"/>
    <w:rsid w:val="00723913"/>
    <w:rsid w:val="007335CF"/>
    <w:rsid w:val="0073470B"/>
    <w:rsid w:val="00735F7B"/>
    <w:rsid w:val="00740113"/>
    <w:rsid w:val="00740270"/>
    <w:rsid w:val="00741017"/>
    <w:rsid w:val="007439CE"/>
    <w:rsid w:val="00747B49"/>
    <w:rsid w:val="0075083B"/>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483"/>
    <w:rsid w:val="007E0E66"/>
    <w:rsid w:val="007E5979"/>
    <w:rsid w:val="007E5D2B"/>
    <w:rsid w:val="007E6397"/>
    <w:rsid w:val="007F2A37"/>
    <w:rsid w:val="007F4CA9"/>
    <w:rsid w:val="00800F36"/>
    <w:rsid w:val="00801EFF"/>
    <w:rsid w:val="00804ACE"/>
    <w:rsid w:val="00806F4B"/>
    <w:rsid w:val="00807239"/>
    <w:rsid w:val="00817387"/>
    <w:rsid w:val="00822B65"/>
    <w:rsid w:val="0082378D"/>
    <w:rsid w:val="00823BCE"/>
    <w:rsid w:val="008314BF"/>
    <w:rsid w:val="00833C3C"/>
    <w:rsid w:val="00835FC9"/>
    <w:rsid w:val="008368CC"/>
    <w:rsid w:val="0084076E"/>
    <w:rsid w:val="00842584"/>
    <w:rsid w:val="0084323C"/>
    <w:rsid w:val="00851D75"/>
    <w:rsid w:val="008548FA"/>
    <w:rsid w:val="00857A49"/>
    <w:rsid w:val="008706C1"/>
    <w:rsid w:val="00872344"/>
    <w:rsid w:val="00877C3E"/>
    <w:rsid w:val="008828E5"/>
    <w:rsid w:val="0088368C"/>
    <w:rsid w:val="00883C97"/>
    <w:rsid w:val="00885D04"/>
    <w:rsid w:val="008909C0"/>
    <w:rsid w:val="008911E2"/>
    <w:rsid w:val="008957CE"/>
    <w:rsid w:val="008968D0"/>
    <w:rsid w:val="008A12C4"/>
    <w:rsid w:val="008A4259"/>
    <w:rsid w:val="008B140E"/>
    <w:rsid w:val="008B3E81"/>
    <w:rsid w:val="008C2AA3"/>
    <w:rsid w:val="008C5201"/>
    <w:rsid w:val="008C688D"/>
    <w:rsid w:val="008D0BCA"/>
    <w:rsid w:val="008D22EC"/>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260F1"/>
    <w:rsid w:val="009338D7"/>
    <w:rsid w:val="00935C23"/>
    <w:rsid w:val="009372E4"/>
    <w:rsid w:val="00942A5C"/>
    <w:rsid w:val="00944009"/>
    <w:rsid w:val="009503B1"/>
    <w:rsid w:val="00952F0B"/>
    <w:rsid w:val="00956614"/>
    <w:rsid w:val="00957A3B"/>
    <w:rsid w:val="009665AE"/>
    <w:rsid w:val="00966CDE"/>
    <w:rsid w:val="009722EF"/>
    <w:rsid w:val="009745C0"/>
    <w:rsid w:val="00980EC2"/>
    <w:rsid w:val="00981E35"/>
    <w:rsid w:val="009824DB"/>
    <w:rsid w:val="009830BC"/>
    <w:rsid w:val="0098351F"/>
    <w:rsid w:val="00985F10"/>
    <w:rsid w:val="00990486"/>
    <w:rsid w:val="00991600"/>
    <w:rsid w:val="00993A21"/>
    <w:rsid w:val="00994A06"/>
    <w:rsid w:val="0099660B"/>
    <w:rsid w:val="00996C7D"/>
    <w:rsid w:val="00997894"/>
    <w:rsid w:val="009A38CE"/>
    <w:rsid w:val="009A3C17"/>
    <w:rsid w:val="009A3F20"/>
    <w:rsid w:val="009A648A"/>
    <w:rsid w:val="009A6DF7"/>
    <w:rsid w:val="009A7789"/>
    <w:rsid w:val="009B2732"/>
    <w:rsid w:val="009B4669"/>
    <w:rsid w:val="009C30E4"/>
    <w:rsid w:val="009C4AD6"/>
    <w:rsid w:val="009D31D8"/>
    <w:rsid w:val="009D56C0"/>
    <w:rsid w:val="009D79F2"/>
    <w:rsid w:val="009D7C1C"/>
    <w:rsid w:val="009E040B"/>
    <w:rsid w:val="009E765E"/>
    <w:rsid w:val="009F0FDF"/>
    <w:rsid w:val="009F6DB8"/>
    <w:rsid w:val="00A02EDC"/>
    <w:rsid w:val="00A065F0"/>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3199"/>
    <w:rsid w:val="00A55889"/>
    <w:rsid w:val="00A5732F"/>
    <w:rsid w:val="00A57CAC"/>
    <w:rsid w:val="00A6622C"/>
    <w:rsid w:val="00A676FA"/>
    <w:rsid w:val="00A7073E"/>
    <w:rsid w:val="00A80DE2"/>
    <w:rsid w:val="00A90D16"/>
    <w:rsid w:val="00A96535"/>
    <w:rsid w:val="00AA1567"/>
    <w:rsid w:val="00AA6C21"/>
    <w:rsid w:val="00AB695A"/>
    <w:rsid w:val="00AB7492"/>
    <w:rsid w:val="00AC3AD8"/>
    <w:rsid w:val="00AC53A2"/>
    <w:rsid w:val="00AD1243"/>
    <w:rsid w:val="00AE011C"/>
    <w:rsid w:val="00AE0587"/>
    <w:rsid w:val="00AE1AC4"/>
    <w:rsid w:val="00AE4BC5"/>
    <w:rsid w:val="00AE61C1"/>
    <w:rsid w:val="00AE76FF"/>
    <w:rsid w:val="00AF1573"/>
    <w:rsid w:val="00AF5586"/>
    <w:rsid w:val="00B10370"/>
    <w:rsid w:val="00B10EF9"/>
    <w:rsid w:val="00B177AC"/>
    <w:rsid w:val="00B20923"/>
    <w:rsid w:val="00B227FE"/>
    <w:rsid w:val="00B25219"/>
    <w:rsid w:val="00B30AC1"/>
    <w:rsid w:val="00B31538"/>
    <w:rsid w:val="00B322A4"/>
    <w:rsid w:val="00B37E6A"/>
    <w:rsid w:val="00B40C92"/>
    <w:rsid w:val="00B40D70"/>
    <w:rsid w:val="00B45F2C"/>
    <w:rsid w:val="00B520FC"/>
    <w:rsid w:val="00B544AF"/>
    <w:rsid w:val="00B54539"/>
    <w:rsid w:val="00B70828"/>
    <w:rsid w:val="00B73C9A"/>
    <w:rsid w:val="00B765A2"/>
    <w:rsid w:val="00B82B0A"/>
    <w:rsid w:val="00B86D37"/>
    <w:rsid w:val="00B870A6"/>
    <w:rsid w:val="00B9271A"/>
    <w:rsid w:val="00B9446F"/>
    <w:rsid w:val="00B94CC2"/>
    <w:rsid w:val="00B971E9"/>
    <w:rsid w:val="00BA2833"/>
    <w:rsid w:val="00BA3CE1"/>
    <w:rsid w:val="00BA460A"/>
    <w:rsid w:val="00BA5CD8"/>
    <w:rsid w:val="00BB4F67"/>
    <w:rsid w:val="00BB7CED"/>
    <w:rsid w:val="00BC195B"/>
    <w:rsid w:val="00BD0B50"/>
    <w:rsid w:val="00BD3A09"/>
    <w:rsid w:val="00BD7455"/>
    <w:rsid w:val="00BE06DA"/>
    <w:rsid w:val="00BE354D"/>
    <w:rsid w:val="00BE765E"/>
    <w:rsid w:val="00BF1297"/>
    <w:rsid w:val="00BF532B"/>
    <w:rsid w:val="00BF6B01"/>
    <w:rsid w:val="00C008BC"/>
    <w:rsid w:val="00C0178C"/>
    <w:rsid w:val="00C05A4B"/>
    <w:rsid w:val="00C0649F"/>
    <w:rsid w:val="00C07E8A"/>
    <w:rsid w:val="00C11BEA"/>
    <w:rsid w:val="00C11DAA"/>
    <w:rsid w:val="00C1522D"/>
    <w:rsid w:val="00C211B9"/>
    <w:rsid w:val="00C2301A"/>
    <w:rsid w:val="00C31462"/>
    <w:rsid w:val="00C361A8"/>
    <w:rsid w:val="00C362AF"/>
    <w:rsid w:val="00C4104D"/>
    <w:rsid w:val="00C41E49"/>
    <w:rsid w:val="00C43071"/>
    <w:rsid w:val="00C43149"/>
    <w:rsid w:val="00C47798"/>
    <w:rsid w:val="00C5294B"/>
    <w:rsid w:val="00C55113"/>
    <w:rsid w:val="00C55868"/>
    <w:rsid w:val="00C63562"/>
    <w:rsid w:val="00C64FE3"/>
    <w:rsid w:val="00C67808"/>
    <w:rsid w:val="00C70504"/>
    <w:rsid w:val="00C73A99"/>
    <w:rsid w:val="00C81346"/>
    <w:rsid w:val="00C817EC"/>
    <w:rsid w:val="00C84DE3"/>
    <w:rsid w:val="00C914E2"/>
    <w:rsid w:val="00C91573"/>
    <w:rsid w:val="00C9633A"/>
    <w:rsid w:val="00CA0B86"/>
    <w:rsid w:val="00CB593B"/>
    <w:rsid w:val="00CB67F8"/>
    <w:rsid w:val="00CB6AEE"/>
    <w:rsid w:val="00CC17EF"/>
    <w:rsid w:val="00CC2A7B"/>
    <w:rsid w:val="00CC2AC3"/>
    <w:rsid w:val="00CC4EDB"/>
    <w:rsid w:val="00CC58C8"/>
    <w:rsid w:val="00CC7605"/>
    <w:rsid w:val="00CD11C2"/>
    <w:rsid w:val="00CD1C81"/>
    <w:rsid w:val="00CD45AD"/>
    <w:rsid w:val="00CD553B"/>
    <w:rsid w:val="00CE31C6"/>
    <w:rsid w:val="00CE4C8B"/>
    <w:rsid w:val="00CE6ACF"/>
    <w:rsid w:val="00CF0D7E"/>
    <w:rsid w:val="00CF4A83"/>
    <w:rsid w:val="00D01821"/>
    <w:rsid w:val="00D02590"/>
    <w:rsid w:val="00D03D5A"/>
    <w:rsid w:val="00D05107"/>
    <w:rsid w:val="00D071F8"/>
    <w:rsid w:val="00D141ED"/>
    <w:rsid w:val="00D20237"/>
    <w:rsid w:val="00D20B20"/>
    <w:rsid w:val="00D23111"/>
    <w:rsid w:val="00D23311"/>
    <w:rsid w:val="00D27741"/>
    <w:rsid w:val="00D314BB"/>
    <w:rsid w:val="00D325F5"/>
    <w:rsid w:val="00D327D3"/>
    <w:rsid w:val="00D33F79"/>
    <w:rsid w:val="00D3591A"/>
    <w:rsid w:val="00D365FC"/>
    <w:rsid w:val="00D36A5B"/>
    <w:rsid w:val="00D36E25"/>
    <w:rsid w:val="00D40DD7"/>
    <w:rsid w:val="00D46099"/>
    <w:rsid w:val="00D46A61"/>
    <w:rsid w:val="00D46EC0"/>
    <w:rsid w:val="00D538FD"/>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0ECC"/>
    <w:rsid w:val="00DD30A3"/>
    <w:rsid w:val="00DD3699"/>
    <w:rsid w:val="00DD614D"/>
    <w:rsid w:val="00DE2429"/>
    <w:rsid w:val="00DE42D5"/>
    <w:rsid w:val="00DE78F3"/>
    <w:rsid w:val="00DF01BE"/>
    <w:rsid w:val="00DF1DA9"/>
    <w:rsid w:val="00DF1E91"/>
    <w:rsid w:val="00DF26D6"/>
    <w:rsid w:val="00DF2DEC"/>
    <w:rsid w:val="00DF4F89"/>
    <w:rsid w:val="00DF6867"/>
    <w:rsid w:val="00E0341D"/>
    <w:rsid w:val="00E052F3"/>
    <w:rsid w:val="00E10A7B"/>
    <w:rsid w:val="00E1351A"/>
    <w:rsid w:val="00E1404E"/>
    <w:rsid w:val="00E246DF"/>
    <w:rsid w:val="00E30F59"/>
    <w:rsid w:val="00E37E57"/>
    <w:rsid w:val="00E44A0E"/>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A3618"/>
    <w:rsid w:val="00EB130E"/>
    <w:rsid w:val="00EC71AF"/>
    <w:rsid w:val="00ED29EC"/>
    <w:rsid w:val="00ED77BC"/>
    <w:rsid w:val="00EE0A00"/>
    <w:rsid w:val="00EE3ACE"/>
    <w:rsid w:val="00EE78CE"/>
    <w:rsid w:val="00EF3C10"/>
    <w:rsid w:val="00EF416F"/>
    <w:rsid w:val="00F026C3"/>
    <w:rsid w:val="00F030F0"/>
    <w:rsid w:val="00F03D30"/>
    <w:rsid w:val="00F04368"/>
    <w:rsid w:val="00F05FBD"/>
    <w:rsid w:val="00F06242"/>
    <w:rsid w:val="00F06A59"/>
    <w:rsid w:val="00F076F9"/>
    <w:rsid w:val="00F13400"/>
    <w:rsid w:val="00F145FC"/>
    <w:rsid w:val="00F14A42"/>
    <w:rsid w:val="00F15048"/>
    <w:rsid w:val="00F17E87"/>
    <w:rsid w:val="00F216FC"/>
    <w:rsid w:val="00F24D58"/>
    <w:rsid w:val="00F2576F"/>
    <w:rsid w:val="00F25F70"/>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3462"/>
    <w:rsid w:val="00F75D4E"/>
    <w:rsid w:val="00F80A83"/>
    <w:rsid w:val="00F80B1B"/>
    <w:rsid w:val="00F827BD"/>
    <w:rsid w:val="00F9180D"/>
    <w:rsid w:val="00F93C8E"/>
    <w:rsid w:val="00F955B1"/>
    <w:rsid w:val="00FA577F"/>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6855</Words>
  <Characters>37708</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2024-05-03T01:52:00Z</dcterms:created>
  <dcterms:modified xsi:type="dcterms:W3CDTF">2024-05-21T00:33:00Z</dcterms:modified>
</cp:coreProperties>
</file>