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24B1" w14:textId="77777777" w:rsidR="00353C44" w:rsidRDefault="00353C44"/>
    <w:tbl>
      <w:tblPr>
        <w:tblStyle w:val="Tablaconcuadrcula"/>
        <w:tblW w:w="0" w:type="auto"/>
        <w:tblLayout w:type="fixed"/>
        <w:tblLook w:val="04A0" w:firstRow="1" w:lastRow="0" w:firstColumn="1" w:lastColumn="0" w:noHBand="0" w:noVBand="1"/>
      </w:tblPr>
      <w:tblGrid>
        <w:gridCol w:w="1096"/>
        <w:gridCol w:w="1167"/>
        <w:gridCol w:w="5954"/>
        <w:gridCol w:w="6520"/>
        <w:gridCol w:w="4962"/>
        <w:gridCol w:w="1937"/>
      </w:tblGrid>
      <w:tr w:rsidR="006668EB" w14:paraId="3229CBAA" w14:textId="77777777" w:rsidTr="006668EB">
        <w:tc>
          <w:tcPr>
            <w:tcW w:w="1096" w:type="dxa"/>
            <w:shd w:val="clear" w:color="auto" w:fill="24135F"/>
            <w:vAlign w:val="center"/>
          </w:tcPr>
          <w:p w14:paraId="6837E64D" w14:textId="0588D3B8" w:rsidR="006668EB" w:rsidRPr="006668EB" w:rsidRDefault="006668EB" w:rsidP="006668EB">
            <w:pPr>
              <w:jc w:val="center"/>
              <w:rPr>
                <w:b/>
                <w:bCs/>
              </w:rPr>
            </w:pPr>
            <w:r w:rsidRPr="006668EB">
              <w:rPr>
                <w:b/>
                <w:bCs/>
              </w:rPr>
              <w:t>PERIODO QUE SE REPORTA</w:t>
            </w:r>
          </w:p>
        </w:tc>
        <w:tc>
          <w:tcPr>
            <w:tcW w:w="1167" w:type="dxa"/>
            <w:shd w:val="clear" w:color="auto" w:fill="24135F"/>
            <w:vAlign w:val="center"/>
          </w:tcPr>
          <w:p w14:paraId="438B0CDC" w14:textId="2986529C" w:rsidR="006668EB" w:rsidRPr="006668EB" w:rsidRDefault="006668EB" w:rsidP="006668EB">
            <w:pPr>
              <w:jc w:val="center"/>
              <w:rPr>
                <w:b/>
                <w:bCs/>
              </w:rPr>
            </w:pPr>
            <w:r w:rsidRPr="006668EB">
              <w:rPr>
                <w:b/>
                <w:bCs/>
              </w:rPr>
              <w:t>PÁRRAFO</w:t>
            </w:r>
          </w:p>
        </w:tc>
        <w:tc>
          <w:tcPr>
            <w:tcW w:w="5954" w:type="dxa"/>
            <w:shd w:val="clear" w:color="auto" w:fill="24135F"/>
            <w:vAlign w:val="center"/>
          </w:tcPr>
          <w:p w14:paraId="48793B8C" w14:textId="798D49F2" w:rsidR="006668EB" w:rsidRPr="006668EB" w:rsidRDefault="006668EB" w:rsidP="006668EB">
            <w:pPr>
              <w:jc w:val="center"/>
              <w:rPr>
                <w:b/>
                <w:bCs/>
              </w:rPr>
            </w:pPr>
            <w:r w:rsidRPr="006668EB">
              <w:rPr>
                <w:b/>
                <w:bCs/>
              </w:rPr>
              <w:t>OBSERVACIÓN</w:t>
            </w:r>
          </w:p>
        </w:tc>
        <w:tc>
          <w:tcPr>
            <w:tcW w:w="6520" w:type="dxa"/>
            <w:shd w:val="clear" w:color="auto" w:fill="24135F"/>
            <w:vAlign w:val="center"/>
          </w:tcPr>
          <w:p w14:paraId="6DEE4BB7" w14:textId="3B36BB84" w:rsidR="006668EB" w:rsidRPr="006668EB" w:rsidRDefault="006668EB" w:rsidP="006668EB">
            <w:pPr>
              <w:jc w:val="center"/>
              <w:rPr>
                <w:b/>
                <w:bCs/>
              </w:rPr>
            </w:pPr>
            <w:r w:rsidRPr="006668EB">
              <w:rPr>
                <w:b/>
                <w:bCs/>
              </w:rPr>
              <w:t>COMENTARIOS</w:t>
            </w:r>
          </w:p>
        </w:tc>
        <w:tc>
          <w:tcPr>
            <w:tcW w:w="4962" w:type="dxa"/>
            <w:shd w:val="clear" w:color="auto" w:fill="24135F"/>
            <w:vAlign w:val="center"/>
          </w:tcPr>
          <w:p w14:paraId="4C4BD6FE" w14:textId="058574C6" w:rsidR="006668EB" w:rsidRPr="006668EB" w:rsidRDefault="006668EB" w:rsidP="006668EB">
            <w:pPr>
              <w:jc w:val="center"/>
              <w:rPr>
                <w:b/>
                <w:bCs/>
              </w:rPr>
            </w:pPr>
            <w:r w:rsidRPr="006668EB">
              <w:rPr>
                <w:b/>
                <w:bCs/>
              </w:rPr>
              <w:t>HIPERVÍNCULO</w:t>
            </w:r>
          </w:p>
          <w:p w14:paraId="69DB8DDC" w14:textId="1EAF75ED" w:rsidR="006668EB" w:rsidRPr="006668EB" w:rsidRDefault="006668EB" w:rsidP="006668EB">
            <w:pPr>
              <w:jc w:val="center"/>
              <w:rPr>
                <w:b/>
                <w:bCs/>
              </w:rPr>
            </w:pPr>
            <w:r w:rsidRPr="006668EB">
              <w:rPr>
                <w:b/>
                <w:bCs/>
              </w:rPr>
              <w:t>AL INFORME</w:t>
            </w:r>
          </w:p>
        </w:tc>
        <w:tc>
          <w:tcPr>
            <w:tcW w:w="1937" w:type="dxa"/>
            <w:shd w:val="clear" w:color="auto" w:fill="24135F"/>
            <w:vAlign w:val="center"/>
          </w:tcPr>
          <w:p w14:paraId="3061190B" w14:textId="77777777" w:rsidR="006668EB" w:rsidRPr="006668EB" w:rsidRDefault="006668EB" w:rsidP="006668EB">
            <w:pPr>
              <w:jc w:val="center"/>
              <w:rPr>
                <w:b/>
                <w:bCs/>
              </w:rPr>
            </w:pPr>
            <w:r w:rsidRPr="006668EB">
              <w:rPr>
                <w:b/>
                <w:bCs/>
              </w:rPr>
              <w:t>FECHA EMISIÓN</w:t>
            </w:r>
          </w:p>
          <w:p w14:paraId="6AD2425C" w14:textId="6BDD71CC" w:rsidR="006668EB" w:rsidRPr="006668EB" w:rsidRDefault="006668EB" w:rsidP="006668EB">
            <w:pPr>
              <w:jc w:val="center"/>
              <w:rPr>
                <w:b/>
                <w:bCs/>
              </w:rPr>
            </w:pPr>
            <w:r w:rsidRPr="006668EB">
              <w:rPr>
                <w:b/>
                <w:bCs/>
              </w:rPr>
              <w:t>DE LA</w:t>
            </w:r>
          </w:p>
          <w:p w14:paraId="26DE1DCB" w14:textId="6F24CA2F" w:rsidR="006668EB" w:rsidRPr="006668EB" w:rsidRDefault="006668EB" w:rsidP="006668EB">
            <w:pPr>
              <w:jc w:val="center"/>
              <w:rPr>
                <w:b/>
                <w:bCs/>
              </w:rPr>
            </w:pPr>
            <w:r w:rsidRPr="006668EB">
              <w:rPr>
                <w:b/>
                <w:bCs/>
              </w:rPr>
              <w:t>RECOMENDACIÓN</w:t>
            </w:r>
          </w:p>
        </w:tc>
      </w:tr>
      <w:tr w:rsidR="006668EB" w14:paraId="3FBB11DC" w14:textId="77777777" w:rsidTr="006668EB">
        <w:tc>
          <w:tcPr>
            <w:tcW w:w="1096" w:type="dxa"/>
            <w:vAlign w:val="center"/>
          </w:tcPr>
          <w:p w14:paraId="08770736" w14:textId="693F458F" w:rsidR="006668EB" w:rsidRDefault="006668EB" w:rsidP="006668EB">
            <w:pPr>
              <w:jc w:val="center"/>
            </w:pPr>
            <w:r w:rsidRPr="006668EB">
              <w:t>01-07-2022/ 30-09-2022</w:t>
            </w:r>
          </w:p>
        </w:tc>
        <w:tc>
          <w:tcPr>
            <w:tcW w:w="1167" w:type="dxa"/>
            <w:vAlign w:val="center"/>
          </w:tcPr>
          <w:p w14:paraId="595C5CE9" w14:textId="53672D9A" w:rsidR="006668EB" w:rsidRDefault="006668EB" w:rsidP="006668EB">
            <w:pPr>
              <w:jc w:val="center"/>
            </w:pPr>
            <w:r w:rsidRPr="006668EB">
              <w:t>35,142 y 145</w:t>
            </w:r>
          </w:p>
        </w:tc>
        <w:tc>
          <w:tcPr>
            <w:tcW w:w="5954" w:type="dxa"/>
            <w:vAlign w:val="center"/>
          </w:tcPr>
          <w:p w14:paraId="47653C9F" w14:textId="314099F8" w:rsidR="006668EB" w:rsidRDefault="006668EB" w:rsidP="00353C44">
            <w:pPr>
              <w:jc w:val="both"/>
            </w:pPr>
            <w:r w:rsidRPr="006668EB">
              <w:t>Derivado del artículo 97 del Reglamento del Comité contra la Desaparición Forzada (“Comité” o “CED”), el Estado mexicano presenta sus observaciones al Informe del Comité sobre su visita a México al amparo del artículo 33 de la Convención Internacional para la Protección de Todas las Personas contra las Desapariciones Forzadas, por lo que el Estado mexicano además de las observaciones solicitadas, informa sobre los primeros esfuerzos de cumplimiento de las recomendaciones.</w:t>
            </w:r>
          </w:p>
        </w:tc>
        <w:tc>
          <w:tcPr>
            <w:tcW w:w="6520" w:type="dxa"/>
            <w:vAlign w:val="center"/>
          </w:tcPr>
          <w:p w14:paraId="11D381C5" w14:textId="03D9A1A4" w:rsidR="006668EB" w:rsidRDefault="006668EB" w:rsidP="00353C44">
            <w:pPr>
              <w:jc w:val="both"/>
            </w:pPr>
            <w:r w:rsidRPr="006668EB">
              <w:t xml:space="preserve">La SCJN informa el reconocimiento que tuvo por parte del Comité respecto del carácter vinculante de las recomendaciones adoptadas por el "CED" en el procedimiento de acciones urgentes, así como las labores que </w:t>
            </w:r>
            <w:r w:rsidR="00353C44" w:rsidRPr="006668EB">
              <w:t>tuvo de</w:t>
            </w:r>
            <w:r w:rsidRPr="006668EB">
              <w:t xml:space="preserve"> promoción y difusión, a través </w:t>
            </w:r>
            <w:r w:rsidR="00353C44" w:rsidRPr="006668EB">
              <w:t>de los comunicados</w:t>
            </w:r>
            <w:r w:rsidRPr="006668EB">
              <w:t xml:space="preserve"> de prensa. De igual forma, la </w:t>
            </w:r>
            <w:r w:rsidR="0096725B" w:rsidRPr="006668EB">
              <w:t>SCJN estará</w:t>
            </w:r>
            <w:r w:rsidRPr="006668EB">
              <w:t xml:space="preserve"> en aptitud de definir criterios uniformes sobre la competencia de los sistemas penales, siempre y cuando, tenga la posibilidad de pronunciarse en relación con asuntos que planteen la necesidad de definir dichas reglas de competencia. Asimismo, la SCJN resolvió el </w:t>
            </w:r>
            <w:hyperlink r:id="rId6" w:history="1">
              <w:r w:rsidRPr="006668EB">
                <w:rPr>
                  <w:rStyle w:val="Hipervnculo"/>
                </w:rPr>
                <w:t>Amparo en Revisión 1077/2019</w:t>
              </w:r>
            </w:hyperlink>
            <w:r w:rsidRPr="006668EB">
              <w:t xml:space="preserve"> el cual resulta un precedente obligatorio, pues implica la observancia del citado criterio por parte de todos los operadores de justicia del estado y </w:t>
            </w:r>
            <w:r w:rsidR="00353C44" w:rsidRPr="006668EB">
              <w:t>prevé</w:t>
            </w:r>
            <w:r w:rsidRPr="006668EB">
              <w:t xml:space="preserve"> un mayor cumplimiento por parte de las autoridades involucradas en el combate a la desaparición forzada de personas. En el mismo sentido, la SCJN ha impartido Cursos Básicos de Formación y Preparación de </w:t>
            </w:r>
            <w:r w:rsidR="0096725B">
              <w:t xml:space="preserve">Secretarias </w:t>
            </w:r>
            <w:r w:rsidRPr="006668EB">
              <w:t xml:space="preserve">y Secretarios del Poder Judicial de la Federación (PJF), así como la maestría de “Derechos Humanos, Impartición de Justicia y Género”, la maestría de “Amparo” y el </w:t>
            </w:r>
            <w:r w:rsidR="00353C44" w:rsidRPr="006668EB">
              <w:t>Programa denominado</w:t>
            </w:r>
            <w:r w:rsidRPr="006668EB">
              <w:t xml:space="preserve"> "Las obligaciones del Poder Judicial de la Federación en relación con la desaparición de personas”, programas que han sido dirigidos a todo el personal jurisdiccional del Poder Judicial.</w:t>
            </w:r>
          </w:p>
        </w:tc>
        <w:tc>
          <w:tcPr>
            <w:tcW w:w="4962" w:type="dxa"/>
            <w:vAlign w:val="center"/>
          </w:tcPr>
          <w:p w14:paraId="7A262C84" w14:textId="5F33CA7B" w:rsidR="006668EB" w:rsidRDefault="006668EB" w:rsidP="006668EB">
            <w:r w:rsidRPr="006668EB">
              <w:t>https://tbinternet.ohchr.org/_layouts/15/treatybodyexternal/Download.aspx?symbolno=CED%2fC%2fMEX%2fOVR%2f1&amp;Lang=en</w:t>
            </w:r>
          </w:p>
        </w:tc>
        <w:tc>
          <w:tcPr>
            <w:tcW w:w="1937" w:type="dxa"/>
            <w:vAlign w:val="center"/>
          </w:tcPr>
          <w:p w14:paraId="2586CEDF" w14:textId="43A725D2" w:rsidR="006668EB" w:rsidRDefault="006668EB" w:rsidP="006668EB">
            <w:pPr>
              <w:jc w:val="center"/>
            </w:pPr>
            <w:r>
              <w:t>11/</w:t>
            </w:r>
            <w:proofErr w:type="spellStart"/>
            <w:r>
              <w:t>Ago</w:t>
            </w:r>
            <w:proofErr w:type="spellEnd"/>
            <w:r>
              <w:t>/2022</w:t>
            </w:r>
          </w:p>
        </w:tc>
      </w:tr>
    </w:tbl>
    <w:p w14:paraId="5AC19F5B" w14:textId="77777777" w:rsidR="00B24793" w:rsidRPr="00AB5720" w:rsidRDefault="00EA1C6C" w:rsidP="00AB5720"/>
    <w:sectPr w:rsidR="00B24793" w:rsidRPr="00AB5720" w:rsidSect="006668EB">
      <w:headerReference w:type="default" r:id="rId7"/>
      <w:pgSz w:w="24480" w:h="15840" w:orient="landscape" w:code="3"/>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8CDA" w14:textId="77777777" w:rsidR="00EA1C6C" w:rsidRDefault="00EA1C6C" w:rsidP="006668EB">
      <w:pPr>
        <w:spacing w:after="0" w:line="240" w:lineRule="auto"/>
      </w:pPr>
      <w:r>
        <w:separator/>
      </w:r>
    </w:p>
  </w:endnote>
  <w:endnote w:type="continuationSeparator" w:id="0">
    <w:p w14:paraId="788C238D" w14:textId="77777777" w:rsidR="00EA1C6C" w:rsidRDefault="00EA1C6C" w:rsidP="0066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E4EE" w14:textId="77777777" w:rsidR="00EA1C6C" w:rsidRDefault="00EA1C6C" w:rsidP="006668EB">
      <w:pPr>
        <w:spacing w:after="0" w:line="240" w:lineRule="auto"/>
      </w:pPr>
      <w:r>
        <w:separator/>
      </w:r>
    </w:p>
  </w:footnote>
  <w:footnote w:type="continuationSeparator" w:id="0">
    <w:p w14:paraId="13BE326D" w14:textId="77777777" w:rsidR="00EA1C6C" w:rsidRDefault="00EA1C6C" w:rsidP="00666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D76" w14:textId="40F14DB2" w:rsidR="006668EB" w:rsidRDefault="006668EB">
    <w:pPr>
      <w:pStyle w:val="Encabezado"/>
    </w:pPr>
    <w:r>
      <w:rPr>
        <w:noProof/>
      </w:rPr>
      <mc:AlternateContent>
        <mc:Choice Requires="wps">
          <w:drawing>
            <wp:anchor distT="45720" distB="45720" distL="114300" distR="114300" simplePos="0" relativeHeight="251659264" behindDoc="0" locked="0" layoutInCell="1" allowOverlap="1" wp14:anchorId="534EB8D2" wp14:editId="63CF8B0A">
              <wp:simplePos x="0" y="0"/>
              <wp:positionH relativeFrom="column">
                <wp:posOffset>1012825</wp:posOffset>
              </wp:positionH>
              <wp:positionV relativeFrom="paragraph">
                <wp:posOffset>121920</wp:posOffset>
              </wp:positionV>
              <wp:extent cx="12512040" cy="58674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2040" cy="586740"/>
                      </a:xfrm>
                      <a:prstGeom prst="rect">
                        <a:avLst/>
                      </a:prstGeom>
                      <a:noFill/>
                      <a:ln w="9525">
                        <a:noFill/>
                        <a:miter lim="800000"/>
                        <a:headEnd/>
                        <a:tailEnd/>
                      </a:ln>
                    </wps:spPr>
                    <wps:txbx>
                      <w:txbxContent>
                        <w:p w14:paraId="70E4E3B0" w14:textId="3ED71E31" w:rsidR="006668EB" w:rsidRPr="0096725B" w:rsidRDefault="006668EB" w:rsidP="006668EB">
                          <w:pPr>
                            <w:jc w:val="center"/>
                            <w:rPr>
                              <w:rFonts w:ascii="Arial" w:hAnsi="Arial" w:cs="Arial"/>
                              <w:b/>
                              <w:bCs/>
                              <w:sz w:val="24"/>
                              <w:szCs w:val="24"/>
                            </w:rPr>
                          </w:pPr>
                          <w:r w:rsidRPr="0096725B">
                            <w:rPr>
                              <w:rFonts w:ascii="Arial" w:hAnsi="Arial" w:cs="Arial"/>
                              <w:b/>
                              <w:bCs/>
                              <w:sz w:val="24"/>
                              <w:szCs w:val="24"/>
                            </w:rPr>
                            <w:t>SEGUIMIENTO DE RECOMENDACIONES FORMULADAS POR LA COMISIÓN INTERAMERICANA DE DERECHOS HUMANOS EN SUS INFORMES DE PAÍS O TEMÁTICOS. CAPÍTULO V. MÉXICO</w:t>
                          </w:r>
                        </w:p>
                        <w:p w14:paraId="5DAE02E2" w14:textId="47A509A3" w:rsidR="006668EB" w:rsidRPr="0096725B" w:rsidRDefault="006668EB" w:rsidP="006668EB">
                          <w:pPr>
                            <w:jc w:val="center"/>
                            <w:rPr>
                              <w:rFonts w:ascii="Arial" w:hAnsi="Arial" w:cs="Arial"/>
                              <w:b/>
                              <w:bCs/>
                              <w:sz w:val="24"/>
                              <w:szCs w:val="24"/>
                            </w:rPr>
                          </w:pPr>
                          <w:r w:rsidRPr="0096725B">
                            <w:rPr>
                              <w:rFonts w:ascii="Arial" w:hAnsi="Arial" w:cs="Arial"/>
                              <w:b/>
                              <w:bCs/>
                              <w:sz w:val="24"/>
                              <w:szCs w:val="24"/>
                            </w:rPr>
                            <w:t>OBSERVACIONES RELATIVAS A LAS FACULTADES DE LA SUPREMA CORTE</w:t>
                          </w:r>
                        </w:p>
                        <w:p w14:paraId="0A3C0959" w14:textId="77777777" w:rsidR="006668EB" w:rsidRDefault="00666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EB8D2" id="_x0000_t202" coordsize="21600,21600" o:spt="202" path="m,l,21600r21600,l21600,xe">
              <v:stroke joinstyle="miter"/>
              <v:path gradientshapeok="t" o:connecttype="rect"/>
            </v:shapetype>
            <v:shape id="Cuadro de texto 2" o:spid="_x0000_s1026" type="#_x0000_t202" style="position:absolute;margin-left:79.75pt;margin-top:9.6pt;width:985.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R99gEAAM4DAAAOAAAAZHJzL2Uyb0RvYy54bWysU9tu2zAMfR+wfxD0vtgxkl6MOEXXrsOA&#10;rhvQ7QMUWY6FSaJGKbGzrx8lp2mwvQ3zg0Ca4iHPIbW6Ga1he4VBg2v4fFZyppyEVrttw79/e3h3&#10;xVmIwrXCgFMNP6jAb9Zv36wGX6sKejCtQkYgLtSDb3gfo6+LIsheWRFm4JWjYAdoRSQXt0WLYiB0&#10;a4qqLC+KAbD1CFKFQH/vpyBfZ/yuUzJ+6bqgIjMNp95iPjGfm3QW65Wotyh8r+WxDfEPXVihHRU9&#10;Qd2LKNgO9V9QVkuEAF2cSbAFdJ2WKnMgNvPyDzbPvfAqcyFxgj/JFP4frHzaP/uvyOL4HkYaYCYR&#10;/CPIH4E5uOuF26pbRBh6JVoqPE+SFYMP9TE1SR3qkEA2w2doachiFyEDjR3apArxZIROAzicRFdj&#10;ZDKVrJbzqlxQTFJweXVxSXaqIeqXdI8hflRgWTIajjTVDC/2jyFOV1+upGoOHrQxebLGsaHh18tq&#10;mRPOIlZHWjyjbcOvyvRNq5BYfnBtTo5Cm8mmXow70k5MJ85x3Ix0MdHfQHsgARCmBaMHQUYP+Iuz&#10;gZar4eHnTqDizHxyJOL1fJEIx+wslpcVOXge2ZxHhJME1fDI2WTexbzBE9dbErvTWYbXTo690tJk&#10;IY8Lnrby3M+3Xp/h+jcAAAD//wMAUEsDBBQABgAIAAAAIQAP4uaR3gAAAAsBAAAPAAAAZHJzL2Rv&#10;d25yZXYueG1sTI/NTsMwEITvSLyDtUjcqJ2IVDiNUyEQVxDlR+LmxtskaryOYrcJb89ygtvO7mj2&#10;m2q7+EGccYp9IAPZSoFAaoLrqTXw/vZ0cwciJkvODoHQwDdG2NaXF5UtXZjpFc+71AoOoVhaA11K&#10;YyllbDr0Nq7CiMS3Q5i8TSynVrrJzhzuB5krtZbe9sQfOjviQ4fNcXfyBj6eD1+ft+qlffTFOIdF&#10;SfJaGnN9tdxvQCRc0p8ZfvEZHWpm2ocTuSgG1oUu2MqDzkGwIc9yrUHseZNla5B1Jf93qH8AAAD/&#10;/wMAUEsBAi0AFAAGAAgAAAAhALaDOJL+AAAA4QEAABMAAAAAAAAAAAAAAAAAAAAAAFtDb250ZW50&#10;X1R5cGVzXS54bWxQSwECLQAUAAYACAAAACEAOP0h/9YAAACUAQAACwAAAAAAAAAAAAAAAAAvAQAA&#10;X3JlbHMvLnJlbHNQSwECLQAUAAYACAAAACEAbpY0ffYBAADOAwAADgAAAAAAAAAAAAAAAAAuAgAA&#10;ZHJzL2Uyb0RvYy54bWxQSwECLQAUAAYACAAAACEAD+Lmkd4AAAALAQAADwAAAAAAAAAAAAAAAABQ&#10;BAAAZHJzL2Rvd25yZXYueG1sUEsFBgAAAAAEAAQA8wAAAFsFAAAAAA==&#10;" filled="f" stroked="f">
              <v:textbox>
                <w:txbxContent>
                  <w:p w14:paraId="70E4E3B0" w14:textId="3ED71E31" w:rsidR="006668EB" w:rsidRPr="0096725B" w:rsidRDefault="006668EB" w:rsidP="006668EB">
                    <w:pPr>
                      <w:jc w:val="center"/>
                      <w:rPr>
                        <w:rFonts w:ascii="Arial" w:hAnsi="Arial" w:cs="Arial"/>
                        <w:b/>
                        <w:bCs/>
                        <w:sz w:val="24"/>
                        <w:szCs w:val="24"/>
                      </w:rPr>
                    </w:pPr>
                    <w:r w:rsidRPr="0096725B">
                      <w:rPr>
                        <w:rFonts w:ascii="Arial" w:hAnsi="Arial" w:cs="Arial"/>
                        <w:b/>
                        <w:bCs/>
                        <w:sz w:val="24"/>
                        <w:szCs w:val="24"/>
                      </w:rPr>
                      <w:t>SEGUIMIENTO DE RECOMENDACIONES FORMULADAS POR LA COMISIÓN INTERAMERICANA DE DERECHOS HUMANOS EN SUS INFORMES DE PAÍS O TEMÁTICOS. CAPÍTULO V. MÉXICO</w:t>
                    </w:r>
                  </w:p>
                  <w:p w14:paraId="5DAE02E2" w14:textId="47A509A3" w:rsidR="006668EB" w:rsidRPr="0096725B" w:rsidRDefault="006668EB" w:rsidP="006668EB">
                    <w:pPr>
                      <w:jc w:val="center"/>
                      <w:rPr>
                        <w:rFonts w:ascii="Arial" w:hAnsi="Arial" w:cs="Arial"/>
                        <w:b/>
                        <w:bCs/>
                        <w:sz w:val="24"/>
                        <w:szCs w:val="24"/>
                      </w:rPr>
                    </w:pPr>
                    <w:r w:rsidRPr="0096725B">
                      <w:rPr>
                        <w:rFonts w:ascii="Arial" w:hAnsi="Arial" w:cs="Arial"/>
                        <w:b/>
                        <w:bCs/>
                        <w:sz w:val="24"/>
                        <w:szCs w:val="24"/>
                      </w:rPr>
                      <w:t>OBSERVACIONES RELATIVAS A LAS FACULTADES DE LA SUPREMA CORTE</w:t>
                    </w:r>
                  </w:p>
                  <w:p w14:paraId="0A3C0959" w14:textId="77777777" w:rsidR="006668EB" w:rsidRDefault="006668EB"/>
                </w:txbxContent>
              </v:textbox>
              <w10:wrap type="square"/>
            </v:shape>
          </w:pict>
        </mc:Fallback>
      </mc:AlternateContent>
    </w:r>
    <w:r>
      <w:rPr>
        <w:noProof/>
      </w:rPr>
      <w:drawing>
        <wp:inline distT="0" distB="0" distL="0" distR="0" wp14:anchorId="02EAF8DB" wp14:editId="777AA92D">
          <wp:extent cx="876300" cy="693420"/>
          <wp:effectExtent l="0" t="0" r="0" b="0"/>
          <wp:docPr id="2" name="Imagen 1" descr="Logotipo&#10;&#10;Descripción generada automáticamente con confianza media">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con confianza media">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693420"/>
                  </a:xfrm>
                  <a:prstGeom prst="rect">
                    <a:avLst/>
                  </a:prstGeom>
                  <a:effectLst/>
                </pic:spPr>
              </pic:pic>
            </a:graphicData>
          </a:graphic>
        </wp:inline>
      </w:drawing>
    </w:r>
  </w:p>
  <w:p w14:paraId="55A3DDD0" w14:textId="5DDEA1C8" w:rsidR="006668EB" w:rsidRDefault="006668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20"/>
    <w:rsid w:val="00304D1D"/>
    <w:rsid w:val="00353C44"/>
    <w:rsid w:val="006668EB"/>
    <w:rsid w:val="0096725B"/>
    <w:rsid w:val="00AB5720"/>
    <w:rsid w:val="00E87001"/>
    <w:rsid w:val="00EA1C6C"/>
    <w:rsid w:val="00F30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29F"/>
  <w15:chartTrackingRefBased/>
  <w15:docId w15:val="{880C334D-8A04-4999-84AD-C28AE794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720"/>
    <w:rPr>
      <w:color w:val="0563C1"/>
      <w:u w:val="single"/>
    </w:rPr>
  </w:style>
  <w:style w:type="paragraph" w:styleId="Encabezado">
    <w:name w:val="header"/>
    <w:basedOn w:val="Normal"/>
    <w:link w:val="EncabezadoCar"/>
    <w:uiPriority w:val="99"/>
    <w:unhideWhenUsed/>
    <w:rsid w:val="00666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68EB"/>
  </w:style>
  <w:style w:type="paragraph" w:styleId="Piedepgina">
    <w:name w:val="footer"/>
    <w:basedOn w:val="Normal"/>
    <w:link w:val="PiedepginaCar"/>
    <w:uiPriority w:val="99"/>
    <w:unhideWhenUsed/>
    <w:rsid w:val="00666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8EB"/>
  </w:style>
  <w:style w:type="character" w:styleId="Mencinsinresolver">
    <w:name w:val="Unresolved Mention"/>
    <w:basedOn w:val="Fuentedeprrafopredeter"/>
    <w:uiPriority w:val="99"/>
    <w:semiHidden/>
    <w:unhideWhenUsed/>
    <w:rsid w:val="006668EB"/>
    <w:rPr>
      <w:color w:val="605E5C"/>
      <w:shd w:val="clear" w:color="auto" w:fill="E1DFDD"/>
    </w:rPr>
  </w:style>
  <w:style w:type="table" w:styleId="Tablaconcuadrcula">
    <w:name w:val="Table Grid"/>
    <w:basedOn w:val="Tablanormal"/>
    <w:uiPriority w:val="39"/>
    <w:rsid w:val="0066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5098">
      <w:bodyDiv w:val="1"/>
      <w:marLeft w:val="0"/>
      <w:marRight w:val="0"/>
      <w:marTop w:val="0"/>
      <w:marBottom w:val="0"/>
      <w:divBdr>
        <w:top w:val="none" w:sz="0" w:space="0" w:color="auto"/>
        <w:left w:val="none" w:sz="0" w:space="0" w:color="auto"/>
        <w:bottom w:val="none" w:sz="0" w:space="0" w:color="auto"/>
        <w:right w:val="none" w:sz="0" w:space="0" w:color="auto"/>
      </w:divBdr>
    </w:div>
    <w:div w:id="520896062">
      <w:bodyDiv w:val="1"/>
      <w:marLeft w:val="0"/>
      <w:marRight w:val="0"/>
      <w:marTop w:val="0"/>
      <w:marBottom w:val="0"/>
      <w:divBdr>
        <w:top w:val="none" w:sz="0" w:space="0" w:color="auto"/>
        <w:left w:val="none" w:sz="0" w:space="0" w:color="auto"/>
        <w:bottom w:val="none" w:sz="0" w:space="0" w:color="auto"/>
        <w:right w:val="none" w:sz="0" w:space="0" w:color="auto"/>
      </w:divBdr>
    </w:div>
    <w:div w:id="712577518">
      <w:bodyDiv w:val="1"/>
      <w:marLeft w:val="0"/>
      <w:marRight w:val="0"/>
      <w:marTop w:val="0"/>
      <w:marBottom w:val="0"/>
      <w:divBdr>
        <w:top w:val="none" w:sz="0" w:space="0" w:color="auto"/>
        <w:left w:val="none" w:sz="0" w:space="0" w:color="auto"/>
        <w:bottom w:val="none" w:sz="0" w:space="0" w:color="auto"/>
        <w:right w:val="none" w:sz="0" w:space="0" w:color="auto"/>
      </w:divBdr>
    </w:div>
    <w:div w:id="1754204624">
      <w:bodyDiv w:val="1"/>
      <w:marLeft w:val="0"/>
      <w:marRight w:val="0"/>
      <w:marTop w:val="0"/>
      <w:marBottom w:val="0"/>
      <w:divBdr>
        <w:top w:val="none" w:sz="0" w:space="0" w:color="auto"/>
        <w:left w:val="none" w:sz="0" w:space="0" w:color="auto"/>
        <w:bottom w:val="none" w:sz="0" w:space="0" w:color="auto"/>
        <w:right w:val="none" w:sz="0" w:space="0" w:color="auto"/>
      </w:divBdr>
    </w:div>
    <w:div w:id="18270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scjn.gob.mx/ConsultaTematica/PaginasPub/DetallePub.aspx?AsuntoID=2665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RUIZ CONTRERAS</dc:creator>
  <cp:keywords/>
  <dc:description/>
  <cp:lastModifiedBy>MARIA GABRIELA RUIZ CONTRERAS</cp:lastModifiedBy>
  <cp:revision>2</cp:revision>
  <dcterms:created xsi:type="dcterms:W3CDTF">2022-10-24T14:36:00Z</dcterms:created>
  <dcterms:modified xsi:type="dcterms:W3CDTF">2022-10-24T15:17:00Z</dcterms:modified>
</cp:coreProperties>
</file>