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40E" w:rsidRDefault="0094140E" w:rsidP="0094140E">
      <w:pPr>
        <w:pStyle w:val="corte4fondoCar"/>
        <w:ind w:firstLine="0"/>
        <w:rPr>
          <w:rFonts w:cs="Arial"/>
          <w:b/>
          <w:szCs w:val="30"/>
        </w:rPr>
      </w:pPr>
    </w:p>
    <w:p w:rsidR="0094140E" w:rsidRDefault="0094140E" w:rsidP="0094140E">
      <w:pPr>
        <w:pStyle w:val="corte4fondoCar"/>
        <w:ind w:firstLine="0"/>
        <w:rPr>
          <w:rFonts w:cs="Arial"/>
          <w:b/>
          <w:szCs w:val="30"/>
        </w:rPr>
      </w:pPr>
    </w:p>
    <w:p w:rsidR="0094140E" w:rsidRDefault="0094140E" w:rsidP="0094140E">
      <w:pPr>
        <w:pStyle w:val="corte4fondoCar"/>
        <w:ind w:firstLine="0"/>
        <w:rPr>
          <w:rFonts w:cs="Arial"/>
          <w:b/>
          <w:szCs w:val="30"/>
        </w:rPr>
      </w:pPr>
    </w:p>
    <w:p w:rsidR="0094140E" w:rsidRPr="0041259A" w:rsidRDefault="0094140E" w:rsidP="0094140E">
      <w:pPr>
        <w:pStyle w:val="corte4fondoCar"/>
        <w:ind w:firstLine="0"/>
        <w:rPr>
          <w:rFonts w:cs="Arial"/>
          <w:b/>
          <w:sz w:val="28"/>
          <w:szCs w:val="28"/>
        </w:rPr>
      </w:pPr>
      <w:r w:rsidRPr="0041259A">
        <w:rPr>
          <w:rFonts w:cs="Arial"/>
          <w:b/>
          <w:sz w:val="28"/>
          <w:szCs w:val="28"/>
        </w:rPr>
        <w:t>VOTO CONCURRENTE QUE FORMULA EL SEÑOR MINISTRO LUIS MARÍA AGUILAR MORALES, EN RELACI</w:t>
      </w:r>
      <w:bookmarkStart w:id="0" w:name="_GoBack"/>
      <w:bookmarkEnd w:id="0"/>
      <w:r w:rsidRPr="0041259A">
        <w:rPr>
          <w:rFonts w:cs="Arial"/>
          <w:b/>
          <w:sz w:val="28"/>
          <w:szCs w:val="28"/>
        </w:rPr>
        <w:t xml:space="preserve">ÓN CON </w:t>
      </w:r>
      <w:r>
        <w:rPr>
          <w:rFonts w:cs="Arial"/>
          <w:b/>
          <w:sz w:val="28"/>
          <w:szCs w:val="28"/>
        </w:rPr>
        <w:t xml:space="preserve">LA ACCIÓN DE INCONSTITUCIONALIDAD </w:t>
      </w:r>
      <w:r w:rsidR="004A1650">
        <w:rPr>
          <w:rFonts w:cs="Arial"/>
          <w:b/>
          <w:sz w:val="28"/>
          <w:szCs w:val="28"/>
        </w:rPr>
        <w:t>37/2016</w:t>
      </w:r>
    </w:p>
    <w:p w:rsidR="0094140E" w:rsidRDefault="0094140E" w:rsidP="0094140E">
      <w:pPr>
        <w:pStyle w:val="corte4fondoCar"/>
        <w:ind w:firstLine="0"/>
        <w:rPr>
          <w:rFonts w:cs="Arial"/>
          <w:sz w:val="28"/>
          <w:szCs w:val="28"/>
        </w:rPr>
      </w:pPr>
    </w:p>
    <w:p w:rsidR="00C71D15" w:rsidRDefault="0094140E" w:rsidP="00396B0A">
      <w:pPr>
        <w:pStyle w:val="TEXTONORMAL"/>
        <w:ind w:firstLine="0"/>
      </w:pPr>
      <w:r w:rsidRPr="005D3F98">
        <w:t xml:space="preserve">En sesión celebrada el </w:t>
      </w:r>
      <w:r w:rsidR="003B7553" w:rsidRPr="005D3F98">
        <w:t>seis</w:t>
      </w:r>
      <w:r w:rsidRPr="005D3F98">
        <w:t xml:space="preserve"> de mayo de dos mil diecinueve, el Tribunal Pleno de esta Supre</w:t>
      </w:r>
      <w:r w:rsidR="00D83195" w:rsidRPr="005D3F98">
        <w:t xml:space="preserve">ma Corte Justicia de la Nación </w:t>
      </w:r>
      <w:r w:rsidRPr="005D3F98">
        <w:t xml:space="preserve">al resolver la acción de inconstitucionalidad citada al rubro, </w:t>
      </w:r>
      <w:r w:rsidR="00C71D15">
        <w:t xml:space="preserve">determinó, por un lado, </w:t>
      </w:r>
      <w:r w:rsidR="00C71D15" w:rsidRPr="005D3F98">
        <w:t xml:space="preserve">reconocer la validez de los artículos 158 al 161 y del 163 al 181, y, por otro, declarar la invalidez del </w:t>
      </w:r>
      <w:r w:rsidR="00C71D15">
        <w:t>diverso</w:t>
      </w:r>
      <w:r w:rsidR="00C71D15" w:rsidRPr="005D3F98">
        <w:t xml:space="preserve"> 162</w:t>
      </w:r>
      <w:r w:rsidR="00F134A4">
        <w:t>, todos d</w:t>
      </w:r>
      <w:r w:rsidR="00F134A4" w:rsidRPr="005D3F98">
        <w:t>e la Ley de Transparencia y Acceso a la Información Pública del Estado de Tamaulipa</w:t>
      </w:r>
      <w:r w:rsidR="00F134A4">
        <w:t>s</w:t>
      </w:r>
      <w:r w:rsidR="00396B0A">
        <w:t xml:space="preserve">, partiendo de la base de que </w:t>
      </w:r>
      <w:r w:rsidR="009B089E">
        <w:t>las entidades federativas</w:t>
      </w:r>
      <w:r w:rsidR="00F134A4">
        <w:t xml:space="preserve"> cuentan con facultades concurrentes para legislar sobre medios de </w:t>
      </w:r>
      <w:proofErr w:type="gramStart"/>
      <w:r w:rsidR="00F134A4">
        <w:t>impugnación</w:t>
      </w:r>
      <w:proofErr w:type="gramEnd"/>
      <w:r w:rsidR="00F134A4">
        <w:t xml:space="preserve"> en materia de acceso a la información, siempre y cuando se respeten los parámetros establecidos por el Congreso de la Unión.    </w:t>
      </w:r>
    </w:p>
    <w:p w:rsidR="00C71D15" w:rsidRDefault="00C71D15" w:rsidP="00C71D15">
      <w:pPr>
        <w:pStyle w:val="TEXTONORMAL"/>
        <w:ind w:firstLine="0"/>
      </w:pPr>
    </w:p>
    <w:p w:rsidR="00F134A4" w:rsidRDefault="00396B0A" w:rsidP="00C71D15">
      <w:pPr>
        <w:pStyle w:val="TEXTONORMAL"/>
        <w:ind w:firstLine="0"/>
      </w:pPr>
      <w:r>
        <w:t>Por lo anterior</w:t>
      </w:r>
      <w:r w:rsidR="00F134A4">
        <w:t xml:space="preserve">, se declaró </w:t>
      </w:r>
      <w:r w:rsidR="00F134A4" w:rsidRPr="00396B0A">
        <w:t>infundado</w:t>
      </w:r>
      <w:r w:rsidR="00F134A4">
        <w:t xml:space="preserve"> el </w:t>
      </w:r>
      <w:r>
        <w:t xml:space="preserve">primer concepto de invalidez, y consecuentemente, se reconoció la validez de las disposiciones anteriormente señaladas, al considerar </w:t>
      </w:r>
      <w:r w:rsidR="00F134A4">
        <w:t xml:space="preserve">que </w:t>
      </w:r>
      <w:r>
        <w:t>éstas no alteraban el parámetro establecido en la Ley General de Transparencia y Acceso a la Información,</w:t>
      </w:r>
    </w:p>
    <w:p w:rsidR="00F134A4" w:rsidRDefault="00F134A4" w:rsidP="00C71D15">
      <w:pPr>
        <w:pStyle w:val="TEXTONORMAL"/>
        <w:ind w:firstLine="0"/>
      </w:pPr>
    </w:p>
    <w:p w:rsidR="00396B0A" w:rsidRDefault="00F134A4" w:rsidP="00396B0A">
      <w:pPr>
        <w:pStyle w:val="corte4fondoCar"/>
        <w:tabs>
          <w:tab w:val="left" w:pos="1843"/>
        </w:tabs>
        <w:ind w:firstLine="0"/>
        <w:rPr>
          <w:rFonts w:cs="Arial"/>
          <w:sz w:val="28"/>
          <w:szCs w:val="28"/>
        </w:rPr>
      </w:pPr>
      <w:r>
        <w:t xml:space="preserve">Ahora, </w:t>
      </w:r>
      <w:r w:rsidR="00396B0A">
        <w:rPr>
          <w:rFonts w:cs="Arial"/>
          <w:sz w:val="28"/>
          <w:szCs w:val="28"/>
        </w:rPr>
        <w:t xml:space="preserve">si bien me manifesté a favor del reconocimiento de validez respectivo, lo hice por distintas consideraciones, que me permito explicar en el presente voto. </w:t>
      </w:r>
    </w:p>
    <w:p w:rsidR="00396B0A" w:rsidRDefault="00396B0A" w:rsidP="00396B0A">
      <w:pPr>
        <w:pStyle w:val="corte4fondoCar"/>
        <w:tabs>
          <w:tab w:val="left" w:pos="1843"/>
        </w:tabs>
        <w:ind w:firstLine="0"/>
        <w:rPr>
          <w:rFonts w:cs="Arial"/>
          <w:sz w:val="28"/>
          <w:szCs w:val="28"/>
        </w:rPr>
      </w:pPr>
    </w:p>
    <w:p w:rsidR="00396B0A" w:rsidRDefault="00396B0A" w:rsidP="00396B0A">
      <w:pPr>
        <w:pStyle w:val="corte4fondoCar"/>
        <w:tabs>
          <w:tab w:val="left" w:pos="1843"/>
        </w:tabs>
        <w:ind w:firstLine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De conformidad con el artículo 73, fracción XXIX-S, de la Constitución Política de los Estados Unidos Mexicanos, el Congreso de la Unión tiene la facultad para expedir las leyes generales reglamentarias que </w:t>
      </w:r>
      <w:r>
        <w:rPr>
          <w:rFonts w:cs="Arial"/>
          <w:sz w:val="28"/>
          <w:szCs w:val="28"/>
        </w:rPr>
        <w:lastRenderedPageBreak/>
        <w:t xml:space="preserve">desarrollen los principios y bases en materia de transparencia gubernamental, acceso a la información y protección de datos personales en posesión de las autoridades, entidades, órganos y organismos gubernamentales de todos los niveles de gobierno. </w:t>
      </w:r>
    </w:p>
    <w:p w:rsidR="00396B0A" w:rsidRDefault="00396B0A" w:rsidP="00396B0A">
      <w:pPr>
        <w:pStyle w:val="corte4fondoCar"/>
        <w:tabs>
          <w:tab w:val="left" w:pos="1843"/>
        </w:tabs>
        <w:ind w:firstLine="0"/>
        <w:rPr>
          <w:rFonts w:cs="Arial"/>
          <w:sz w:val="28"/>
          <w:szCs w:val="28"/>
        </w:rPr>
      </w:pPr>
    </w:p>
    <w:p w:rsidR="00804B60" w:rsidRDefault="00396B0A" w:rsidP="00804B60">
      <w:pPr>
        <w:pStyle w:val="corte4fondoCar"/>
        <w:tabs>
          <w:tab w:val="left" w:pos="1843"/>
        </w:tabs>
        <w:ind w:firstLine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En cumplimiento a lo anterior, mediante Decreto publicado el cuatro de mayo de dos mil quince, el legislador federal expidió la Ley General de Transparencia y Acceso a la </w:t>
      </w:r>
      <w:r w:rsidRPr="00BA3AF9">
        <w:rPr>
          <w:rFonts w:cs="Arial"/>
          <w:sz w:val="28"/>
          <w:szCs w:val="28"/>
        </w:rPr>
        <w:t>Información la cual, de conformidad con su artículo 2, tiene por objetivos, entre otros, el de establecer las bases mínimas que regirán los procedimientos para garantizar el derecho de acceso a la información, el de establecer procedimientos y condiciones homogéneas para el ejercicio de dicho derecho, así como el de regular los medios de impugnación</w:t>
      </w:r>
      <w:r w:rsidR="00BA3AF9" w:rsidRPr="00BA3AF9">
        <w:rPr>
          <w:rFonts w:cs="Arial"/>
          <w:sz w:val="28"/>
          <w:szCs w:val="28"/>
        </w:rPr>
        <w:t>.</w:t>
      </w:r>
      <w:r w:rsidRPr="00BA3AF9">
        <w:rPr>
          <w:rStyle w:val="Refdenotaalpie"/>
          <w:rFonts w:cs="Arial"/>
          <w:sz w:val="28"/>
          <w:szCs w:val="28"/>
        </w:rPr>
        <w:footnoteReference w:id="1"/>
      </w:r>
      <w:r>
        <w:rPr>
          <w:rFonts w:cs="Arial"/>
          <w:sz w:val="28"/>
          <w:szCs w:val="28"/>
        </w:rPr>
        <w:t xml:space="preserve"> </w:t>
      </w:r>
    </w:p>
    <w:p w:rsidR="00804B60" w:rsidRDefault="00804B60" w:rsidP="00804B60">
      <w:pPr>
        <w:pStyle w:val="corte4fondoCar"/>
        <w:tabs>
          <w:tab w:val="left" w:pos="1843"/>
        </w:tabs>
        <w:ind w:firstLine="0"/>
        <w:rPr>
          <w:rFonts w:cs="Arial"/>
          <w:sz w:val="28"/>
          <w:szCs w:val="28"/>
        </w:rPr>
      </w:pPr>
    </w:p>
    <w:p w:rsidR="00804B60" w:rsidRDefault="00396B0A" w:rsidP="00804B60">
      <w:pPr>
        <w:pStyle w:val="corte4fondoCar"/>
        <w:tabs>
          <w:tab w:val="left" w:pos="1843"/>
        </w:tabs>
        <w:ind w:firstLine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Además, del procedimiento legislativ</w:t>
      </w:r>
      <w:r w:rsidR="00804B60">
        <w:rPr>
          <w:rFonts w:cs="Arial"/>
          <w:sz w:val="28"/>
          <w:szCs w:val="28"/>
        </w:rPr>
        <w:t>o del cual derivó la legislación general</w:t>
      </w:r>
      <w:r>
        <w:rPr>
          <w:rFonts w:cs="Arial"/>
          <w:sz w:val="28"/>
          <w:szCs w:val="28"/>
        </w:rPr>
        <w:t xml:space="preserve"> se desprende que la intención del legislador federal, fue entre otras, la de establecer las bases mínimas que regirán los procedimientos para garantizar el ejercicio de dicho derecho y otorgar una regulación homogénea de los medios de impugnación, tales como los plazos de respuesta de los órganos garantes, los elementos mínimos que debe contener el escrito, entre otras cuestiones. </w:t>
      </w:r>
    </w:p>
    <w:p w:rsidR="00804B60" w:rsidRDefault="00804B60" w:rsidP="00804B60">
      <w:pPr>
        <w:pStyle w:val="corte4fondoCar"/>
        <w:tabs>
          <w:tab w:val="left" w:pos="1843"/>
        </w:tabs>
        <w:ind w:firstLine="0"/>
        <w:rPr>
          <w:rFonts w:cs="Arial"/>
          <w:sz w:val="28"/>
          <w:szCs w:val="28"/>
        </w:rPr>
      </w:pPr>
    </w:p>
    <w:p w:rsidR="00EF62AA" w:rsidRPr="00EF62AA" w:rsidRDefault="00804B60" w:rsidP="00EF62AA">
      <w:pPr>
        <w:pStyle w:val="corte4fondoCar"/>
        <w:tabs>
          <w:tab w:val="left" w:pos="1843"/>
        </w:tabs>
        <w:ind w:firstLine="0"/>
        <w:rPr>
          <w:rFonts w:cs="Arial"/>
          <w:sz w:val="28"/>
          <w:szCs w:val="28"/>
        </w:rPr>
      </w:pPr>
      <w:r w:rsidRPr="00804B60">
        <w:rPr>
          <w:rFonts w:cs="Arial"/>
          <w:sz w:val="28"/>
          <w:szCs w:val="28"/>
        </w:rPr>
        <w:t>Las</w:t>
      </w:r>
      <w:r w:rsidR="00396B0A" w:rsidRPr="00804B60">
        <w:rPr>
          <w:rFonts w:cs="Arial"/>
          <w:sz w:val="28"/>
          <w:szCs w:val="28"/>
        </w:rPr>
        <w:t xml:space="preserve"> consideraciones anteriores me conducen a sostener que es facultad exclusiva del Congreso de la Unión emitir la regulación aplicable a los </w:t>
      </w:r>
      <w:r w:rsidR="00396B0A" w:rsidRPr="00804B60">
        <w:rPr>
          <w:rFonts w:cs="Arial"/>
          <w:sz w:val="28"/>
          <w:szCs w:val="28"/>
        </w:rPr>
        <w:lastRenderedPageBreak/>
        <w:t>medios de impugnación en materia de transpar</w:t>
      </w:r>
      <w:r w:rsidR="00DC1AD7">
        <w:rPr>
          <w:rFonts w:cs="Arial"/>
          <w:sz w:val="28"/>
          <w:szCs w:val="28"/>
        </w:rPr>
        <w:t>encia y acceso a la información; s</w:t>
      </w:r>
      <w:r w:rsidRPr="00EF62AA">
        <w:rPr>
          <w:rFonts w:cs="Arial"/>
          <w:sz w:val="28"/>
          <w:szCs w:val="28"/>
        </w:rPr>
        <w:t xml:space="preserve">in embargo, bajo mi postura, </w:t>
      </w:r>
      <w:r w:rsidR="00EF62AA" w:rsidRPr="00EF62AA">
        <w:rPr>
          <w:rFonts w:cs="Arial"/>
          <w:sz w:val="28"/>
          <w:szCs w:val="28"/>
        </w:rPr>
        <w:t>la simple reiteración o repetición de la norma expedida por el legislador federal no adolece</w:t>
      </w:r>
      <w:r w:rsidR="004A1650">
        <w:rPr>
          <w:rFonts w:cs="Arial"/>
          <w:sz w:val="28"/>
          <w:szCs w:val="28"/>
        </w:rPr>
        <w:t xml:space="preserve"> de</w:t>
      </w:r>
      <w:r w:rsidR="00EF62AA" w:rsidRPr="00EF62AA">
        <w:rPr>
          <w:rFonts w:cs="Arial"/>
          <w:sz w:val="28"/>
          <w:szCs w:val="28"/>
        </w:rPr>
        <w:t xml:space="preserve"> vicio constitucional alguno, puesto que no se traduce en una invasión de competencias. </w:t>
      </w:r>
    </w:p>
    <w:p w:rsidR="00EF62AA" w:rsidRPr="00EF62AA" w:rsidRDefault="00EF62AA" w:rsidP="00EF62AA">
      <w:pPr>
        <w:pStyle w:val="corte4fondoCar"/>
        <w:tabs>
          <w:tab w:val="left" w:pos="1843"/>
        </w:tabs>
        <w:ind w:firstLine="0"/>
        <w:rPr>
          <w:rFonts w:cs="Arial"/>
          <w:sz w:val="28"/>
          <w:szCs w:val="28"/>
        </w:rPr>
      </w:pPr>
    </w:p>
    <w:p w:rsidR="00D42687" w:rsidRDefault="00EF62AA" w:rsidP="00D42687">
      <w:pPr>
        <w:pStyle w:val="corte4fondoCar"/>
        <w:tabs>
          <w:tab w:val="left" w:pos="1843"/>
        </w:tabs>
        <w:ind w:firstLine="0"/>
        <w:rPr>
          <w:sz w:val="28"/>
          <w:szCs w:val="28"/>
        </w:rPr>
      </w:pPr>
      <w:r w:rsidRPr="00EF62AA">
        <w:rPr>
          <w:sz w:val="28"/>
          <w:szCs w:val="28"/>
        </w:rPr>
        <w:t>En ese sentido, no todos los artículos contenidos en una ley local que regulen aspectos relativos a medios de impugnación en materia de transparencia y acceso a la información, necesariamente resultar</w:t>
      </w:r>
      <w:r w:rsidR="00D42687">
        <w:rPr>
          <w:sz w:val="28"/>
          <w:szCs w:val="28"/>
        </w:rPr>
        <w:t>án inconstitucionales.</w:t>
      </w:r>
    </w:p>
    <w:p w:rsidR="00D42687" w:rsidRDefault="00D42687" w:rsidP="00D42687">
      <w:pPr>
        <w:pStyle w:val="corte4fondoCar"/>
        <w:tabs>
          <w:tab w:val="left" w:pos="1843"/>
        </w:tabs>
        <w:ind w:firstLine="0"/>
        <w:rPr>
          <w:sz w:val="28"/>
          <w:szCs w:val="28"/>
        </w:rPr>
      </w:pPr>
    </w:p>
    <w:p w:rsidR="007C14E1" w:rsidRDefault="00EF62AA" w:rsidP="007C14E1">
      <w:pPr>
        <w:pStyle w:val="corte4fondoCar"/>
        <w:tabs>
          <w:tab w:val="left" w:pos="1843"/>
        </w:tabs>
        <w:ind w:firstLine="0"/>
        <w:rPr>
          <w:rFonts w:cs="Arial"/>
          <w:sz w:val="28"/>
          <w:szCs w:val="28"/>
        </w:rPr>
      </w:pPr>
      <w:r w:rsidRPr="00EF62AA">
        <w:rPr>
          <w:sz w:val="28"/>
          <w:szCs w:val="28"/>
        </w:rPr>
        <w:t>Tal es el c</w:t>
      </w:r>
      <w:r>
        <w:rPr>
          <w:sz w:val="28"/>
          <w:szCs w:val="28"/>
        </w:rPr>
        <w:t xml:space="preserve">aso </w:t>
      </w:r>
      <w:r w:rsidR="00806BCA">
        <w:rPr>
          <w:sz w:val="28"/>
          <w:szCs w:val="28"/>
        </w:rPr>
        <w:t xml:space="preserve">de </w:t>
      </w:r>
      <w:r>
        <w:rPr>
          <w:sz w:val="28"/>
          <w:szCs w:val="28"/>
        </w:rPr>
        <w:t xml:space="preserve">los artículos </w:t>
      </w:r>
      <w:r w:rsidRPr="005D3F98">
        <w:rPr>
          <w:rFonts w:cs="Arial"/>
          <w:sz w:val="28"/>
          <w:szCs w:val="28"/>
        </w:rPr>
        <w:t>158 al 161 y del 163 al 181</w:t>
      </w:r>
      <w:r w:rsidR="00806BCA">
        <w:rPr>
          <w:rFonts w:cs="Arial"/>
          <w:sz w:val="28"/>
          <w:szCs w:val="28"/>
        </w:rPr>
        <w:t xml:space="preserve"> de la Ley de Transparencia y Acceso a la Información Pública del Estado de Tamaulipas, pues si bien </w:t>
      </w:r>
      <w:r w:rsidR="00426188">
        <w:rPr>
          <w:rFonts w:cs="Arial"/>
          <w:sz w:val="28"/>
          <w:szCs w:val="28"/>
        </w:rPr>
        <w:t>regulan lo relativo al recurso de revisión, cuestión que, como adelanté, se encuentra reservad</w:t>
      </w:r>
      <w:r w:rsidR="000E7A7B">
        <w:rPr>
          <w:rFonts w:cs="Arial"/>
          <w:sz w:val="28"/>
          <w:szCs w:val="28"/>
        </w:rPr>
        <w:t>a</w:t>
      </w:r>
      <w:r w:rsidR="00426188">
        <w:rPr>
          <w:rFonts w:cs="Arial"/>
          <w:sz w:val="28"/>
          <w:szCs w:val="28"/>
        </w:rPr>
        <w:t xml:space="preserve"> al Congreso de la Unión</w:t>
      </w:r>
      <w:r w:rsidR="003372F2">
        <w:rPr>
          <w:rFonts w:cs="Arial"/>
          <w:sz w:val="28"/>
          <w:szCs w:val="28"/>
        </w:rPr>
        <w:t xml:space="preserve">, lo cierto es que la mayoría </w:t>
      </w:r>
      <w:r w:rsidR="00D42687">
        <w:rPr>
          <w:rFonts w:cs="Arial"/>
          <w:sz w:val="28"/>
          <w:szCs w:val="28"/>
        </w:rPr>
        <w:t xml:space="preserve">de ellos únicamente </w:t>
      </w:r>
      <w:r w:rsidR="005252E8">
        <w:rPr>
          <w:rFonts w:cs="Arial"/>
          <w:sz w:val="28"/>
          <w:szCs w:val="28"/>
        </w:rPr>
        <w:t>retoman</w:t>
      </w:r>
      <w:r w:rsidR="00D42687">
        <w:rPr>
          <w:rFonts w:cs="Arial"/>
          <w:sz w:val="28"/>
          <w:szCs w:val="28"/>
        </w:rPr>
        <w:t xml:space="preserve"> lo previsto en la ley general, mientras </w:t>
      </w:r>
      <w:r w:rsidR="00980D0F">
        <w:rPr>
          <w:rFonts w:cs="Arial"/>
          <w:sz w:val="28"/>
          <w:szCs w:val="28"/>
        </w:rPr>
        <w:t>que otros</w:t>
      </w:r>
      <w:r w:rsidR="00D42687">
        <w:rPr>
          <w:rFonts w:cs="Arial"/>
          <w:sz w:val="28"/>
          <w:szCs w:val="28"/>
        </w:rPr>
        <w:t xml:space="preserve">, </w:t>
      </w:r>
      <w:r w:rsidR="00D42687" w:rsidRPr="006809E9">
        <w:rPr>
          <w:rFonts w:cs="Arial"/>
          <w:sz w:val="28"/>
          <w:szCs w:val="28"/>
        </w:rPr>
        <w:t xml:space="preserve">si bien no </w:t>
      </w:r>
      <w:r w:rsidR="009B089E">
        <w:rPr>
          <w:rFonts w:cs="Arial"/>
          <w:sz w:val="28"/>
          <w:szCs w:val="28"/>
        </w:rPr>
        <w:t>constituyen una simple reiteración</w:t>
      </w:r>
      <w:r w:rsidR="00D42687" w:rsidRPr="006809E9">
        <w:rPr>
          <w:rFonts w:cs="Arial"/>
          <w:sz w:val="28"/>
          <w:szCs w:val="28"/>
        </w:rPr>
        <w:t>,</w:t>
      </w:r>
      <w:r w:rsidR="00D42687">
        <w:rPr>
          <w:rFonts w:cs="Arial"/>
          <w:b/>
          <w:sz w:val="28"/>
          <w:szCs w:val="28"/>
        </w:rPr>
        <w:t xml:space="preserve"> </w:t>
      </w:r>
      <w:r w:rsidR="00D42687">
        <w:rPr>
          <w:rFonts w:cs="Arial"/>
          <w:sz w:val="28"/>
          <w:szCs w:val="28"/>
        </w:rPr>
        <w:t xml:space="preserve">no </w:t>
      </w:r>
      <w:r w:rsidR="009B089E">
        <w:rPr>
          <w:rFonts w:cs="Arial"/>
          <w:sz w:val="28"/>
          <w:szCs w:val="28"/>
        </w:rPr>
        <w:t xml:space="preserve">alteran lo previsto por el legislador federal. </w:t>
      </w:r>
    </w:p>
    <w:p w:rsidR="007C14E1" w:rsidRDefault="007C14E1" w:rsidP="007C14E1">
      <w:pPr>
        <w:pStyle w:val="corte4fondoCar"/>
        <w:tabs>
          <w:tab w:val="left" w:pos="1843"/>
        </w:tabs>
        <w:ind w:firstLine="0"/>
        <w:rPr>
          <w:rFonts w:cs="Arial"/>
          <w:sz w:val="28"/>
          <w:szCs w:val="28"/>
        </w:rPr>
      </w:pPr>
    </w:p>
    <w:p w:rsidR="00DC1AD7" w:rsidRDefault="00DC1AD7" w:rsidP="005252E8">
      <w:pPr>
        <w:pStyle w:val="corte4fondoCar"/>
        <w:tabs>
          <w:tab w:val="left" w:pos="1843"/>
        </w:tabs>
        <w:ind w:firstLine="0"/>
        <w:rPr>
          <w:rFonts w:cs="Arial"/>
          <w:sz w:val="28"/>
          <w:szCs w:val="28"/>
        </w:rPr>
      </w:pPr>
    </w:p>
    <w:p w:rsidR="00DC1AD7" w:rsidRPr="0041259A" w:rsidRDefault="00DC1AD7" w:rsidP="00DC1AD7">
      <w:pPr>
        <w:pStyle w:val="corte4fondoCar"/>
        <w:ind w:firstLine="708"/>
        <w:jc w:val="center"/>
        <w:rPr>
          <w:rFonts w:cs="Arial"/>
          <w:b/>
          <w:sz w:val="28"/>
          <w:szCs w:val="28"/>
          <w:lang w:val="es-MX"/>
        </w:rPr>
      </w:pPr>
      <w:r w:rsidRPr="0041259A">
        <w:rPr>
          <w:rFonts w:cs="Arial"/>
          <w:b/>
          <w:sz w:val="28"/>
          <w:szCs w:val="28"/>
          <w:lang w:val="es-MX"/>
        </w:rPr>
        <w:t xml:space="preserve">MINISTRO </w:t>
      </w:r>
    </w:p>
    <w:p w:rsidR="00DC1AD7" w:rsidRDefault="00DC1AD7" w:rsidP="00DC1AD7">
      <w:pPr>
        <w:pStyle w:val="corte4fondoCar"/>
        <w:ind w:firstLine="708"/>
        <w:jc w:val="center"/>
        <w:rPr>
          <w:rFonts w:cs="Arial"/>
          <w:b/>
          <w:sz w:val="28"/>
          <w:szCs w:val="28"/>
          <w:lang w:val="es-MX"/>
        </w:rPr>
      </w:pPr>
    </w:p>
    <w:p w:rsidR="004A1650" w:rsidRDefault="004A1650" w:rsidP="00DC1AD7">
      <w:pPr>
        <w:pStyle w:val="corte4fondoCar"/>
        <w:ind w:firstLine="708"/>
        <w:jc w:val="center"/>
        <w:rPr>
          <w:rFonts w:cs="Arial"/>
          <w:b/>
          <w:sz w:val="28"/>
          <w:szCs w:val="28"/>
          <w:lang w:val="es-MX"/>
        </w:rPr>
      </w:pPr>
    </w:p>
    <w:p w:rsidR="004A1650" w:rsidRDefault="004A1650" w:rsidP="00DC1AD7">
      <w:pPr>
        <w:pStyle w:val="corte4fondoCar"/>
        <w:ind w:firstLine="708"/>
        <w:jc w:val="center"/>
        <w:rPr>
          <w:rFonts w:cs="Arial"/>
          <w:b/>
          <w:sz w:val="28"/>
          <w:szCs w:val="28"/>
          <w:lang w:val="es-MX"/>
        </w:rPr>
      </w:pPr>
    </w:p>
    <w:p w:rsidR="00DC1AD7" w:rsidRPr="0041259A" w:rsidRDefault="00DC1AD7" w:rsidP="00DC1AD7">
      <w:pPr>
        <w:pStyle w:val="corte4fondoCar"/>
        <w:ind w:firstLine="708"/>
        <w:jc w:val="center"/>
        <w:rPr>
          <w:rFonts w:cs="Arial"/>
          <w:b/>
          <w:sz w:val="28"/>
          <w:szCs w:val="28"/>
          <w:lang w:val="es-MX"/>
        </w:rPr>
      </w:pPr>
    </w:p>
    <w:p w:rsidR="00DC1AD7" w:rsidRDefault="00DC1AD7" w:rsidP="00DC1AD7">
      <w:pPr>
        <w:pStyle w:val="corte4fondoCar"/>
        <w:ind w:firstLine="708"/>
        <w:jc w:val="center"/>
        <w:rPr>
          <w:rFonts w:cs="Arial"/>
          <w:b/>
          <w:sz w:val="28"/>
          <w:szCs w:val="28"/>
          <w:lang w:val="es-MX"/>
        </w:rPr>
      </w:pPr>
      <w:r w:rsidRPr="0041259A">
        <w:rPr>
          <w:rFonts w:cs="Arial"/>
          <w:b/>
          <w:sz w:val="28"/>
          <w:szCs w:val="28"/>
          <w:lang w:val="es-MX"/>
        </w:rPr>
        <w:t>LUIS MARÍA AGUILAR MORALES</w:t>
      </w:r>
    </w:p>
    <w:p w:rsidR="00DB248C" w:rsidRPr="00DC1AD7" w:rsidRDefault="00DC1AD7" w:rsidP="00DC1AD7">
      <w:pPr>
        <w:pStyle w:val="corte4fondo"/>
        <w:ind w:firstLine="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UHM/</w:t>
      </w:r>
      <w:proofErr w:type="spellStart"/>
      <w:r>
        <w:rPr>
          <w:rFonts w:cs="Arial"/>
          <w:i/>
          <w:sz w:val="24"/>
          <w:szCs w:val="24"/>
        </w:rPr>
        <w:t>act</w:t>
      </w:r>
      <w:proofErr w:type="spellEnd"/>
    </w:p>
    <w:sectPr w:rsidR="00DB248C" w:rsidRPr="00DC1AD7" w:rsidSect="00453639">
      <w:headerReference w:type="even" r:id="rId7"/>
      <w:headerReference w:type="default" r:id="rId8"/>
      <w:footerReference w:type="even" r:id="rId9"/>
      <w:footerReference w:type="default" r:id="rId10"/>
      <w:pgSz w:w="12242" w:h="19442" w:code="10001"/>
      <w:pgMar w:top="2552" w:right="1701" w:bottom="1843" w:left="1701" w:header="1134" w:footer="73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B83" w:rsidRDefault="00656B83" w:rsidP="0094140E">
      <w:r>
        <w:separator/>
      </w:r>
    </w:p>
  </w:endnote>
  <w:endnote w:type="continuationSeparator" w:id="0">
    <w:p w:rsidR="00656B83" w:rsidRDefault="00656B83" w:rsidP="0094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883529167"/>
      <w:docPartObj>
        <w:docPartGallery w:val="Page Numbers (Bottom of Page)"/>
        <w:docPartUnique/>
      </w:docPartObj>
    </w:sdtPr>
    <w:sdtEndPr>
      <w:rPr>
        <w:b/>
        <w:sz w:val="28"/>
        <w:szCs w:val="28"/>
      </w:rPr>
    </w:sdtEndPr>
    <w:sdtContent>
      <w:p w:rsidR="00B55D14" w:rsidRPr="00CB74A0" w:rsidRDefault="00DC1AD7" w:rsidP="00726B7B">
        <w:pPr>
          <w:pStyle w:val="Piedepgina"/>
          <w:rPr>
            <w:rFonts w:ascii="Arial" w:hAnsi="Arial" w:cs="Arial"/>
            <w:b/>
            <w:sz w:val="28"/>
            <w:szCs w:val="28"/>
          </w:rPr>
        </w:pPr>
        <w:r w:rsidRPr="00CB74A0">
          <w:rPr>
            <w:rFonts w:ascii="Arial" w:hAnsi="Arial" w:cs="Arial"/>
            <w:b/>
            <w:sz w:val="28"/>
            <w:szCs w:val="28"/>
          </w:rPr>
          <w:fldChar w:fldCharType="begin"/>
        </w:r>
        <w:r w:rsidRPr="00CB74A0">
          <w:rPr>
            <w:rFonts w:ascii="Arial" w:hAnsi="Arial" w:cs="Arial"/>
            <w:b/>
            <w:sz w:val="28"/>
            <w:szCs w:val="28"/>
          </w:rPr>
          <w:instrText>PAGE   \* MERGEFORMAT</w:instrText>
        </w:r>
        <w:r w:rsidRPr="00CB74A0">
          <w:rPr>
            <w:rFonts w:ascii="Arial" w:hAnsi="Arial" w:cs="Arial"/>
            <w:b/>
            <w:sz w:val="28"/>
            <w:szCs w:val="28"/>
          </w:rPr>
          <w:fldChar w:fldCharType="separate"/>
        </w:r>
        <w:r w:rsidRPr="007123EF">
          <w:rPr>
            <w:rFonts w:ascii="Arial" w:hAnsi="Arial" w:cs="Arial"/>
            <w:b/>
            <w:noProof/>
            <w:sz w:val="28"/>
            <w:szCs w:val="28"/>
            <w:lang w:val="es-ES"/>
          </w:rPr>
          <w:t>4</w:t>
        </w:r>
        <w:r w:rsidRPr="00CB74A0">
          <w:rPr>
            <w:rFonts w:ascii="Arial" w:hAnsi="Arial" w:cs="Arial"/>
            <w:b/>
            <w:sz w:val="28"/>
            <w:szCs w:val="28"/>
          </w:rPr>
          <w:fldChar w:fldCharType="end"/>
        </w:r>
      </w:p>
    </w:sdtContent>
  </w:sdt>
  <w:p w:rsidR="00B55D14" w:rsidRPr="00297B3C" w:rsidRDefault="00656B83" w:rsidP="00297B3C">
    <w:pPr>
      <w:pStyle w:val="Piedepgina"/>
      <w:jc w:val="both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55366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B55D14" w:rsidRPr="00DC1AD7" w:rsidRDefault="00DC1AD7" w:rsidP="00726B7B">
        <w:pPr>
          <w:pStyle w:val="Piedepgina"/>
          <w:jc w:val="right"/>
          <w:rPr>
            <w:rFonts w:ascii="Arial" w:hAnsi="Arial" w:cs="Arial"/>
          </w:rPr>
        </w:pPr>
        <w:r w:rsidRPr="00DC1AD7">
          <w:rPr>
            <w:rFonts w:ascii="Arial" w:hAnsi="Arial" w:cs="Arial"/>
          </w:rPr>
          <w:fldChar w:fldCharType="begin"/>
        </w:r>
        <w:r w:rsidRPr="00DC1AD7">
          <w:rPr>
            <w:rFonts w:ascii="Arial" w:hAnsi="Arial" w:cs="Arial"/>
          </w:rPr>
          <w:instrText>PAGE   \* MERGEFORMAT</w:instrText>
        </w:r>
        <w:r w:rsidRPr="00DC1AD7">
          <w:rPr>
            <w:rFonts w:ascii="Arial" w:hAnsi="Arial" w:cs="Arial"/>
          </w:rPr>
          <w:fldChar w:fldCharType="separate"/>
        </w:r>
        <w:r w:rsidR="000D5A2E" w:rsidRPr="000D5A2E">
          <w:rPr>
            <w:rFonts w:ascii="Arial" w:hAnsi="Arial" w:cs="Arial"/>
            <w:noProof/>
            <w:lang w:val="es-ES"/>
          </w:rPr>
          <w:t>3</w:t>
        </w:r>
        <w:r w:rsidRPr="00DC1AD7">
          <w:rPr>
            <w:rFonts w:ascii="Arial" w:hAnsi="Arial" w:cs="Arial"/>
          </w:rPr>
          <w:fldChar w:fldCharType="end"/>
        </w:r>
      </w:p>
    </w:sdtContent>
  </w:sdt>
  <w:p w:rsidR="00B55D14" w:rsidRDefault="00656B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B83" w:rsidRDefault="00656B83" w:rsidP="0094140E">
      <w:r>
        <w:separator/>
      </w:r>
    </w:p>
  </w:footnote>
  <w:footnote w:type="continuationSeparator" w:id="0">
    <w:p w:rsidR="00656B83" w:rsidRDefault="00656B83" w:rsidP="0094140E">
      <w:r>
        <w:continuationSeparator/>
      </w:r>
    </w:p>
  </w:footnote>
  <w:footnote w:id="1">
    <w:p w:rsidR="00396B0A" w:rsidRPr="00150B0E" w:rsidRDefault="00396B0A" w:rsidP="00396B0A">
      <w:pPr>
        <w:pStyle w:val="Estilo"/>
        <w:rPr>
          <w:i/>
        </w:rPr>
      </w:pPr>
      <w:r w:rsidRPr="002B3560">
        <w:rPr>
          <w:rStyle w:val="Refdenotaalpie"/>
          <w:rFonts w:cs="Arial"/>
          <w:szCs w:val="24"/>
        </w:rPr>
        <w:footnoteRef/>
      </w:r>
      <w:r w:rsidRPr="002B356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“</w:t>
      </w:r>
      <w:r w:rsidRPr="00150B0E">
        <w:rPr>
          <w:b/>
          <w:i/>
        </w:rPr>
        <w:t>Artículo 2</w:t>
      </w:r>
      <w:r w:rsidRPr="00150B0E">
        <w:rPr>
          <w:i/>
        </w:rPr>
        <w:t>. Son objetivos de esta Ley:</w:t>
      </w:r>
    </w:p>
    <w:p w:rsidR="00396B0A" w:rsidRPr="00150B0E" w:rsidRDefault="00396B0A" w:rsidP="00396B0A">
      <w:pPr>
        <w:pStyle w:val="Estilo"/>
        <w:rPr>
          <w:i/>
        </w:rPr>
      </w:pPr>
      <w:r w:rsidRPr="00150B0E">
        <w:rPr>
          <w:i/>
        </w:rPr>
        <w:t>(…)</w:t>
      </w:r>
    </w:p>
    <w:p w:rsidR="00396B0A" w:rsidRPr="00150B0E" w:rsidRDefault="00396B0A" w:rsidP="00396B0A">
      <w:pPr>
        <w:pStyle w:val="Estilo"/>
        <w:rPr>
          <w:i/>
        </w:rPr>
      </w:pPr>
      <w:r w:rsidRPr="00150B0E">
        <w:rPr>
          <w:i/>
        </w:rPr>
        <w:t>II. Establecer las bases mínimas que regirán los procedimientos para garantizar el ejercicio del derecho de acceso a la información;</w:t>
      </w:r>
    </w:p>
    <w:p w:rsidR="00396B0A" w:rsidRPr="00150B0E" w:rsidRDefault="00396B0A" w:rsidP="00396B0A">
      <w:pPr>
        <w:pStyle w:val="Estilo"/>
        <w:rPr>
          <w:i/>
        </w:rPr>
      </w:pPr>
      <w:r w:rsidRPr="00150B0E">
        <w:rPr>
          <w:i/>
        </w:rPr>
        <w:t>III. Establecer procedimientos y condiciones homogéneas en el ejercicio del derecho de acceso a la información, mediante procedimientos sencillos y expeditos;</w:t>
      </w:r>
    </w:p>
    <w:p w:rsidR="00396B0A" w:rsidRPr="00D46BD7" w:rsidRDefault="00396B0A" w:rsidP="00396B0A">
      <w:pPr>
        <w:pStyle w:val="Estilo"/>
      </w:pPr>
      <w:r w:rsidRPr="00150B0E">
        <w:rPr>
          <w:i/>
        </w:rPr>
        <w:t>IV. Regular los medios de impugnación y procedimientos para la interposición de acciones de inconstitucionalidad y controversias constitucionales por parte de los Organismos garantes;</w:t>
      </w:r>
      <w:r>
        <w:rPr>
          <w:i/>
        </w:rPr>
        <w:t xml:space="preserve"> </w:t>
      </w:r>
      <w:r>
        <w:t xml:space="preserve">(…)”.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237" w:rsidRPr="00711845" w:rsidRDefault="00DC1AD7" w:rsidP="0081479A">
    <w:pPr>
      <w:pStyle w:val="corte4fondo"/>
      <w:spacing w:before="80" w:after="80" w:line="240" w:lineRule="auto"/>
      <w:ind w:left="4820" w:firstLine="0"/>
      <w:rPr>
        <w:rFonts w:ascii="Arial Negrita" w:hAnsi="Arial Negrita" w:cs="Arial"/>
        <w:b/>
        <w:sz w:val="22"/>
        <w:szCs w:val="24"/>
        <w:lang w:val="es-MX"/>
      </w:rPr>
    </w:pPr>
    <w:r>
      <w:rPr>
        <w:rFonts w:ascii="Arial Negrita" w:hAnsi="Arial Negrita" w:cs="Arial"/>
        <w:b/>
        <w:sz w:val="22"/>
        <w:szCs w:val="24"/>
      </w:rPr>
      <w:t>VOTO</w:t>
    </w:r>
    <w:r w:rsidRPr="00711845">
      <w:rPr>
        <w:rFonts w:eastAsiaTheme="minorHAnsi" w:cs="Arial"/>
        <w:caps/>
        <w:sz w:val="22"/>
        <w:szCs w:val="22"/>
        <w:lang w:val="es-MX" w:eastAsia="en-US"/>
      </w:rPr>
      <w:t xml:space="preserve"> </w:t>
    </w:r>
    <w:r w:rsidRPr="00711845">
      <w:rPr>
        <w:rFonts w:ascii="Arial Negrita" w:hAnsi="Arial Negrita" w:cs="Arial"/>
        <w:b/>
        <w:sz w:val="22"/>
        <w:szCs w:val="24"/>
        <w:lang w:val="es-MX"/>
      </w:rPr>
      <w:t>CONCURRENTE EN RELACIÓN CON EL RECURSO DE INCONFORMIDAD PREVISTO EN LA FRACCIÓN IV DEL ARTÍCULO 201 DE LA LEY DE AMPARO 1/2017</w:t>
    </w:r>
    <w:r>
      <w:rPr>
        <w:rFonts w:ascii="Arial Negrita" w:hAnsi="Arial Negrita" w:cs="Arial"/>
        <w:b/>
        <w:sz w:val="22"/>
        <w:szCs w:val="24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90B" w:rsidRPr="00BF190B" w:rsidRDefault="00DC1AD7" w:rsidP="00BF190B">
    <w:pPr>
      <w:pStyle w:val="corte4fondo"/>
      <w:spacing w:before="80" w:after="80" w:line="240" w:lineRule="auto"/>
      <w:ind w:left="3686" w:firstLine="0"/>
      <w:rPr>
        <w:rFonts w:ascii="Arial Negrita" w:hAnsi="Arial Negrita" w:cs="Arial"/>
        <w:b/>
        <w:sz w:val="24"/>
        <w:szCs w:val="24"/>
        <w:lang w:val="es-MX"/>
      </w:rPr>
    </w:pPr>
    <w:r w:rsidRPr="0081479A">
      <w:rPr>
        <w:noProof/>
        <w:sz w:val="24"/>
        <w:szCs w:val="24"/>
        <w:lang w:val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049BED" wp14:editId="2FDEB362">
              <wp:simplePos x="0" y="0"/>
              <wp:positionH relativeFrom="column">
                <wp:posOffset>-720090</wp:posOffset>
              </wp:positionH>
              <wp:positionV relativeFrom="paragraph">
                <wp:posOffset>-398780</wp:posOffset>
              </wp:positionV>
              <wp:extent cx="1885315" cy="1715135"/>
              <wp:effectExtent l="3810" t="1270" r="0" b="0"/>
              <wp:wrapTight wrapText="bothSides">
                <wp:wrapPolygon edited="0">
                  <wp:start x="-102" y="0"/>
                  <wp:lineTo x="-102" y="21496"/>
                  <wp:lineTo x="21600" y="21496"/>
                  <wp:lineTo x="21600" y="0"/>
                  <wp:lineTo x="-102" y="0"/>
                </wp:wrapPolygon>
              </wp:wrapTight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85315" cy="1715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0CB159D6" id="Rectangle 2" o:spid="_x0000_s1026" style="position:absolute;margin-left:-56.7pt;margin-top:-31.4pt;width:148.45pt;height:13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" stroked="f">
              <w10:wrap type="tight"/>
            </v:rect>
          </w:pict>
        </mc:Fallback>
      </mc:AlternateContent>
    </w:r>
    <w:r w:rsidRPr="0081479A">
      <w:rPr>
        <w:rFonts w:ascii="Arial Negrita" w:hAnsi="Arial Negrita" w:cs="Arial"/>
        <w:b/>
        <w:sz w:val="24"/>
        <w:szCs w:val="24"/>
      </w:rPr>
      <w:t>VOTO</w:t>
    </w:r>
    <w:r w:rsidRPr="0081479A">
      <w:rPr>
        <w:rFonts w:eastAsiaTheme="minorHAnsi" w:cs="Arial"/>
        <w:caps/>
        <w:sz w:val="24"/>
        <w:szCs w:val="24"/>
        <w:lang w:val="es-MX" w:eastAsia="en-US"/>
      </w:rPr>
      <w:t xml:space="preserve"> </w:t>
    </w:r>
    <w:r w:rsidRPr="0081479A">
      <w:rPr>
        <w:rFonts w:ascii="Arial Negrita" w:hAnsi="Arial Negrita" w:cs="Arial"/>
        <w:b/>
        <w:sz w:val="24"/>
        <w:szCs w:val="24"/>
        <w:lang w:val="es-MX"/>
      </w:rPr>
      <w:t xml:space="preserve">CONCURRENTE EN RELACIÓN CON </w:t>
    </w:r>
    <w:r>
      <w:rPr>
        <w:rFonts w:ascii="Arial Negrita" w:hAnsi="Arial Negrita" w:cs="Arial"/>
        <w:b/>
        <w:sz w:val="24"/>
        <w:szCs w:val="24"/>
        <w:lang w:val="es-MX"/>
      </w:rPr>
      <w:t xml:space="preserve">LA ACCIÓN DE INCONSTITUCIONALIDAD </w:t>
    </w:r>
    <w:r w:rsidR="004A1650">
      <w:rPr>
        <w:rFonts w:ascii="Arial Negrita" w:hAnsi="Arial Negrita" w:cs="Arial"/>
        <w:b/>
        <w:sz w:val="24"/>
        <w:szCs w:val="24"/>
        <w:lang w:val="es-MX"/>
      </w:rPr>
      <w:t>37/2016</w:t>
    </w:r>
    <w:r>
      <w:rPr>
        <w:rFonts w:ascii="Arial Negrita" w:hAnsi="Arial Negrita" w:cs="Arial"/>
        <w:b/>
        <w:sz w:val="24"/>
        <w:szCs w:val="24"/>
        <w:lang w:val="es-MX"/>
      </w:rPr>
      <w:t xml:space="preserve"> </w:t>
    </w:r>
  </w:p>
  <w:p w:rsidR="00262237" w:rsidRDefault="00DC1AD7" w:rsidP="00AB1E62">
    <w:pPr>
      <w:pStyle w:val="corte4fondo"/>
      <w:tabs>
        <w:tab w:val="left" w:pos="5250"/>
      </w:tabs>
      <w:spacing w:before="80" w:after="80" w:line="240" w:lineRule="auto"/>
      <w:ind w:left="2160" w:firstLine="0"/>
      <w:rPr>
        <w:rFonts w:ascii="Arial Negrita" w:hAnsi="Arial Negrita" w:cs="Arial"/>
        <w:b/>
        <w:sz w:val="22"/>
        <w:szCs w:val="24"/>
      </w:rPr>
    </w:pPr>
    <w:r>
      <w:rPr>
        <w:rFonts w:ascii="Arial Negrita" w:hAnsi="Arial Negrita" w:cs="Arial"/>
        <w:b/>
        <w:sz w:val="22"/>
        <w:szCs w:val="24"/>
      </w:rPr>
      <w:tab/>
    </w:r>
    <w:r>
      <w:rPr>
        <w:rFonts w:ascii="Arial Negrita" w:hAnsi="Arial Negrita" w:cs="Arial"/>
        <w:b/>
        <w:sz w:val="22"/>
        <w:szCs w:val="24"/>
      </w:rPr>
      <w:tab/>
    </w:r>
    <w:r>
      <w:rPr>
        <w:rFonts w:ascii="Arial Negrita" w:hAnsi="Arial Negrita" w:cs="Arial"/>
        <w:b/>
        <w:sz w:val="22"/>
        <w:szCs w:val="24"/>
      </w:rPr>
      <w:tab/>
    </w:r>
    <w:r>
      <w:rPr>
        <w:rFonts w:ascii="Arial Negrita" w:hAnsi="Arial Negrita" w:cs="Arial"/>
        <w:b/>
        <w:sz w:val="22"/>
        <w:szCs w:val="24"/>
      </w:rPr>
      <w:tab/>
    </w:r>
  </w:p>
  <w:p w:rsidR="00137E7F" w:rsidRDefault="00656B8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0E"/>
    <w:rsid w:val="000D5A2E"/>
    <w:rsid w:val="000E7A7B"/>
    <w:rsid w:val="0015373C"/>
    <w:rsid w:val="0019173E"/>
    <w:rsid w:val="001A67FA"/>
    <w:rsid w:val="001B093A"/>
    <w:rsid w:val="002D2C9E"/>
    <w:rsid w:val="003372F2"/>
    <w:rsid w:val="00396B0A"/>
    <w:rsid w:val="003B7553"/>
    <w:rsid w:val="00426188"/>
    <w:rsid w:val="00453639"/>
    <w:rsid w:val="004A1650"/>
    <w:rsid w:val="005252E8"/>
    <w:rsid w:val="00536E29"/>
    <w:rsid w:val="0054156A"/>
    <w:rsid w:val="0055013E"/>
    <w:rsid w:val="005A1EBB"/>
    <w:rsid w:val="005D3F98"/>
    <w:rsid w:val="00647267"/>
    <w:rsid w:val="00656B83"/>
    <w:rsid w:val="006D4BDA"/>
    <w:rsid w:val="007C14E1"/>
    <w:rsid w:val="00804B60"/>
    <w:rsid w:val="00806BCA"/>
    <w:rsid w:val="008D6019"/>
    <w:rsid w:val="0094140E"/>
    <w:rsid w:val="00980D0F"/>
    <w:rsid w:val="009A5615"/>
    <w:rsid w:val="009B089E"/>
    <w:rsid w:val="00BA3AF9"/>
    <w:rsid w:val="00C71D15"/>
    <w:rsid w:val="00D42687"/>
    <w:rsid w:val="00D83195"/>
    <w:rsid w:val="00DB248C"/>
    <w:rsid w:val="00DC1AD7"/>
    <w:rsid w:val="00DC3124"/>
    <w:rsid w:val="00E52B34"/>
    <w:rsid w:val="00E55D5A"/>
    <w:rsid w:val="00EF62AA"/>
    <w:rsid w:val="00F134A4"/>
    <w:rsid w:val="00FA05CF"/>
    <w:rsid w:val="00FA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BC935-691B-49C0-BC4D-7907F08C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rte4fondo">
    <w:name w:val="corte4 fondo"/>
    <w:basedOn w:val="Normal"/>
    <w:link w:val="corte4fondoCar1"/>
    <w:qFormat/>
    <w:rsid w:val="0094140E"/>
    <w:pPr>
      <w:spacing w:line="360" w:lineRule="auto"/>
      <w:ind w:firstLine="709"/>
      <w:jc w:val="both"/>
    </w:pPr>
    <w:rPr>
      <w:rFonts w:ascii="Arial" w:hAnsi="Arial"/>
      <w:sz w:val="30"/>
    </w:rPr>
  </w:style>
  <w:style w:type="paragraph" w:styleId="Piedepgina">
    <w:name w:val="footer"/>
    <w:basedOn w:val="Normal"/>
    <w:link w:val="PiedepginaCar"/>
    <w:uiPriority w:val="99"/>
    <w:rsid w:val="009414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140E"/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styleId="Refdenotaalpie">
    <w:name w:val="footnote reference"/>
    <w:aliases w:val="Ref. de nota al pie 2,Footnotes refss,Texto de nota al pie,Appel note de bas de page,julio,referencia nota al pie,BVI fnr,Footnote number,f,4_G,16 Point,Superscript 6 Point,Texto nota al pie,Footnote Reference Char3,Ref. de nota al"/>
    <w:basedOn w:val="Fuentedeprrafopredeter"/>
    <w:uiPriority w:val="99"/>
    <w:qFormat/>
    <w:rsid w:val="0094140E"/>
    <w:rPr>
      <w:vertAlign w:val="superscript"/>
    </w:rPr>
  </w:style>
  <w:style w:type="character" w:customStyle="1" w:styleId="corte4fondoCar1">
    <w:name w:val="corte4 fondo Car1"/>
    <w:basedOn w:val="Fuentedeprrafopredeter"/>
    <w:link w:val="corte4fondo"/>
    <w:rsid w:val="0094140E"/>
    <w:rPr>
      <w:rFonts w:ascii="Arial" w:eastAsia="Times New Roman" w:hAnsi="Arial" w:cs="Times New Roman"/>
      <w:sz w:val="30"/>
      <w:szCs w:val="20"/>
      <w:lang w:val="es-ES_tradnl" w:eastAsia="es-MX"/>
    </w:rPr>
  </w:style>
  <w:style w:type="paragraph" w:customStyle="1" w:styleId="corte4fondoCar">
    <w:name w:val="corte4 fondo Car"/>
    <w:basedOn w:val="Normal"/>
    <w:link w:val="corte4fondoCarCar"/>
    <w:rsid w:val="0094140E"/>
    <w:pPr>
      <w:spacing w:line="360" w:lineRule="auto"/>
      <w:ind w:firstLine="709"/>
      <w:jc w:val="both"/>
    </w:pPr>
    <w:rPr>
      <w:rFonts w:ascii="Arial" w:hAnsi="Arial"/>
      <w:sz w:val="30"/>
    </w:rPr>
  </w:style>
  <w:style w:type="character" w:customStyle="1" w:styleId="corte4fondoCarCar">
    <w:name w:val="corte4 fondo Car Car"/>
    <w:link w:val="corte4fondoCar"/>
    <w:rsid w:val="0094140E"/>
    <w:rPr>
      <w:rFonts w:ascii="Arial" w:eastAsia="Times New Roman" w:hAnsi="Arial" w:cs="Times New Roman"/>
      <w:sz w:val="30"/>
      <w:szCs w:val="20"/>
      <w:lang w:val="es-ES_tradnl" w:eastAsia="es-MX"/>
    </w:rPr>
  </w:style>
  <w:style w:type="paragraph" w:customStyle="1" w:styleId="TEXTONORMAL">
    <w:name w:val="TEXTO NORMAL"/>
    <w:basedOn w:val="Normal"/>
    <w:link w:val="TEXTONORMALCar"/>
    <w:rsid w:val="005D3F98"/>
    <w:pPr>
      <w:spacing w:line="360" w:lineRule="auto"/>
      <w:ind w:firstLine="709"/>
      <w:jc w:val="both"/>
    </w:pPr>
    <w:rPr>
      <w:rFonts w:ascii="Arial" w:hAnsi="Arial" w:cs="Arial"/>
      <w:sz w:val="28"/>
      <w:szCs w:val="28"/>
      <w:lang w:eastAsia="es-ES"/>
    </w:rPr>
  </w:style>
  <w:style w:type="character" w:customStyle="1" w:styleId="TEXTONORMALCar">
    <w:name w:val="TEXTO NORMAL Car"/>
    <w:link w:val="TEXTONORMAL"/>
    <w:rsid w:val="005D3F98"/>
    <w:rPr>
      <w:rFonts w:ascii="Arial" w:eastAsia="Times New Roman" w:hAnsi="Arial" w:cs="Arial"/>
      <w:sz w:val="28"/>
      <w:szCs w:val="28"/>
      <w:lang w:val="es-ES_tradnl" w:eastAsia="es-ES"/>
    </w:rPr>
  </w:style>
  <w:style w:type="paragraph" w:customStyle="1" w:styleId="Estilo">
    <w:name w:val="Estilo"/>
    <w:basedOn w:val="Sinespaciado"/>
    <w:link w:val="EstiloCar"/>
    <w:qFormat/>
    <w:rsid w:val="00396B0A"/>
    <w:pPr>
      <w:jc w:val="both"/>
    </w:pPr>
    <w:rPr>
      <w:rFonts w:ascii="Arial" w:eastAsiaTheme="minorHAnsi" w:hAnsi="Arial" w:cstheme="minorBidi"/>
      <w:sz w:val="24"/>
      <w:szCs w:val="22"/>
      <w:lang w:val="es-MX" w:eastAsia="en-US"/>
    </w:rPr>
  </w:style>
  <w:style w:type="character" w:customStyle="1" w:styleId="EstiloCar">
    <w:name w:val="Estilo Car"/>
    <w:basedOn w:val="Fuentedeprrafopredeter"/>
    <w:link w:val="Estilo"/>
    <w:rsid w:val="00396B0A"/>
    <w:rPr>
      <w:rFonts w:ascii="Arial" w:hAnsi="Arial"/>
      <w:sz w:val="24"/>
    </w:rPr>
  </w:style>
  <w:style w:type="paragraph" w:styleId="Sinespaciado">
    <w:name w:val="No Spacing"/>
    <w:uiPriority w:val="1"/>
    <w:qFormat/>
    <w:rsid w:val="00396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Encabezado">
    <w:name w:val="header"/>
    <w:basedOn w:val="Normal"/>
    <w:link w:val="EncabezadoCar"/>
    <w:uiPriority w:val="99"/>
    <w:unhideWhenUsed/>
    <w:rsid w:val="006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7267"/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36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639"/>
    <w:rPr>
      <w:rFonts w:ascii="Segoe UI" w:eastAsia="Times New Roman" w:hAnsi="Segoe UI" w:cs="Segoe UI"/>
      <w:sz w:val="18"/>
      <w:szCs w:val="18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7C338-E0C3-4D1C-A9A0-97EF1C6A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SCJN</Company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CHARA TANUS</dc:creator>
  <cp:keywords/>
  <dc:description/>
  <cp:lastModifiedBy>GABRIELA RUIZ CONTRERAS</cp:lastModifiedBy>
  <cp:revision>2</cp:revision>
  <cp:lastPrinted>2019-08-30T16:48:00Z</cp:lastPrinted>
  <dcterms:created xsi:type="dcterms:W3CDTF">2019-09-23T18:03:00Z</dcterms:created>
  <dcterms:modified xsi:type="dcterms:W3CDTF">2019-09-23T18:03:00Z</dcterms:modified>
</cp:coreProperties>
</file>