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15B" w:rsidRPr="00587A0F" w:rsidRDefault="0063515B" w:rsidP="00587A0F">
      <w:pPr>
        <w:pStyle w:val="corte4fondoCar"/>
        <w:ind w:firstLine="0"/>
        <w:contextualSpacing/>
        <w:rPr>
          <w:rFonts w:cs="Arial"/>
          <w:b/>
          <w:sz w:val="28"/>
          <w:szCs w:val="28"/>
        </w:rPr>
      </w:pPr>
      <w:bookmarkStart w:id="0" w:name="_GoBack"/>
      <w:bookmarkEnd w:id="0"/>
    </w:p>
    <w:p w:rsidR="0063515B" w:rsidRPr="00587A0F" w:rsidRDefault="0063515B" w:rsidP="00587A0F">
      <w:pPr>
        <w:pStyle w:val="corte4fondoCar"/>
        <w:ind w:firstLine="0"/>
        <w:contextualSpacing/>
        <w:rPr>
          <w:rFonts w:cs="Arial"/>
          <w:b/>
          <w:sz w:val="28"/>
          <w:szCs w:val="28"/>
        </w:rPr>
      </w:pPr>
    </w:p>
    <w:p w:rsidR="0063515B" w:rsidRPr="00587A0F" w:rsidRDefault="0063515B" w:rsidP="00587A0F">
      <w:pPr>
        <w:pStyle w:val="corte4fondoCar"/>
        <w:ind w:firstLine="0"/>
        <w:contextualSpacing/>
        <w:rPr>
          <w:rFonts w:cs="Arial"/>
          <w:b/>
          <w:sz w:val="28"/>
          <w:szCs w:val="28"/>
        </w:rPr>
      </w:pPr>
      <w:r w:rsidRPr="00587A0F">
        <w:rPr>
          <w:rFonts w:cs="Arial"/>
          <w:b/>
          <w:sz w:val="28"/>
          <w:szCs w:val="28"/>
        </w:rPr>
        <w:t xml:space="preserve">VOTO CONCURRENTE QUE FORMULA EL SEÑOR MINISTRO LUIS MARÍA AGUILAR MORALES, EN RELACIÓN CON LA ACCIÓN DE INCONSTITUCIONALIDAD </w:t>
      </w:r>
      <w:r w:rsidR="00B7294F" w:rsidRPr="00587A0F">
        <w:rPr>
          <w:rFonts w:cs="Arial"/>
          <w:b/>
          <w:sz w:val="28"/>
          <w:szCs w:val="28"/>
        </w:rPr>
        <w:t>15</w:t>
      </w:r>
      <w:r w:rsidR="00427E46">
        <w:rPr>
          <w:rFonts w:cs="Arial"/>
          <w:b/>
          <w:sz w:val="28"/>
          <w:szCs w:val="28"/>
        </w:rPr>
        <w:t>8</w:t>
      </w:r>
      <w:r w:rsidR="00B7294F" w:rsidRPr="00587A0F">
        <w:rPr>
          <w:rFonts w:cs="Arial"/>
          <w:b/>
          <w:sz w:val="28"/>
          <w:szCs w:val="28"/>
        </w:rPr>
        <w:t>/2017</w:t>
      </w:r>
      <w:r w:rsidR="00D53243">
        <w:rPr>
          <w:rFonts w:cs="Arial"/>
          <w:b/>
          <w:sz w:val="28"/>
          <w:szCs w:val="28"/>
        </w:rPr>
        <w:t>.</w:t>
      </w:r>
    </w:p>
    <w:p w:rsidR="0063515B" w:rsidRPr="00587A0F" w:rsidRDefault="0063515B" w:rsidP="00587A0F">
      <w:pPr>
        <w:pStyle w:val="corte4fondoCar"/>
        <w:ind w:firstLine="0"/>
        <w:contextualSpacing/>
        <w:rPr>
          <w:rFonts w:cs="Arial"/>
          <w:sz w:val="28"/>
          <w:szCs w:val="28"/>
        </w:rPr>
      </w:pPr>
    </w:p>
    <w:p w:rsidR="00891971" w:rsidRDefault="00546F5D" w:rsidP="00E3351B">
      <w:pPr>
        <w:pStyle w:val="corte4fondoCar"/>
        <w:ind w:firstLine="0"/>
        <w:contextualSpacing/>
        <w:rPr>
          <w:rFonts w:cs="Arial"/>
          <w:bCs/>
          <w:sz w:val="28"/>
          <w:szCs w:val="28"/>
        </w:rPr>
      </w:pPr>
      <w:r w:rsidRPr="00587A0F">
        <w:rPr>
          <w:rFonts w:cs="Arial"/>
          <w:sz w:val="28"/>
          <w:szCs w:val="28"/>
        </w:rPr>
        <w:t xml:space="preserve">En sesión celebrada el </w:t>
      </w:r>
      <w:r w:rsidR="00427E46">
        <w:rPr>
          <w:rFonts w:cs="Arial"/>
          <w:sz w:val="28"/>
          <w:szCs w:val="28"/>
        </w:rPr>
        <w:t>veinticinco de abril</w:t>
      </w:r>
      <w:r w:rsidR="00B7294F" w:rsidRPr="00587A0F">
        <w:rPr>
          <w:rFonts w:cs="Arial"/>
          <w:sz w:val="28"/>
          <w:szCs w:val="28"/>
        </w:rPr>
        <w:t xml:space="preserve"> de </w:t>
      </w:r>
      <w:r w:rsidRPr="00587A0F">
        <w:rPr>
          <w:rFonts w:cs="Arial"/>
          <w:sz w:val="28"/>
          <w:szCs w:val="28"/>
        </w:rPr>
        <w:t xml:space="preserve">dos mil </w:t>
      </w:r>
      <w:r w:rsidR="00427E46">
        <w:rPr>
          <w:rFonts w:cs="Arial"/>
          <w:sz w:val="28"/>
          <w:szCs w:val="28"/>
        </w:rPr>
        <w:t>diecinueve</w:t>
      </w:r>
      <w:r w:rsidRPr="00587A0F">
        <w:rPr>
          <w:rFonts w:cs="Arial"/>
          <w:sz w:val="28"/>
          <w:szCs w:val="28"/>
        </w:rPr>
        <w:t xml:space="preserve">, el Tribunal Pleno de esta Suprema Corte de </w:t>
      </w:r>
      <w:r w:rsidR="0003144A" w:rsidRPr="00587A0F">
        <w:rPr>
          <w:rFonts w:cs="Arial"/>
          <w:sz w:val="28"/>
          <w:szCs w:val="28"/>
        </w:rPr>
        <w:t>Justicia de la Nación al resolver la</w:t>
      </w:r>
      <w:r w:rsidR="00427E46">
        <w:rPr>
          <w:rFonts w:cs="Arial"/>
          <w:sz w:val="28"/>
          <w:szCs w:val="28"/>
        </w:rPr>
        <w:t xml:space="preserve"> acción </w:t>
      </w:r>
      <w:r w:rsidR="0003144A" w:rsidRPr="00587A0F">
        <w:rPr>
          <w:rFonts w:cs="Arial"/>
          <w:sz w:val="28"/>
          <w:szCs w:val="28"/>
        </w:rPr>
        <w:t>de inconstitucionalidad cita</w:t>
      </w:r>
      <w:r w:rsidR="00E20282" w:rsidRPr="00587A0F">
        <w:rPr>
          <w:rFonts w:cs="Arial"/>
          <w:sz w:val="28"/>
          <w:szCs w:val="28"/>
        </w:rPr>
        <w:t>da</w:t>
      </w:r>
      <w:r w:rsidR="00837488" w:rsidRPr="00587A0F">
        <w:rPr>
          <w:rFonts w:cs="Arial"/>
          <w:sz w:val="28"/>
          <w:szCs w:val="28"/>
        </w:rPr>
        <w:t xml:space="preserve"> al rubro, determinó, </w:t>
      </w:r>
      <w:r w:rsidR="0003144A" w:rsidRPr="00587A0F">
        <w:rPr>
          <w:rFonts w:cs="Arial"/>
          <w:sz w:val="28"/>
          <w:szCs w:val="28"/>
        </w:rPr>
        <w:t xml:space="preserve">entre otras cosas, </w:t>
      </w:r>
      <w:r w:rsidR="00E3351B">
        <w:rPr>
          <w:rFonts w:cs="Arial"/>
          <w:sz w:val="28"/>
          <w:szCs w:val="28"/>
        </w:rPr>
        <w:t>declarar la invalidez</w:t>
      </w:r>
      <w:r w:rsidR="00B7294F" w:rsidRPr="00587A0F">
        <w:rPr>
          <w:rFonts w:cs="Arial"/>
          <w:sz w:val="28"/>
          <w:szCs w:val="28"/>
        </w:rPr>
        <w:t xml:space="preserve"> </w:t>
      </w:r>
      <w:r w:rsidR="00E3351B" w:rsidRPr="00E3351B">
        <w:rPr>
          <w:rFonts w:cs="Arial"/>
          <w:sz w:val="28"/>
          <w:szCs w:val="28"/>
        </w:rPr>
        <w:t>de los artículos Cuarto</w:t>
      </w:r>
      <w:r w:rsidR="00891971" w:rsidRPr="00DA2FB9">
        <w:rPr>
          <w:rStyle w:val="Refdenotaalpie"/>
          <w:rFonts w:cs="Arial"/>
          <w:sz w:val="28"/>
          <w:szCs w:val="28"/>
        </w:rPr>
        <w:footnoteReference w:id="1"/>
      </w:r>
      <w:r w:rsidR="00E3351B" w:rsidRPr="00E3351B">
        <w:rPr>
          <w:rFonts w:cs="Arial"/>
          <w:sz w:val="28"/>
          <w:szCs w:val="28"/>
        </w:rPr>
        <w:t xml:space="preserve"> y Quinto</w:t>
      </w:r>
      <w:r w:rsidR="00891971" w:rsidRPr="00DA2FB9">
        <w:rPr>
          <w:rStyle w:val="Refdenotaalpie"/>
          <w:rFonts w:cs="Arial"/>
          <w:sz w:val="28"/>
          <w:szCs w:val="28"/>
        </w:rPr>
        <w:footnoteReference w:id="2"/>
      </w:r>
      <w:r w:rsidR="00E3351B" w:rsidRPr="00E3351B">
        <w:rPr>
          <w:rFonts w:cs="Arial"/>
          <w:sz w:val="28"/>
          <w:szCs w:val="28"/>
        </w:rPr>
        <w:t xml:space="preserve"> Transitorios</w:t>
      </w:r>
      <w:r w:rsidR="00E3351B">
        <w:rPr>
          <w:rFonts w:cs="Arial"/>
          <w:sz w:val="28"/>
          <w:szCs w:val="28"/>
        </w:rPr>
        <w:t xml:space="preserve"> </w:t>
      </w:r>
      <w:r w:rsidR="00E3351B">
        <w:rPr>
          <w:rFonts w:cs="Arial"/>
          <w:bCs/>
          <w:sz w:val="28"/>
          <w:szCs w:val="28"/>
        </w:rPr>
        <w:t xml:space="preserve">de la Ley de Protección de Datos Personales en Posesión de Sujetos Obligados del Estado de Michoacán de Ocampo, publicada en el Periódico Oficial de esa entidad el trece de noviembre de dos mil </w:t>
      </w:r>
      <w:proofErr w:type="gramStart"/>
      <w:r w:rsidR="00E3351B">
        <w:rPr>
          <w:rFonts w:cs="Arial"/>
          <w:bCs/>
          <w:sz w:val="28"/>
          <w:szCs w:val="28"/>
        </w:rPr>
        <w:t>diecisiete</w:t>
      </w:r>
      <w:proofErr w:type="gramEnd"/>
      <w:r w:rsidR="00891971">
        <w:rPr>
          <w:rFonts w:cs="Arial"/>
          <w:bCs/>
          <w:sz w:val="28"/>
          <w:szCs w:val="28"/>
        </w:rPr>
        <w:t>.</w:t>
      </w:r>
    </w:p>
    <w:p w:rsidR="00891971" w:rsidRDefault="00891971" w:rsidP="00E3351B">
      <w:pPr>
        <w:pStyle w:val="corte4fondoCar"/>
        <w:ind w:firstLine="0"/>
        <w:contextualSpacing/>
        <w:rPr>
          <w:rFonts w:cs="Arial"/>
          <w:bCs/>
          <w:sz w:val="28"/>
          <w:szCs w:val="28"/>
        </w:rPr>
      </w:pPr>
    </w:p>
    <w:p w:rsidR="00E3351B" w:rsidRDefault="00891971" w:rsidP="00E3351B">
      <w:pPr>
        <w:pStyle w:val="corte4fondoCar"/>
        <w:ind w:firstLine="0"/>
        <w:contextualSpacing/>
        <w:rPr>
          <w:rFonts w:cs="Arial"/>
          <w:sz w:val="28"/>
          <w:szCs w:val="28"/>
        </w:rPr>
      </w:pPr>
      <w:r>
        <w:rPr>
          <w:rFonts w:cs="Arial"/>
          <w:bCs/>
          <w:sz w:val="28"/>
          <w:szCs w:val="28"/>
        </w:rPr>
        <w:t>Se arribó a la conclusión anterior</w:t>
      </w:r>
      <w:r w:rsidR="00E3351B">
        <w:rPr>
          <w:rFonts w:cs="Arial"/>
          <w:bCs/>
          <w:sz w:val="28"/>
          <w:szCs w:val="28"/>
        </w:rPr>
        <w:t xml:space="preserve">, </w:t>
      </w:r>
      <w:r w:rsidR="00E3351B" w:rsidRPr="00E3351B">
        <w:rPr>
          <w:rFonts w:cs="Arial"/>
          <w:sz w:val="28"/>
          <w:szCs w:val="28"/>
        </w:rPr>
        <w:t>porque</w:t>
      </w:r>
      <w:r>
        <w:rPr>
          <w:rFonts w:cs="Arial"/>
          <w:sz w:val="28"/>
          <w:szCs w:val="28"/>
        </w:rPr>
        <w:t xml:space="preserve"> los</w:t>
      </w:r>
      <w:r w:rsidR="00E3351B">
        <w:rPr>
          <w:rFonts w:cs="Arial"/>
          <w:sz w:val="28"/>
          <w:szCs w:val="28"/>
        </w:rPr>
        <w:t xml:space="preserve"> preceptos </w:t>
      </w:r>
      <w:r>
        <w:rPr>
          <w:rFonts w:cs="Arial"/>
          <w:sz w:val="28"/>
          <w:szCs w:val="28"/>
        </w:rPr>
        <w:t>impugnados ampliaban</w:t>
      </w:r>
      <w:r w:rsidR="00E3351B" w:rsidRPr="00E3351B">
        <w:rPr>
          <w:rFonts w:cs="Arial"/>
          <w:sz w:val="28"/>
          <w:szCs w:val="28"/>
        </w:rPr>
        <w:t xml:space="preserve">, injustificadamente, el plazo previsto en la Ley General de Protección de Datos Personales en Posesión de Sujetos Obligados, a efecto de que los </w:t>
      </w:r>
      <w:r w:rsidR="00E3351B">
        <w:rPr>
          <w:rFonts w:cs="Arial"/>
          <w:sz w:val="28"/>
          <w:szCs w:val="28"/>
        </w:rPr>
        <w:t>o</w:t>
      </w:r>
      <w:r w:rsidR="00E3351B" w:rsidRPr="00E3351B">
        <w:rPr>
          <w:rFonts w:cs="Arial"/>
          <w:sz w:val="28"/>
          <w:szCs w:val="28"/>
        </w:rPr>
        <w:t>rganismos garantes</w:t>
      </w:r>
      <w:r w:rsidR="007B1FA4">
        <w:rPr>
          <w:rFonts w:cs="Arial"/>
          <w:sz w:val="28"/>
          <w:szCs w:val="28"/>
        </w:rPr>
        <w:t xml:space="preserve"> emitieran</w:t>
      </w:r>
      <w:r w:rsidR="00E3351B" w:rsidRPr="00E3351B">
        <w:rPr>
          <w:rFonts w:cs="Arial"/>
          <w:sz w:val="28"/>
          <w:szCs w:val="28"/>
        </w:rPr>
        <w:t xml:space="preserve"> los lineamientos ordenados en la Ley</w:t>
      </w:r>
      <w:r w:rsidR="007B1FA4">
        <w:rPr>
          <w:rFonts w:cs="Arial"/>
          <w:sz w:val="28"/>
          <w:szCs w:val="28"/>
        </w:rPr>
        <w:t>,</w:t>
      </w:r>
      <w:r w:rsidR="00E3351B" w:rsidRPr="00E3351B">
        <w:rPr>
          <w:rFonts w:cs="Arial"/>
          <w:sz w:val="28"/>
          <w:szCs w:val="28"/>
        </w:rPr>
        <w:t xml:space="preserve"> y para que los sujetos obligados </w:t>
      </w:r>
      <w:r w:rsidR="007B1FA4">
        <w:rPr>
          <w:rFonts w:cs="Arial"/>
          <w:sz w:val="28"/>
          <w:szCs w:val="28"/>
        </w:rPr>
        <w:t>emitieran</w:t>
      </w:r>
      <w:r w:rsidR="00E3351B" w:rsidRPr="00E3351B">
        <w:rPr>
          <w:rFonts w:cs="Arial"/>
          <w:sz w:val="28"/>
          <w:szCs w:val="28"/>
        </w:rPr>
        <w:t xml:space="preserve"> o modificaran su normatividad interna</w:t>
      </w:r>
      <w:r w:rsidR="00AD52A7">
        <w:rPr>
          <w:rStyle w:val="Refdenotaalpie"/>
          <w:rFonts w:cs="Arial"/>
          <w:sz w:val="28"/>
          <w:szCs w:val="28"/>
        </w:rPr>
        <w:footnoteReference w:id="3"/>
      </w:r>
      <w:r w:rsidR="00E3351B" w:rsidRPr="00E3351B">
        <w:rPr>
          <w:rFonts w:cs="Arial"/>
          <w:sz w:val="28"/>
          <w:szCs w:val="28"/>
        </w:rPr>
        <w:t>.</w:t>
      </w:r>
    </w:p>
    <w:p w:rsidR="007B1FA4" w:rsidRDefault="007B1FA4" w:rsidP="00E3351B">
      <w:pPr>
        <w:pStyle w:val="corte4fondoCar"/>
        <w:ind w:firstLine="0"/>
        <w:contextualSpacing/>
        <w:rPr>
          <w:rFonts w:cs="Arial"/>
          <w:sz w:val="28"/>
          <w:szCs w:val="28"/>
        </w:rPr>
      </w:pPr>
    </w:p>
    <w:p w:rsidR="007B1FA4" w:rsidRDefault="007B1FA4" w:rsidP="00E3351B">
      <w:pPr>
        <w:pStyle w:val="corte4fondoCar"/>
        <w:ind w:firstLine="0"/>
        <w:contextualSpacing/>
        <w:rPr>
          <w:rFonts w:cs="Arial"/>
          <w:sz w:val="28"/>
          <w:szCs w:val="28"/>
        </w:rPr>
      </w:pPr>
      <w:r>
        <w:rPr>
          <w:rFonts w:cs="Arial"/>
          <w:sz w:val="28"/>
          <w:szCs w:val="28"/>
        </w:rPr>
        <w:lastRenderedPageBreak/>
        <w:t>En el artículo Cuarto Transitorio, el legislador michoacano otorgó un plazo de ciento veinte días contados a partir de la entrada en vigor de la ley local, para que el Instituto garante emitiera los lineamientos ordenados en esa norma local y los publicara en el Periódico Oficial del Gobierno del Estado.</w:t>
      </w:r>
    </w:p>
    <w:p w:rsidR="00AD52A7" w:rsidRDefault="00AD52A7" w:rsidP="00E3351B">
      <w:pPr>
        <w:pStyle w:val="corte4fondoCar"/>
        <w:ind w:firstLine="0"/>
        <w:contextualSpacing/>
        <w:rPr>
          <w:rFonts w:cs="Arial"/>
          <w:sz w:val="28"/>
          <w:szCs w:val="28"/>
        </w:rPr>
      </w:pPr>
    </w:p>
    <w:p w:rsidR="007B1FA4" w:rsidRDefault="007B1FA4" w:rsidP="00E3351B">
      <w:pPr>
        <w:pStyle w:val="corte4fondoCar"/>
        <w:ind w:firstLine="0"/>
        <w:contextualSpacing/>
        <w:rPr>
          <w:rFonts w:cs="Arial"/>
          <w:sz w:val="28"/>
          <w:szCs w:val="28"/>
        </w:rPr>
      </w:pPr>
      <w:r>
        <w:rPr>
          <w:rFonts w:cs="Arial"/>
          <w:sz w:val="28"/>
          <w:szCs w:val="28"/>
        </w:rPr>
        <w:t>Mientras que en el artículo Quinto Transitorio, el legislador local estableció nuevamente un plazo de dieciocho meses, contados a partir de la entrada en vigor de la legislación michoacana, para que los sujetos obligados correspondientes tramitaran, expidieran o modificaran su normatividad interna.</w:t>
      </w:r>
    </w:p>
    <w:p w:rsidR="007B1FA4" w:rsidRDefault="007B1FA4" w:rsidP="00E3351B">
      <w:pPr>
        <w:pStyle w:val="corte4fondoCar"/>
        <w:ind w:firstLine="0"/>
        <w:contextualSpacing/>
        <w:rPr>
          <w:rFonts w:cs="Arial"/>
          <w:sz w:val="28"/>
          <w:szCs w:val="28"/>
        </w:rPr>
      </w:pPr>
    </w:p>
    <w:p w:rsidR="00E3351B" w:rsidRDefault="00E3351B" w:rsidP="00891971">
      <w:pPr>
        <w:pStyle w:val="corte4fondoCar"/>
        <w:ind w:firstLine="0"/>
        <w:rPr>
          <w:rFonts w:cs="Arial"/>
          <w:sz w:val="28"/>
          <w:szCs w:val="28"/>
        </w:rPr>
      </w:pPr>
      <w:r w:rsidRPr="00E3351B">
        <w:rPr>
          <w:rFonts w:cs="Arial"/>
          <w:sz w:val="28"/>
          <w:szCs w:val="28"/>
        </w:rPr>
        <w:t xml:space="preserve">En este sentido, </w:t>
      </w:r>
      <w:r w:rsidR="00891971">
        <w:rPr>
          <w:rFonts w:cs="Arial"/>
          <w:sz w:val="28"/>
          <w:szCs w:val="28"/>
        </w:rPr>
        <w:t xml:space="preserve">el Tribunal Pleno declaró la invalidez de las normas </w:t>
      </w:r>
      <w:r w:rsidRPr="00E3351B">
        <w:rPr>
          <w:rFonts w:cs="Arial"/>
          <w:sz w:val="28"/>
          <w:szCs w:val="28"/>
        </w:rPr>
        <w:t>transitorias</w:t>
      </w:r>
      <w:r w:rsidR="00891971">
        <w:rPr>
          <w:rFonts w:cs="Arial"/>
          <w:sz w:val="28"/>
          <w:szCs w:val="28"/>
        </w:rPr>
        <w:t>, pues</w:t>
      </w:r>
      <w:r w:rsidRPr="00E3351B">
        <w:rPr>
          <w:rFonts w:cs="Arial"/>
          <w:sz w:val="28"/>
          <w:szCs w:val="28"/>
        </w:rPr>
        <w:t xml:space="preserve"> son contrarias a la Constitución, porque a través de ellas, el legislador michoacano amplió, injustificadamente, los plazos contemplados</w:t>
      </w:r>
      <w:r w:rsidR="007B1FA4">
        <w:rPr>
          <w:rFonts w:cs="Arial"/>
          <w:sz w:val="28"/>
          <w:szCs w:val="28"/>
        </w:rPr>
        <w:t xml:space="preserve"> en la Ley General, en un ámbito competencial que le estaba vedado al legislador local.</w:t>
      </w:r>
    </w:p>
    <w:p w:rsidR="007B1FA4" w:rsidRDefault="007B1FA4" w:rsidP="00891971">
      <w:pPr>
        <w:pStyle w:val="corte4fondoCar"/>
        <w:ind w:firstLine="0"/>
        <w:rPr>
          <w:rFonts w:cs="Arial"/>
          <w:sz w:val="28"/>
          <w:szCs w:val="28"/>
        </w:rPr>
      </w:pPr>
    </w:p>
    <w:p w:rsidR="00FE361E" w:rsidRPr="00FE361E" w:rsidRDefault="00FE361E" w:rsidP="00FE361E">
      <w:pPr>
        <w:pStyle w:val="corte4fondoCar"/>
        <w:ind w:firstLine="0"/>
        <w:rPr>
          <w:rFonts w:cs="Arial"/>
          <w:sz w:val="28"/>
          <w:szCs w:val="28"/>
          <w:lang w:val="es-ES"/>
        </w:rPr>
      </w:pPr>
      <w:r>
        <w:rPr>
          <w:rFonts w:cs="Arial"/>
          <w:sz w:val="28"/>
          <w:szCs w:val="28"/>
        </w:rPr>
        <w:t xml:space="preserve">En consecuencia, este Alto Tribunal determinó, </w:t>
      </w:r>
      <w:r w:rsidRPr="00FE361E">
        <w:rPr>
          <w:rFonts w:cs="Arial"/>
          <w:sz w:val="28"/>
          <w:szCs w:val="28"/>
        </w:rPr>
        <w:t xml:space="preserve">a fin de salvaguardar la norma constitucional vulnerada, y toda vez que ya han transcurrido los plazos otorgados </w:t>
      </w:r>
      <w:r w:rsidR="004468DF">
        <w:rPr>
          <w:rFonts w:cs="Arial"/>
          <w:sz w:val="28"/>
          <w:szCs w:val="28"/>
        </w:rPr>
        <w:t>en</w:t>
      </w:r>
      <w:r w:rsidRPr="00FE361E">
        <w:rPr>
          <w:rFonts w:cs="Arial"/>
          <w:sz w:val="28"/>
          <w:szCs w:val="28"/>
        </w:rPr>
        <w:t xml:space="preserve"> la Ley General </w:t>
      </w:r>
      <w:r w:rsidRPr="00FE361E">
        <w:rPr>
          <w:rFonts w:cs="Arial"/>
          <w:sz w:val="28"/>
          <w:szCs w:val="28"/>
          <w:lang w:val="es-ES"/>
        </w:rPr>
        <w:t xml:space="preserve">de Protección de Datos Personales en Posesión de Sujetos Obligados, sin que hayan cumplido su objeto, se ordene lo siguiente: </w:t>
      </w:r>
    </w:p>
    <w:p w:rsidR="00FE361E" w:rsidRPr="00FE361E" w:rsidRDefault="00FE361E" w:rsidP="00FE361E">
      <w:pPr>
        <w:pStyle w:val="corte4fondoCar"/>
        <w:contextualSpacing/>
        <w:rPr>
          <w:rFonts w:cs="Arial"/>
          <w:sz w:val="28"/>
          <w:szCs w:val="28"/>
          <w:lang w:val="es-ES"/>
        </w:rPr>
      </w:pPr>
    </w:p>
    <w:p w:rsidR="00FE361E" w:rsidRPr="00730440" w:rsidRDefault="00FE361E" w:rsidP="00FE361E">
      <w:pPr>
        <w:pStyle w:val="corte4fondoCar"/>
        <w:numPr>
          <w:ilvl w:val="0"/>
          <w:numId w:val="13"/>
        </w:numPr>
        <w:rPr>
          <w:rFonts w:cs="Arial"/>
          <w:sz w:val="28"/>
          <w:szCs w:val="28"/>
        </w:rPr>
      </w:pPr>
      <w:r w:rsidRPr="00FE361E">
        <w:rPr>
          <w:rFonts w:cs="Arial"/>
          <w:sz w:val="28"/>
          <w:szCs w:val="28"/>
          <w:lang w:val="es-ES"/>
        </w:rPr>
        <w:t xml:space="preserve">Al Instituto Michoacano de Transparencia, Acceso a la Información y Protección de Datos Personales, que dentro de un plazo </w:t>
      </w:r>
      <w:r w:rsidRPr="00730440">
        <w:rPr>
          <w:rFonts w:cs="Arial"/>
          <w:sz w:val="28"/>
          <w:szCs w:val="28"/>
          <w:lang w:val="es-ES"/>
        </w:rPr>
        <w:t xml:space="preserve">de </w:t>
      </w:r>
      <w:r w:rsidR="004468DF" w:rsidRPr="00730440">
        <w:rPr>
          <w:rFonts w:cs="Arial"/>
          <w:sz w:val="28"/>
          <w:szCs w:val="28"/>
          <w:lang w:val="es-ES"/>
        </w:rPr>
        <w:t>noventa</w:t>
      </w:r>
      <w:r w:rsidRPr="00730440">
        <w:rPr>
          <w:rFonts w:cs="Arial"/>
          <w:sz w:val="28"/>
          <w:szCs w:val="28"/>
          <w:lang w:val="es-ES"/>
        </w:rPr>
        <w:t xml:space="preserve"> días, contados a partir de que se le notifique la resolución, emita los lineamientos a que se refiere la Ley General y los publique en el periódico oficial del Estado; y</w:t>
      </w:r>
    </w:p>
    <w:p w:rsidR="00FE361E" w:rsidRPr="00730440" w:rsidRDefault="00FE361E" w:rsidP="00FE361E">
      <w:pPr>
        <w:pStyle w:val="corte4fondoCar"/>
        <w:rPr>
          <w:rFonts w:cs="Arial"/>
          <w:sz w:val="28"/>
          <w:szCs w:val="28"/>
        </w:rPr>
      </w:pPr>
    </w:p>
    <w:p w:rsidR="00FE361E" w:rsidRPr="00FE361E" w:rsidRDefault="00FE361E" w:rsidP="00FE361E">
      <w:pPr>
        <w:pStyle w:val="corte4fondoCar"/>
        <w:numPr>
          <w:ilvl w:val="0"/>
          <w:numId w:val="13"/>
        </w:numPr>
        <w:rPr>
          <w:rFonts w:cs="Arial"/>
          <w:sz w:val="28"/>
          <w:szCs w:val="28"/>
        </w:rPr>
      </w:pPr>
      <w:r w:rsidRPr="00730440">
        <w:rPr>
          <w:rFonts w:cs="Arial"/>
          <w:sz w:val="28"/>
          <w:szCs w:val="28"/>
        </w:rPr>
        <w:t xml:space="preserve">A los </w:t>
      </w:r>
      <w:r w:rsidRPr="00730440">
        <w:rPr>
          <w:rFonts w:cs="Arial"/>
          <w:sz w:val="28"/>
          <w:szCs w:val="28"/>
          <w:lang w:val="es-ES"/>
        </w:rPr>
        <w:t xml:space="preserve">sujetos obligados en Michoacán, tramiten, expidan o modifiquen su normatividad interna a más tardar dentro de los </w:t>
      </w:r>
      <w:r w:rsidR="004468DF" w:rsidRPr="00730440">
        <w:rPr>
          <w:rFonts w:cs="Arial"/>
          <w:sz w:val="28"/>
          <w:szCs w:val="28"/>
          <w:lang w:val="es-ES"/>
        </w:rPr>
        <w:lastRenderedPageBreak/>
        <w:t>ciento veinte</w:t>
      </w:r>
      <w:r w:rsidRPr="00730440">
        <w:rPr>
          <w:rFonts w:cs="Arial"/>
          <w:sz w:val="28"/>
          <w:szCs w:val="28"/>
          <w:lang w:val="es-ES"/>
        </w:rPr>
        <w:t xml:space="preserve"> días naturales siguientes</w:t>
      </w:r>
      <w:r w:rsidRPr="00FE361E">
        <w:rPr>
          <w:rFonts w:cs="Arial"/>
          <w:sz w:val="28"/>
          <w:szCs w:val="28"/>
          <w:lang w:val="es-ES"/>
        </w:rPr>
        <w:t xml:space="preserve"> a la publicación de esta sentencia en el Diario Oficial de la Federación.</w:t>
      </w:r>
    </w:p>
    <w:p w:rsidR="00427E46" w:rsidRDefault="00427E46" w:rsidP="00587A0F">
      <w:pPr>
        <w:pStyle w:val="corte4fondoCar"/>
        <w:ind w:firstLine="0"/>
        <w:contextualSpacing/>
        <w:rPr>
          <w:rFonts w:cs="Arial"/>
          <w:sz w:val="28"/>
          <w:szCs w:val="28"/>
        </w:rPr>
      </w:pPr>
    </w:p>
    <w:p w:rsidR="00835298" w:rsidRDefault="004468DF" w:rsidP="00587A0F">
      <w:pPr>
        <w:pStyle w:val="corte4fondoCar"/>
        <w:ind w:firstLine="0"/>
        <w:contextualSpacing/>
        <w:rPr>
          <w:rFonts w:cs="Arial"/>
          <w:bCs/>
          <w:sz w:val="28"/>
          <w:szCs w:val="28"/>
        </w:rPr>
      </w:pPr>
      <w:r>
        <w:rPr>
          <w:rFonts w:cs="Arial"/>
          <w:sz w:val="28"/>
          <w:szCs w:val="28"/>
        </w:rPr>
        <w:t xml:space="preserve">Al respecto, </w:t>
      </w:r>
      <w:r w:rsidR="00AD52A7">
        <w:rPr>
          <w:rFonts w:cs="Arial"/>
          <w:sz w:val="28"/>
          <w:szCs w:val="28"/>
        </w:rPr>
        <w:t>comparto</w:t>
      </w:r>
      <w:r>
        <w:rPr>
          <w:rFonts w:cs="Arial"/>
          <w:sz w:val="28"/>
          <w:szCs w:val="28"/>
        </w:rPr>
        <w:t xml:space="preserve"> la invalidez de </w:t>
      </w:r>
      <w:r w:rsidRPr="00E3351B">
        <w:rPr>
          <w:rFonts w:cs="Arial"/>
          <w:sz w:val="28"/>
          <w:szCs w:val="28"/>
        </w:rPr>
        <w:t>artículos Cuarto y Quinto Transitorios</w:t>
      </w:r>
      <w:r>
        <w:rPr>
          <w:rFonts w:cs="Arial"/>
          <w:sz w:val="28"/>
          <w:szCs w:val="28"/>
        </w:rPr>
        <w:t xml:space="preserve"> </w:t>
      </w:r>
      <w:r>
        <w:rPr>
          <w:rFonts w:cs="Arial"/>
          <w:bCs/>
          <w:sz w:val="28"/>
          <w:szCs w:val="28"/>
        </w:rPr>
        <w:t xml:space="preserve">de la Ley de Protección de Datos Personales en Posesión de Sujetos Obligados del Estado de Michoacán de Ocampo, pues como concluyó el Pleno de este Alto Tribunal, </w:t>
      </w:r>
      <w:r w:rsidR="00AD52A7">
        <w:rPr>
          <w:rFonts w:cs="Arial"/>
          <w:bCs/>
          <w:sz w:val="28"/>
          <w:szCs w:val="28"/>
        </w:rPr>
        <w:t>en ambos casos el legislador michoacano extendió el plazo previsto en los diversos artículos Quinto y Séptimo Transitorios de la Ley General.</w:t>
      </w:r>
    </w:p>
    <w:p w:rsidR="00AD52A7" w:rsidRDefault="00AD52A7" w:rsidP="00587A0F">
      <w:pPr>
        <w:pStyle w:val="corte4fondoCar"/>
        <w:ind w:firstLine="0"/>
        <w:contextualSpacing/>
        <w:rPr>
          <w:rFonts w:cs="Arial"/>
          <w:bCs/>
          <w:sz w:val="28"/>
          <w:szCs w:val="28"/>
        </w:rPr>
      </w:pPr>
    </w:p>
    <w:p w:rsidR="00B874F4" w:rsidRDefault="002D6A8A" w:rsidP="00B874F4">
      <w:pPr>
        <w:pStyle w:val="corte4fondoCar"/>
        <w:ind w:firstLine="0"/>
        <w:contextualSpacing/>
        <w:rPr>
          <w:rFonts w:cs="Arial"/>
          <w:sz w:val="28"/>
          <w:szCs w:val="28"/>
          <w:lang w:val="es-ES"/>
        </w:rPr>
      </w:pPr>
      <w:r>
        <w:rPr>
          <w:rFonts w:cs="Arial"/>
          <w:bCs/>
          <w:sz w:val="28"/>
          <w:szCs w:val="28"/>
        </w:rPr>
        <w:t xml:space="preserve">Asimismo, </w:t>
      </w:r>
      <w:r w:rsidR="00AD52A7">
        <w:rPr>
          <w:rFonts w:cs="Arial"/>
          <w:bCs/>
          <w:sz w:val="28"/>
          <w:szCs w:val="28"/>
        </w:rPr>
        <w:t xml:space="preserve">convengo en que la invalidez decretada debe surtir efectos a partir del día siguiente a que se notifiquen los puntos resolutivos de esta sentencia al Congreso local; </w:t>
      </w:r>
      <w:r w:rsidR="00730440" w:rsidRPr="00AD52A7">
        <w:rPr>
          <w:rFonts w:cs="Arial"/>
          <w:sz w:val="28"/>
          <w:szCs w:val="28"/>
        </w:rPr>
        <w:t xml:space="preserve">sin embargo, </w:t>
      </w:r>
      <w:r w:rsidR="00730440" w:rsidRPr="00AD52A7">
        <w:rPr>
          <w:rFonts w:cs="Arial"/>
          <w:b/>
          <w:sz w:val="28"/>
          <w:szCs w:val="28"/>
        </w:rPr>
        <w:t>no estoy de acuerdo con el resto de efectos que se</w:t>
      </w:r>
      <w:r w:rsidR="00AD52A7">
        <w:rPr>
          <w:rFonts w:cs="Arial"/>
          <w:b/>
          <w:sz w:val="28"/>
          <w:szCs w:val="28"/>
        </w:rPr>
        <w:t xml:space="preserve"> fijaron por el Pleno</w:t>
      </w:r>
      <w:r w:rsidR="00AD52A7" w:rsidRPr="00AD52A7">
        <w:rPr>
          <w:rFonts w:cs="Arial"/>
          <w:sz w:val="28"/>
          <w:szCs w:val="28"/>
        </w:rPr>
        <w:t>, consistentes en</w:t>
      </w:r>
      <w:r w:rsidR="00AD52A7">
        <w:rPr>
          <w:rFonts w:cs="Arial"/>
          <w:b/>
          <w:sz w:val="28"/>
          <w:szCs w:val="28"/>
        </w:rPr>
        <w:t xml:space="preserve"> </w:t>
      </w:r>
      <w:r w:rsidR="00730440">
        <w:rPr>
          <w:rFonts w:cs="Arial"/>
          <w:sz w:val="28"/>
          <w:szCs w:val="28"/>
        </w:rPr>
        <w:t xml:space="preserve">ordenar al órgano garante de la transparencia y a los sujetos obligados en Michoacán para que, dentro de los plazos </w:t>
      </w:r>
      <w:r w:rsidR="00AD52A7">
        <w:rPr>
          <w:rFonts w:cs="Arial"/>
          <w:sz w:val="28"/>
          <w:szCs w:val="28"/>
        </w:rPr>
        <w:t>de noventa y ciento veinte días, respe</w:t>
      </w:r>
      <w:r w:rsidR="00B874F4">
        <w:rPr>
          <w:rFonts w:cs="Arial"/>
          <w:sz w:val="28"/>
          <w:szCs w:val="28"/>
        </w:rPr>
        <w:t xml:space="preserve">ctivamente, den cumplimiento a lo ordenado en la Ley General y emitan los lineamientos correspondientes (órgano garante) y </w:t>
      </w:r>
      <w:r w:rsidR="00B874F4" w:rsidRPr="00730440">
        <w:rPr>
          <w:rFonts w:cs="Arial"/>
          <w:sz w:val="28"/>
          <w:szCs w:val="28"/>
          <w:lang w:val="es-ES"/>
        </w:rPr>
        <w:t>tramiten, expidan o modifiquen su normatividad interna</w:t>
      </w:r>
      <w:r w:rsidR="00B874F4">
        <w:rPr>
          <w:rFonts w:cs="Arial"/>
          <w:sz w:val="28"/>
          <w:szCs w:val="28"/>
          <w:lang w:val="es-ES"/>
        </w:rPr>
        <w:t xml:space="preserve"> (sujetos obligados).</w:t>
      </w:r>
    </w:p>
    <w:p w:rsidR="00B874F4" w:rsidRDefault="00B874F4" w:rsidP="00B874F4">
      <w:pPr>
        <w:pStyle w:val="corte4fondoCar"/>
        <w:ind w:firstLine="0"/>
        <w:contextualSpacing/>
        <w:rPr>
          <w:rFonts w:cs="Arial"/>
          <w:sz w:val="28"/>
          <w:szCs w:val="28"/>
          <w:lang w:val="es-ES"/>
        </w:rPr>
      </w:pPr>
    </w:p>
    <w:p w:rsidR="00730440" w:rsidRPr="00B874F4" w:rsidRDefault="00730440" w:rsidP="00B874F4">
      <w:pPr>
        <w:pStyle w:val="corte4fondoCar"/>
        <w:ind w:firstLine="0"/>
        <w:contextualSpacing/>
        <w:rPr>
          <w:rFonts w:cs="Arial"/>
          <w:sz w:val="28"/>
          <w:szCs w:val="28"/>
        </w:rPr>
      </w:pPr>
      <w:r>
        <w:rPr>
          <w:rFonts w:cs="Arial"/>
          <w:bCs/>
          <w:sz w:val="28"/>
          <w:szCs w:val="28"/>
        </w:rPr>
        <w:t xml:space="preserve">Lo anterior, porque </w:t>
      </w:r>
      <w:r w:rsidR="00B874F4">
        <w:rPr>
          <w:rFonts w:cs="Arial"/>
          <w:bCs/>
          <w:sz w:val="28"/>
          <w:szCs w:val="28"/>
        </w:rPr>
        <w:t xml:space="preserve">desde mi punto de vista, en este caso bastaba con declarar la invalidez de las normas cuestionadas para restablecer el orden constitucional.  En cambio, </w:t>
      </w:r>
      <w:r>
        <w:rPr>
          <w:rFonts w:cs="Arial"/>
          <w:bCs/>
          <w:sz w:val="28"/>
          <w:szCs w:val="28"/>
        </w:rPr>
        <w:t xml:space="preserve">a través de estos amplios </w:t>
      </w:r>
      <w:r w:rsidRPr="00B874F4">
        <w:rPr>
          <w:rFonts w:cs="Arial"/>
          <w:bCs/>
          <w:sz w:val="28"/>
          <w:szCs w:val="28"/>
        </w:rPr>
        <w:t>efectos, lo que en realidad se</w:t>
      </w:r>
      <w:r w:rsidR="00B874F4">
        <w:rPr>
          <w:rFonts w:cs="Arial"/>
          <w:bCs/>
          <w:sz w:val="28"/>
          <w:szCs w:val="28"/>
        </w:rPr>
        <w:t xml:space="preserve"> genera</w:t>
      </w:r>
      <w:r w:rsidRPr="00B874F4">
        <w:rPr>
          <w:rFonts w:cs="Arial"/>
          <w:bCs/>
          <w:sz w:val="28"/>
          <w:szCs w:val="28"/>
        </w:rPr>
        <w:t xml:space="preserve"> es ampliar el plazo que está previsto e</w:t>
      </w:r>
      <w:r>
        <w:rPr>
          <w:rFonts w:cs="Arial"/>
          <w:bCs/>
          <w:sz w:val="28"/>
          <w:szCs w:val="28"/>
        </w:rPr>
        <w:t xml:space="preserve">n los artículos transitorios de la Ley local y de la </w:t>
      </w:r>
      <w:r>
        <w:rPr>
          <w:rFonts w:cs="Arial"/>
          <w:sz w:val="28"/>
          <w:szCs w:val="28"/>
        </w:rPr>
        <w:t xml:space="preserve">Ley General </w:t>
      </w:r>
      <w:r w:rsidRPr="00C07DF3">
        <w:rPr>
          <w:rFonts w:cs="Arial"/>
          <w:sz w:val="28"/>
          <w:szCs w:val="28"/>
          <w:lang w:val="es-ES"/>
        </w:rPr>
        <w:t>de Protección de Datos Personales en Posesión de Sujetos Obligados</w:t>
      </w:r>
      <w:r>
        <w:rPr>
          <w:rFonts w:cs="Arial"/>
          <w:sz w:val="28"/>
          <w:szCs w:val="28"/>
          <w:lang w:val="es-ES"/>
        </w:rPr>
        <w:t xml:space="preserve"> en </w:t>
      </w:r>
      <w:r w:rsidR="00B874F4">
        <w:rPr>
          <w:rFonts w:cs="Arial"/>
          <w:sz w:val="28"/>
          <w:szCs w:val="28"/>
          <w:lang w:val="es-ES"/>
        </w:rPr>
        <w:t>noventa</w:t>
      </w:r>
      <w:r>
        <w:rPr>
          <w:rFonts w:cs="Arial"/>
          <w:sz w:val="28"/>
          <w:szCs w:val="28"/>
          <w:lang w:val="es-ES"/>
        </w:rPr>
        <w:t xml:space="preserve"> días adicionales</w:t>
      </w:r>
      <w:r w:rsidR="00B874F4">
        <w:rPr>
          <w:rFonts w:cs="Arial"/>
          <w:sz w:val="28"/>
          <w:szCs w:val="28"/>
          <w:lang w:val="es-ES"/>
        </w:rPr>
        <w:t xml:space="preserve"> (para el Instituto local) y en ciento veinte</w:t>
      </w:r>
      <w:r>
        <w:rPr>
          <w:rFonts w:cs="Arial"/>
          <w:sz w:val="28"/>
          <w:szCs w:val="28"/>
          <w:lang w:val="es-ES"/>
        </w:rPr>
        <w:t xml:space="preserve"> días más</w:t>
      </w:r>
      <w:r w:rsidR="00B874F4">
        <w:rPr>
          <w:rFonts w:cs="Arial"/>
          <w:sz w:val="28"/>
          <w:szCs w:val="28"/>
          <w:lang w:val="es-ES"/>
        </w:rPr>
        <w:t xml:space="preserve"> (para los sujetos obligados); situación que considero, es contraria a la finalidad pretendida en la sentencia. </w:t>
      </w:r>
    </w:p>
    <w:p w:rsidR="00093615" w:rsidRDefault="00093615" w:rsidP="00D3432F">
      <w:pPr>
        <w:pStyle w:val="Estilo"/>
        <w:spacing w:line="360" w:lineRule="auto"/>
        <w:rPr>
          <w:rFonts w:cs="Arial"/>
          <w:sz w:val="28"/>
          <w:szCs w:val="28"/>
        </w:rPr>
      </w:pPr>
    </w:p>
    <w:p w:rsidR="00093615" w:rsidRPr="00D3432F" w:rsidRDefault="001C0826" w:rsidP="00D3432F">
      <w:pPr>
        <w:pStyle w:val="Estilo"/>
        <w:spacing w:line="360" w:lineRule="auto"/>
        <w:rPr>
          <w:rFonts w:cs="Arial"/>
          <w:sz w:val="28"/>
          <w:szCs w:val="28"/>
        </w:rPr>
      </w:pPr>
      <w:r>
        <w:rPr>
          <w:rFonts w:cs="Arial"/>
          <w:sz w:val="28"/>
          <w:szCs w:val="28"/>
        </w:rPr>
        <w:lastRenderedPageBreak/>
        <w:t>De esta manera, c</w:t>
      </w:r>
      <w:r w:rsidR="00093615">
        <w:rPr>
          <w:rFonts w:cs="Arial"/>
          <w:sz w:val="28"/>
          <w:szCs w:val="28"/>
        </w:rPr>
        <w:t>on base en las consideraciones</w:t>
      </w:r>
      <w:r>
        <w:rPr>
          <w:rFonts w:cs="Arial"/>
          <w:sz w:val="28"/>
          <w:szCs w:val="28"/>
        </w:rPr>
        <w:t xml:space="preserve"> de este voto concurrente y con los matices antes anunciados</w:t>
      </w:r>
      <w:r w:rsidR="00093615">
        <w:rPr>
          <w:rFonts w:cs="Arial"/>
          <w:sz w:val="28"/>
          <w:szCs w:val="28"/>
        </w:rPr>
        <w:t xml:space="preserve">, estoy de acuerdo </w:t>
      </w:r>
      <w:r>
        <w:rPr>
          <w:rFonts w:cs="Arial"/>
          <w:sz w:val="28"/>
          <w:szCs w:val="28"/>
        </w:rPr>
        <w:t>con la sentencia del Pleno de la Suprema Corte de Justicia de la Nación.</w:t>
      </w:r>
    </w:p>
    <w:p w:rsidR="0076471B" w:rsidRPr="00D3432F" w:rsidRDefault="0076471B" w:rsidP="00D3432F">
      <w:pPr>
        <w:pStyle w:val="corte4fondo"/>
        <w:ind w:firstLine="0"/>
        <w:contextualSpacing/>
        <w:rPr>
          <w:rFonts w:cs="Arial"/>
          <w:sz w:val="28"/>
          <w:szCs w:val="28"/>
        </w:rPr>
      </w:pPr>
    </w:p>
    <w:p w:rsidR="0063515B" w:rsidRPr="00D3432F" w:rsidRDefault="001C0826" w:rsidP="00D3432F">
      <w:pPr>
        <w:pStyle w:val="corte4fondoCar"/>
        <w:ind w:firstLine="708"/>
        <w:contextualSpacing/>
        <w:jc w:val="center"/>
        <w:rPr>
          <w:rFonts w:cs="Arial"/>
          <w:b/>
          <w:sz w:val="28"/>
          <w:szCs w:val="28"/>
          <w:lang w:val="es-MX"/>
        </w:rPr>
      </w:pPr>
      <w:r>
        <w:rPr>
          <w:rFonts w:cs="Arial"/>
          <w:b/>
          <w:sz w:val="28"/>
          <w:szCs w:val="28"/>
          <w:lang w:val="es-MX"/>
        </w:rPr>
        <w:t>MINISTRO</w:t>
      </w:r>
    </w:p>
    <w:p w:rsidR="0063515B" w:rsidRPr="00D3432F" w:rsidRDefault="0063515B" w:rsidP="00D3432F">
      <w:pPr>
        <w:pStyle w:val="corte4fondoCar"/>
        <w:ind w:firstLine="708"/>
        <w:contextualSpacing/>
        <w:jc w:val="center"/>
        <w:rPr>
          <w:rFonts w:cs="Arial"/>
          <w:b/>
          <w:sz w:val="28"/>
          <w:szCs w:val="28"/>
          <w:lang w:val="es-MX"/>
        </w:rPr>
      </w:pPr>
    </w:p>
    <w:p w:rsidR="0063515B" w:rsidRPr="00D3432F" w:rsidRDefault="0063515B" w:rsidP="00D3432F">
      <w:pPr>
        <w:pStyle w:val="corte4fondoCar"/>
        <w:ind w:firstLine="708"/>
        <w:contextualSpacing/>
        <w:jc w:val="center"/>
        <w:rPr>
          <w:rFonts w:cs="Arial"/>
          <w:b/>
          <w:sz w:val="28"/>
          <w:szCs w:val="28"/>
          <w:lang w:val="es-MX"/>
        </w:rPr>
      </w:pPr>
    </w:p>
    <w:p w:rsidR="00667C6F" w:rsidRPr="00D3432F" w:rsidRDefault="00667C6F" w:rsidP="00D3432F">
      <w:pPr>
        <w:pStyle w:val="corte4fondoCar"/>
        <w:ind w:firstLine="708"/>
        <w:contextualSpacing/>
        <w:jc w:val="center"/>
        <w:rPr>
          <w:rFonts w:cs="Arial"/>
          <w:b/>
          <w:sz w:val="28"/>
          <w:szCs w:val="28"/>
          <w:lang w:val="es-MX"/>
        </w:rPr>
      </w:pPr>
    </w:p>
    <w:p w:rsidR="0063515B" w:rsidRPr="00D3432F" w:rsidRDefault="0063515B" w:rsidP="00D3432F">
      <w:pPr>
        <w:pStyle w:val="corte4fondoCar"/>
        <w:ind w:firstLine="708"/>
        <w:contextualSpacing/>
        <w:jc w:val="center"/>
        <w:rPr>
          <w:rFonts w:cs="Arial"/>
          <w:b/>
          <w:sz w:val="28"/>
          <w:szCs w:val="28"/>
          <w:lang w:val="es-MX"/>
        </w:rPr>
      </w:pPr>
      <w:r w:rsidRPr="00D3432F">
        <w:rPr>
          <w:rFonts w:cs="Arial"/>
          <w:b/>
          <w:sz w:val="28"/>
          <w:szCs w:val="28"/>
          <w:lang w:val="es-MX"/>
        </w:rPr>
        <w:t>LUIS MARÍA AGUILAR MORALES</w:t>
      </w:r>
    </w:p>
    <w:p w:rsidR="0031429E" w:rsidRPr="00D3432F" w:rsidRDefault="0031429E" w:rsidP="00D3432F">
      <w:pPr>
        <w:pStyle w:val="corte4fondo"/>
        <w:ind w:firstLine="0"/>
        <w:contextualSpacing/>
        <w:rPr>
          <w:rFonts w:cs="Arial"/>
          <w:i/>
          <w:sz w:val="28"/>
          <w:szCs w:val="28"/>
        </w:rPr>
      </w:pPr>
    </w:p>
    <w:p w:rsidR="0031429E" w:rsidRPr="00D3432F" w:rsidRDefault="0031429E" w:rsidP="00D3432F">
      <w:pPr>
        <w:pStyle w:val="corte4fondo"/>
        <w:ind w:firstLine="0"/>
        <w:contextualSpacing/>
        <w:rPr>
          <w:rFonts w:cs="Arial"/>
          <w:i/>
          <w:sz w:val="28"/>
          <w:szCs w:val="28"/>
        </w:rPr>
      </w:pPr>
    </w:p>
    <w:p w:rsidR="0031429E" w:rsidRPr="00587A0F" w:rsidRDefault="0031429E" w:rsidP="00587A0F">
      <w:pPr>
        <w:pStyle w:val="corte4fondo"/>
        <w:ind w:firstLine="0"/>
        <w:contextualSpacing/>
        <w:rPr>
          <w:rFonts w:cs="Arial"/>
          <w:i/>
          <w:sz w:val="28"/>
          <w:szCs w:val="28"/>
        </w:rPr>
      </w:pPr>
    </w:p>
    <w:p w:rsidR="0063515B" w:rsidRPr="00587A0F" w:rsidRDefault="0063515B" w:rsidP="00587A0F">
      <w:pPr>
        <w:pStyle w:val="corte4fondo"/>
        <w:ind w:firstLine="0"/>
        <w:contextualSpacing/>
        <w:rPr>
          <w:rFonts w:cs="Arial"/>
          <w:sz w:val="21"/>
        </w:rPr>
      </w:pPr>
      <w:r w:rsidRPr="00587A0F">
        <w:rPr>
          <w:rFonts w:cs="Arial"/>
          <w:sz w:val="21"/>
        </w:rPr>
        <w:t>LATO</w:t>
      </w:r>
    </w:p>
    <w:sectPr w:rsidR="0063515B" w:rsidRPr="00587A0F" w:rsidSect="003608AB">
      <w:headerReference w:type="even" r:id="rId8"/>
      <w:headerReference w:type="default" r:id="rId9"/>
      <w:footerReference w:type="even" r:id="rId10"/>
      <w:footerReference w:type="default" r:id="rId11"/>
      <w:pgSz w:w="12242" w:h="19442" w:code="10001"/>
      <w:pgMar w:top="2552" w:right="1701" w:bottom="1560" w:left="1701" w:header="1134" w:footer="73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43D" w:rsidRDefault="0022343D" w:rsidP="0063515B">
      <w:r>
        <w:separator/>
      </w:r>
    </w:p>
  </w:endnote>
  <w:endnote w:type="continuationSeparator" w:id="0">
    <w:p w:rsidR="0022343D" w:rsidRDefault="0022343D" w:rsidP="0063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682398120"/>
      <w:docPartObj>
        <w:docPartGallery w:val="Page Numbers (Bottom of Page)"/>
        <w:docPartUnique/>
      </w:docPartObj>
    </w:sdtPr>
    <w:sdtEndPr>
      <w:rPr>
        <w:sz w:val="24"/>
        <w:szCs w:val="24"/>
      </w:rPr>
    </w:sdtEndPr>
    <w:sdtContent>
      <w:p w:rsidR="00B55D14" w:rsidRPr="00707DE1" w:rsidRDefault="00277B3F" w:rsidP="00726B7B">
        <w:pPr>
          <w:pStyle w:val="Piedepgina"/>
          <w:rPr>
            <w:rFonts w:ascii="Arial" w:hAnsi="Arial" w:cs="Arial"/>
            <w:sz w:val="24"/>
            <w:szCs w:val="24"/>
          </w:rPr>
        </w:pPr>
        <w:r w:rsidRPr="00707DE1">
          <w:rPr>
            <w:rFonts w:ascii="Arial" w:hAnsi="Arial" w:cs="Arial"/>
            <w:sz w:val="24"/>
            <w:szCs w:val="24"/>
          </w:rPr>
          <w:fldChar w:fldCharType="begin"/>
        </w:r>
        <w:r w:rsidRPr="00707DE1">
          <w:rPr>
            <w:rFonts w:ascii="Arial" w:hAnsi="Arial" w:cs="Arial"/>
            <w:sz w:val="24"/>
            <w:szCs w:val="24"/>
          </w:rPr>
          <w:instrText>PAGE   \* MERGEFORMAT</w:instrText>
        </w:r>
        <w:r w:rsidRPr="00707DE1">
          <w:rPr>
            <w:rFonts w:ascii="Arial" w:hAnsi="Arial" w:cs="Arial"/>
            <w:sz w:val="24"/>
            <w:szCs w:val="24"/>
          </w:rPr>
          <w:fldChar w:fldCharType="separate"/>
        </w:r>
        <w:r w:rsidR="00286BBE" w:rsidRPr="00286BBE">
          <w:rPr>
            <w:rFonts w:ascii="Arial" w:hAnsi="Arial" w:cs="Arial"/>
            <w:noProof/>
            <w:sz w:val="24"/>
            <w:szCs w:val="24"/>
            <w:lang w:val="es-ES"/>
          </w:rPr>
          <w:t>4</w:t>
        </w:r>
        <w:r w:rsidRPr="00707DE1">
          <w:rPr>
            <w:rFonts w:ascii="Arial" w:hAnsi="Arial" w:cs="Arial"/>
            <w:sz w:val="24"/>
            <w:szCs w:val="24"/>
          </w:rPr>
          <w:fldChar w:fldCharType="end"/>
        </w:r>
      </w:p>
    </w:sdtContent>
  </w:sdt>
  <w:p w:rsidR="00B55D14" w:rsidRPr="00297B3C" w:rsidRDefault="0022343D" w:rsidP="00297B3C">
    <w:pPr>
      <w:pStyle w:val="Piedepgina"/>
      <w:jc w:val="both"/>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075905"/>
      <w:docPartObj>
        <w:docPartGallery w:val="Page Numbers (Bottom of Page)"/>
        <w:docPartUnique/>
      </w:docPartObj>
    </w:sdtPr>
    <w:sdtEndPr>
      <w:rPr>
        <w:rFonts w:ascii="Arial" w:hAnsi="Arial" w:cs="Arial"/>
        <w:sz w:val="24"/>
        <w:szCs w:val="24"/>
      </w:rPr>
    </w:sdtEndPr>
    <w:sdtContent>
      <w:p w:rsidR="00B55D14" w:rsidRPr="00667C6F" w:rsidRDefault="00277B3F" w:rsidP="00726B7B">
        <w:pPr>
          <w:pStyle w:val="Piedepgina"/>
          <w:jc w:val="right"/>
          <w:rPr>
            <w:rFonts w:ascii="Arial" w:hAnsi="Arial" w:cs="Arial"/>
            <w:sz w:val="24"/>
            <w:szCs w:val="24"/>
          </w:rPr>
        </w:pPr>
        <w:r w:rsidRPr="00667C6F">
          <w:rPr>
            <w:rFonts w:ascii="Arial" w:hAnsi="Arial" w:cs="Arial"/>
            <w:sz w:val="24"/>
            <w:szCs w:val="24"/>
          </w:rPr>
          <w:fldChar w:fldCharType="begin"/>
        </w:r>
        <w:r w:rsidRPr="00667C6F">
          <w:rPr>
            <w:rFonts w:ascii="Arial" w:hAnsi="Arial" w:cs="Arial"/>
            <w:sz w:val="24"/>
            <w:szCs w:val="24"/>
          </w:rPr>
          <w:instrText>PAGE   \* MERGEFORMAT</w:instrText>
        </w:r>
        <w:r w:rsidRPr="00667C6F">
          <w:rPr>
            <w:rFonts w:ascii="Arial" w:hAnsi="Arial" w:cs="Arial"/>
            <w:sz w:val="24"/>
            <w:szCs w:val="24"/>
          </w:rPr>
          <w:fldChar w:fldCharType="separate"/>
        </w:r>
        <w:r w:rsidR="00286BBE" w:rsidRPr="00286BBE">
          <w:rPr>
            <w:rFonts w:ascii="Arial" w:hAnsi="Arial" w:cs="Arial"/>
            <w:noProof/>
            <w:sz w:val="24"/>
            <w:szCs w:val="24"/>
            <w:lang w:val="es-ES"/>
          </w:rPr>
          <w:t>3</w:t>
        </w:r>
        <w:r w:rsidRPr="00667C6F">
          <w:rPr>
            <w:rFonts w:ascii="Arial" w:hAnsi="Arial" w:cs="Arial"/>
            <w:sz w:val="24"/>
            <w:szCs w:val="24"/>
          </w:rPr>
          <w:fldChar w:fldCharType="end"/>
        </w:r>
      </w:p>
    </w:sdtContent>
  </w:sdt>
  <w:p w:rsidR="00B55D14" w:rsidRDefault="002234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43D" w:rsidRDefault="0022343D" w:rsidP="0063515B">
      <w:r>
        <w:separator/>
      </w:r>
    </w:p>
  </w:footnote>
  <w:footnote w:type="continuationSeparator" w:id="0">
    <w:p w:rsidR="0022343D" w:rsidRDefault="0022343D" w:rsidP="0063515B">
      <w:r>
        <w:continuationSeparator/>
      </w:r>
    </w:p>
  </w:footnote>
  <w:footnote w:id="1">
    <w:p w:rsidR="00891971" w:rsidRPr="00721121" w:rsidRDefault="00891971" w:rsidP="00891971">
      <w:pPr>
        <w:pStyle w:val="Estilo"/>
        <w:rPr>
          <w:rFonts w:cs="Arial"/>
          <w:szCs w:val="24"/>
        </w:rPr>
      </w:pPr>
      <w:r w:rsidRPr="00721121">
        <w:rPr>
          <w:rStyle w:val="Refdenotaalpie"/>
          <w:rFonts w:cs="Arial"/>
          <w:szCs w:val="24"/>
        </w:rPr>
        <w:footnoteRef/>
      </w:r>
      <w:r w:rsidRPr="00721121">
        <w:rPr>
          <w:rFonts w:cs="Arial"/>
          <w:szCs w:val="24"/>
        </w:rPr>
        <w:t xml:space="preserve"> “</w:t>
      </w:r>
      <w:r w:rsidRPr="00721121">
        <w:rPr>
          <w:rFonts w:cs="Arial"/>
          <w:b/>
          <w:szCs w:val="24"/>
        </w:rPr>
        <w:t>CUARTO</w:t>
      </w:r>
      <w:r w:rsidRPr="00721121">
        <w:rPr>
          <w:rFonts w:cs="Arial"/>
          <w:szCs w:val="24"/>
        </w:rPr>
        <w:t xml:space="preserve">. El Instituto deberá emitir los lineamientos a que se refiere esta Ley y publicarlos en el Periódico Oficial del Gobierno Constitucional del Estado de Michoacán de Ocampo, </w:t>
      </w:r>
      <w:r w:rsidRPr="00891971">
        <w:rPr>
          <w:rFonts w:cs="Arial"/>
          <w:szCs w:val="24"/>
          <w:u w:val="single"/>
        </w:rPr>
        <w:t>a más tardar en ciento veinte días</w:t>
      </w:r>
      <w:r w:rsidRPr="00721121">
        <w:rPr>
          <w:rFonts w:cs="Arial"/>
          <w:szCs w:val="24"/>
        </w:rPr>
        <w:t xml:space="preserve"> a partir de la entrada en vigor del presente Decreto”.</w:t>
      </w:r>
    </w:p>
  </w:footnote>
  <w:footnote w:id="2">
    <w:p w:rsidR="00891971" w:rsidRPr="00721121" w:rsidRDefault="00891971" w:rsidP="00891971">
      <w:pPr>
        <w:jc w:val="both"/>
        <w:rPr>
          <w:rFonts w:ascii="Arial" w:hAnsi="Arial" w:cs="Arial"/>
          <w:sz w:val="24"/>
          <w:szCs w:val="24"/>
        </w:rPr>
      </w:pPr>
      <w:r w:rsidRPr="00721121">
        <w:rPr>
          <w:rStyle w:val="Refdenotaalpie"/>
          <w:rFonts w:ascii="Arial" w:hAnsi="Arial" w:cs="Arial"/>
          <w:sz w:val="24"/>
          <w:szCs w:val="24"/>
        </w:rPr>
        <w:footnoteRef/>
      </w:r>
      <w:r w:rsidRPr="00721121">
        <w:rPr>
          <w:rFonts w:ascii="Arial" w:hAnsi="Arial" w:cs="Arial"/>
          <w:sz w:val="24"/>
          <w:szCs w:val="24"/>
        </w:rPr>
        <w:t xml:space="preserve"> “</w:t>
      </w:r>
      <w:r w:rsidRPr="00721121">
        <w:rPr>
          <w:rFonts w:ascii="Arial" w:hAnsi="Arial" w:cs="Arial"/>
          <w:b/>
          <w:sz w:val="24"/>
          <w:szCs w:val="24"/>
        </w:rPr>
        <w:t>QUINTO</w:t>
      </w:r>
      <w:r w:rsidRPr="00721121">
        <w:rPr>
          <w:rFonts w:ascii="Arial" w:hAnsi="Arial" w:cs="Arial"/>
          <w:sz w:val="24"/>
          <w:szCs w:val="24"/>
        </w:rPr>
        <w:t xml:space="preserve">. Los sujetos obligados correspondientes deberán tramitar, expedir o modificar su normatividad interna </w:t>
      </w:r>
      <w:r w:rsidRPr="00891971">
        <w:rPr>
          <w:rFonts w:ascii="Arial" w:hAnsi="Arial" w:cs="Arial"/>
          <w:sz w:val="24"/>
          <w:szCs w:val="24"/>
          <w:u w:val="single"/>
        </w:rPr>
        <w:t>a más tardar dentro de los dieciocho meses</w:t>
      </w:r>
      <w:r w:rsidRPr="00721121">
        <w:rPr>
          <w:rFonts w:ascii="Arial" w:hAnsi="Arial" w:cs="Arial"/>
          <w:sz w:val="24"/>
          <w:szCs w:val="24"/>
        </w:rPr>
        <w:t xml:space="preserve"> siguientes a la entrada en vigor de esta Ley”.</w:t>
      </w:r>
    </w:p>
  </w:footnote>
  <w:footnote w:id="3">
    <w:p w:rsidR="00AD52A7" w:rsidRPr="00AD52A7" w:rsidRDefault="00AD52A7" w:rsidP="00AD52A7">
      <w:pPr>
        <w:jc w:val="both"/>
        <w:rPr>
          <w:rFonts w:ascii="Arial" w:hAnsi="Arial" w:cs="Arial"/>
          <w:sz w:val="24"/>
          <w:szCs w:val="24"/>
        </w:rPr>
      </w:pPr>
      <w:r>
        <w:rPr>
          <w:rStyle w:val="Refdenotaalpie"/>
        </w:rPr>
        <w:footnoteRef/>
      </w:r>
      <w:r>
        <w:t xml:space="preserve"> </w:t>
      </w:r>
      <w:r w:rsidRPr="00F3371E">
        <w:rPr>
          <w:rFonts w:ascii="Arial" w:hAnsi="Arial" w:cs="Arial"/>
          <w:sz w:val="24"/>
          <w:szCs w:val="24"/>
        </w:rPr>
        <w:t>En el artículo Quinto Transitorio de la Ley General de Protección de Datos Personales en Posesión de Sujetos Obligados se estableció el plazo de un año, a partir de la entrada en vigor de dicha ley, para que el Instituto y los Organismos garantes emitieran y publicaran los lineamientos a que se refiere esa Ley. Y en el artículo Séptimo Transitorio se otorgó el plazo de dieciocho meses, siguientes a la entrada en vigor de la Ley General, a efecto de que los sujetos obligados correspondientes emitieran, expidieran o modificaran su normatividad interna.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E1" w:rsidRPr="00707DE1" w:rsidRDefault="00707DE1" w:rsidP="00707DE1">
    <w:pPr>
      <w:pStyle w:val="corte4fondo"/>
      <w:spacing w:before="80" w:after="80" w:line="240" w:lineRule="auto"/>
      <w:ind w:left="3686" w:firstLine="0"/>
      <w:rPr>
        <w:rFonts w:ascii="Arial Negrita" w:hAnsi="Arial Negrita" w:cs="Arial Negrita"/>
        <w:b/>
        <w:sz w:val="24"/>
        <w:szCs w:val="24"/>
        <w:lang w:val="es-MX"/>
      </w:rPr>
    </w:pPr>
    <w:r w:rsidRPr="00707DE1">
      <w:rPr>
        <w:rFonts w:ascii="Arial Negrita" w:hAnsi="Arial Negrita" w:cs="Arial Negrita"/>
        <w:noProof/>
        <w:sz w:val="24"/>
        <w:szCs w:val="24"/>
        <w:lang w:val="es-MX"/>
      </w:rPr>
      <mc:AlternateContent>
        <mc:Choice Requires="wps">
          <w:drawing>
            <wp:anchor distT="0" distB="0" distL="114300" distR="114300" simplePos="0" relativeHeight="251661312" behindDoc="1" locked="0" layoutInCell="1" allowOverlap="1" wp14:anchorId="0F1C2239" wp14:editId="45599303">
              <wp:simplePos x="0" y="0"/>
              <wp:positionH relativeFrom="column">
                <wp:posOffset>-720090</wp:posOffset>
              </wp:positionH>
              <wp:positionV relativeFrom="paragraph">
                <wp:posOffset>-398780</wp:posOffset>
              </wp:positionV>
              <wp:extent cx="1885315" cy="1715135"/>
              <wp:effectExtent l="3810" t="1270" r="0" b="0"/>
              <wp:wrapTight wrapText="bothSides">
                <wp:wrapPolygon edited="0">
                  <wp:start x="-102" y="0"/>
                  <wp:lineTo x="-102" y="21496"/>
                  <wp:lineTo x="21600" y="21496"/>
                  <wp:lineTo x="21600" y="0"/>
                  <wp:lineTo x="-102"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4CBDA" id="Rectangle 2" o:spid="_x0000_s1026" style="position:absolute;margin-left:-56.7pt;margin-top:-31.4pt;width:148.45pt;height:13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" stroked="f">
              <w10:wrap type="tight"/>
            </v:rect>
          </w:pict>
        </mc:Fallback>
      </mc:AlternateContent>
    </w:r>
    <w:r w:rsidRPr="00707DE1">
      <w:rPr>
        <w:rFonts w:ascii="Arial Negrita" w:hAnsi="Arial Negrita" w:cs="Arial Negrita"/>
        <w:b/>
        <w:sz w:val="24"/>
        <w:szCs w:val="24"/>
      </w:rPr>
      <w:t>VOTO</w:t>
    </w:r>
    <w:r w:rsidRPr="00707DE1">
      <w:rPr>
        <w:rFonts w:ascii="Arial Negrita" w:eastAsiaTheme="minorHAnsi" w:hAnsi="Arial Negrita" w:cs="Arial Negrita"/>
        <w:caps/>
        <w:sz w:val="24"/>
        <w:szCs w:val="24"/>
        <w:lang w:val="es-MX" w:eastAsia="en-US"/>
      </w:rPr>
      <w:t xml:space="preserve"> </w:t>
    </w:r>
    <w:r w:rsidRPr="00707DE1">
      <w:rPr>
        <w:rFonts w:ascii="Arial Negrita" w:hAnsi="Arial Negrita" w:cs="Arial Negrita"/>
        <w:b/>
        <w:sz w:val="24"/>
        <w:szCs w:val="24"/>
        <w:lang w:val="es-MX"/>
      </w:rPr>
      <w:t xml:space="preserve">CONCURRENTE EN RELACIÓN CON LA </w:t>
    </w:r>
    <w:r w:rsidR="00587A0F" w:rsidRPr="00587A0F">
      <w:rPr>
        <w:rFonts w:ascii="Arial Negrita" w:hAnsi="Arial Negrita" w:cs="Arial Negrita"/>
        <w:b/>
        <w:sz w:val="24"/>
        <w:szCs w:val="24"/>
      </w:rPr>
      <w:t>ACCIÓN DE INCONSTITUCIONALIDAD 15</w:t>
    </w:r>
    <w:r w:rsidR="00427E46">
      <w:rPr>
        <w:rFonts w:ascii="Arial Negrita" w:hAnsi="Arial Negrita" w:cs="Arial Negrita"/>
        <w:b/>
        <w:sz w:val="24"/>
        <w:szCs w:val="24"/>
      </w:rPr>
      <w:t>8</w:t>
    </w:r>
    <w:r w:rsidR="00587A0F" w:rsidRPr="00587A0F">
      <w:rPr>
        <w:rFonts w:ascii="Arial Negrita" w:hAnsi="Arial Negrita" w:cs="Arial Negrita"/>
        <w:b/>
        <w:sz w:val="24"/>
        <w:szCs w:val="24"/>
      </w:rPr>
      <w:t>/2017</w:t>
    </w:r>
    <w:r w:rsidR="00587A0F">
      <w:rPr>
        <w:rFonts w:ascii="Arial Negrita" w:hAnsi="Arial Negrita" w:cs="Arial Negrita"/>
        <w:b/>
        <w:sz w:val="24"/>
        <w:szCs w:val="24"/>
      </w:rPr>
      <w:t>.</w:t>
    </w:r>
  </w:p>
  <w:p w:rsidR="00262237" w:rsidRPr="00707DE1" w:rsidRDefault="0022343D" w:rsidP="00707D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0B" w:rsidRPr="00BF190B" w:rsidRDefault="00277B3F" w:rsidP="00BF190B">
    <w:pPr>
      <w:pStyle w:val="corte4fondo"/>
      <w:spacing w:before="80" w:after="80" w:line="240" w:lineRule="auto"/>
      <w:ind w:left="3686" w:firstLine="0"/>
      <w:rPr>
        <w:rFonts w:ascii="Arial Negrita" w:hAnsi="Arial Negrita" w:cs="Arial"/>
        <w:b/>
        <w:sz w:val="24"/>
        <w:szCs w:val="24"/>
        <w:lang w:val="es-MX"/>
      </w:rPr>
    </w:pPr>
    <w:r w:rsidRPr="0081479A">
      <w:rPr>
        <w:noProof/>
        <w:sz w:val="24"/>
        <w:szCs w:val="24"/>
        <w:lang w:val="es-MX"/>
      </w:rPr>
      <mc:AlternateContent>
        <mc:Choice Requires="wps">
          <w:drawing>
            <wp:anchor distT="0" distB="0" distL="114300" distR="114300" simplePos="0" relativeHeight="251659264" behindDoc="1" locked="0" layoutInCell="1" allowOverlap="1" wp14:anchorId="73497E6C" wp14:editId="6583E028">
              <wp:simplePos x="0" y="0"/>
              <wp:positionH relativeFrom="column">
                <wp:posOffset>-720090</wp:posOffset>
              </wp:positionH>
              <wp:positionV relativeFrom="paragraph">
                <wp:posOffset>-398780</wp:posOffset>
              </wp:positionV>
              <wp:extent cx="1885315" cy="1715135"/>
              <wp:effectExtent l="3810" t="1270" r="0" b="0"/>
              <wp:wrapTight wrapText="bothSides">
                <wp:wrapPolygon edited="0">
                  <wp:start x="-102" y="0"/>
                  <wp:lineTo x="-102" y="21496"/>
                  <wp:lineTo x="21600" y="21496"/>
                  <wp:lineTo x="21600" y="0"/>
                  <wp:lineTo x="-102"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1D79B" id="Rectangle 2" o:spid="_x0000_s1026" style="position:absolute;margin-left:-56.7pt;margin-top:-31.4pt;width:148.45pt;height:1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" stroked="f">
              <w10:wrap type="tight"/>
            </v:rect>
          </w:pict>
        </mc:Fallback>
      </mc:AlternateContent>
    </w:r>
    <w:r w:rsidR="00587A0F" w:rsidRPr="00707DE1">
      <w:rPr>
        <w:rFonts w:ascii="Arial Negrita" w:hAnsi="Arial Negrita" w:cs="Arial Negrita"/>
        <w:b/>
        <w:sz w:val="24"/>
        <w:szCs w:val="24"/>
      </w:rPr>
      <w:t>VOTO</w:t>
    </w:r>
    <w:r w:rsidR="00587A0F" w:rsidRPr="00707DE1">
      <w:rPr>
        <w:rFonts w:ascii="Arial Negrita" w:eastAsiaTheme="minorHAnsi" w:hAnsi="Arial Negrita" w:cs="Arial Negrita"/>
        <w:caps/>
        <w:sz w:val="24"/>
        <w:szCs w:val="24"/>
        <w:lang w:val="es-MX" w:eastAsia="en-US"/>
      </w:rPr>
      <w:t xml:space="preserve"> </w:t>
    </w:r>
    <w:r w:rsidR="00587A0F" w:rsidRPr="00707DE1">
      <w:rPr>
        <w:rFonts w:ascii="Arial Negrita" w:hAnsi="Arial Negrita" w:cs="Arial Negrita"/>
        <w:b/>
        <w:sz w:val="24"/>
        <w:szCs w:val="24"/>
        <w:lang w:val="es-MX"/>
      </w:rPr>
      <w:t xml:space="preserve">CONCURRENTE EN RELACIÓN CON LA </w:t>
    </w:r>
    <w:r w:rsidR="00587A0F" w:rsidRPr="00587A0F">
      <w:rPr>
        <w:rFonts w:ascii="Arial Negrita" w:hAnsi="Arial Negrita" w:cs="Arial Negrita"/>
        <w:b/>
        <w:sz w:val="24"/>
        <w:szCs w:val="24"/>
      </w:rPr>
      <w:t>ACCIÓN DE INCONSTITUCIONALIDAD 15</w:t>
    </w:r>
    <w:r w:rsidR="00427E46">
      <w:rPr>
        <w:rFonts w:ascii="Arial Negrita" w:hAnsi="Arial Negrita" w:cs="Arial Negrita"/>
        <w:b/>
        <w:sz w:val="24"/>
        <w:szCs w:val="24"/>
      </w:rPr>
      <w:t>8</w:t>
    </w:r>
    <w:r w:rsidR="00587A0F" w:rsidRPr="00587A0F">
      <w:rPr>
        <w:rFonts w:ascii="Arial Negrita" w:hAnsi="Arial Negrita" w:cs="Arial Negrita"/>
        <w:b/>
        <w:sz w:val="24"/>
        <w:szCs w:val="24"/>
      </w:rPr>
      <w:t>/2017</w:t>
    </w:r>
    <w:r w:rsidR="00587A0F">
      <w:rPr>
        <w:rFonts w:ascii="Arial Negrita" w:hAnsi="Arial Negrita" w:cs="Arial Negrita"/>
        <w:b/>
        <w:sz w:val="24"/>
        <w:szCs w:val="24"/>
      </w:rPr>
      <w:t>.</w:t>
    </w:r>
    <w:r w:rsidR="00BF190B">
      <w:rPr>
        <w:rFonts w:ascii="Arial Negrita" w:hAnsi="Arial Negrita" w:cs="Arial"/>
        <w:b/>
        <w:sz w:val="24"/>
        <w:szCs w:val="24"/>
        <w:lang w:val="es-MX"/>
      </w:rPr>
      <w:t xml:space="preserve"> </w:t>
    </w:r>
  </w:p>
  <w:p w:rsidR="00262237" w:rsidRDefault="00AB1E62" w:rsidP="00AB1E62">
    <w:pPr>
      <w:pStyle w:val="corte4fondo"/>
      <w:tabs>
        <w:tab w:val="left" w:pos="5250"/>
      </w:tabs>
      <w:spacing w:before="80" w:after="80" w:line="240" w:lineRule="auto"/>
      <w:ind w:left="2160" w:firstLine="0"/>
      <w:rPr>
        <w:rFonts w:ascii="Arial Negrita" w:hAnsi="Arial Negrita" w:cs="Arial"/>
        <w:b/>
        <w:sz w:val="22"/>
        <w:szCs w:val="24"/>
      </w:rPr>
    </w:pPr>
    <w:r>
      <w:rPr>
        <w:rFonts w:ascii="Arial Negrita" w:hAnsi="Arial Negrita" w:cs="Arial"/>
        <w:b/>
        <w:sz w:val="22"/>
        <w:szCs w:val="24"/>
      </w:rPr>
      <w:tab/>
    </w:r>
    <w:r>
      <w:rPr>
        <w:rFonts w:ascii="Arial Negrita" w:hAnsi="Arial Negrita" w:cs="Arial"/>
        <w:b/>
        <w:sz w:val="22"/>
        <w:szCs w:val="24"/>
      </w:rPr>
      <w:tab/>
    </w:r>
    <w:r>
      <w:rPr>
        <w:rFonts w:ascii="Arial Negrita" w:hAnsi="Arial Negrita" w:cs="Arial"/>
        <w:b/>
        <w:sz w:val="22"/>
        <w:szCs w:val="24"/>
      </w:rPr>
      <w:tab/>
    </w:r>
    <w:r>
      <w:rPr>
        <w:rFonts w:ascii="Arial Negrita" w:hAnsi="Arial Negrita" w:cs="Arial"/>
        <w:b/>
        <w:sz w:val="22"/>
        <w:szCs w:val="24"/>
      </w:rPr>
      <w:tab/>
    </w:r>
  </w:p>
  <w:p w:rsidR="00137E7F" w:rsidRDefault="002234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C3382"/>
    <w:multiLevelType w:val="hybridMultilevel"/>
    <w:tmpl w:val="0CAEB7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1510F01"/>
    <w:multiLevelType w:val="hybridMultilevel"/>
    <w:tmpl w:val="B4EE9E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CEA725E"/>
    <w:multiLevelType w:val="hybridMultilevel"/>
    <w:tmpl w:val="0928BF0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7121259"/>
    <w:multiLevelType w:val="hybridMultilevel"/>
    <w:tmpl w:val="7018D686"/>
    <w:lvl w:ilvl="0" w:tplc="5842640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7F837EE"/>
    <w:multiLevelType w:val="hybridMultilevel"/>
    <w:tmpl w:val="DD7A1800"/>
    <w:lvl w:ilvl="0" w:tplc="1EC26616">
      <w:start w:val="1"/>
      <w:numFmt w:val="lowerLetter"/>
      <w:lvlText w:val="%1)"/>
      <w:lvlJc w:val="left"/>
      <w:pPr>
        <w:ind w:left="720" w:hanging="360"/>
      </w:pPr>
      <w:rPr>
        <w:rFonts w:ascii="Arial" w:hAnsi="Arial" w:cs="Arial"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9CA045E"/>
    <w:multiLevelType w:val="hybridMultilevel"/>
    <w:tmpl w:val="3E98B9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B7042C"/>
    <w:multiLevelType w:val="hybridMultilevel"/>
    <w:tmpl w:val="5B509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B014F8"/>
    <w:multiLevelType w:val="hybridMultilevel"/>
    <w:tmpl w:val="BFE652EC"/>
    <w:lvl w:ilvl="0" w:tplc="5842640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E9B2744"/>
    <w:multiLevelType w:val="hybridMultilevel"/>
    <w:tmpl w:val="6F78E0CA"/>
    <w:lvl w:ilvl="0" w:tplc="2B6C2D22">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673769BA"/>
    <w:multiLevelType w:val="hybridMultilevel"/>
    <w:tmpl w:val="059A633A"/>
    <w:lvl w:ilvl="0" w:tplc="5842640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2ED2C0F"/>
    <w:multiLevelType w:val="hybridMultilevel"/>
    <w:tmpl w:val="7390ED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6701B2"/>
    <w:multiLevelType w:val="hybridMultilevel"/>
    <w:tmpl w:val="43521DC2"/>
    <w:lvl w:ilvl="0" w:tplc="5842640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E1E13AE"/>
    <w:multiLevelType w:val="hybridMultilevel"/>
    <w:tmpl w:val="9B92D1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0"/>
  </w:num>
  <w:num w:numId="5">
    <w:abstractNumId w:val="2"/>
  </w:num>
  <w:num w:numId="6">
    <w:abstractNumId w:val="12"/>
  </w:num>
  <w:num w:numId="7">
    <w:abstractNumId w:val="11"/>
  </w:num>
  <w:num w:numId="8">
    <w:abstractNumId w:val="3"/>
  </w:num>
  <w:num w:numId="9">
    <w:abstractNumId w:val="9"/>
  </w:num>
  <w:num w:numId="10">
    <w:abstractNumId w:val="7"/>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5B"/>
    <w:rsid w:val="0001269F"/>
    <w:rsid w:val="00022811"/>
    <w:rsid w:val="0003144A"/>
    <w:rsid w:val="00060CEA"/>
    <w:rsid w:val="000623F6"/>
    <w:rsid w:val="000827FF"/>
    <w:rsid w:val="00084E1F"/>
    <w:rsid w:val="000911D5"/>
    <w:rsid w:val="00093615"/>
    <w:rsid w:val="000C56A6"/>
    <w:rsid w:val="000D2E62"/>
    <w:rsid w:val="000E2E00"/>
    <w:rsid w:val="00104B45"/>
    <w:rsid w:val="00125010"/>
    <w:rsid w:val="0013463B"/>
    <w:rsid w:val="00173C4F"/>
    <w:rsid w:val="00180FFD"/>
    <w:rsid w:val="00187F15"/>
    <w:rsid w:val="00194499"/>
    <w:rsid w:val="00197CD7"/>
    <w:rsid w:val="001A0B5C"/>
    <w:rsid w:val="001B11F5"/>
    <w:rsid w:val="001B5D43"/>
    <w:rsid w:val="001C0826"/>
    <w:rsid w:val="001F199E"/>
    <w:rsid w:val="0022343D"/>
    <w:rsid w:val="00224A17"/>
    <w:rsid w:val="002506D8"/>
    <w:rsid w:val="00251EAB"/>
    <w:rsid w:val="002535C8"/>
    <w:rsid w:val="00254790"/>
    <w:rsid w:val="00271DF6"/>
    <w:rsid w:val="00277B3F"/>
    <w:rsid w:val="00283254"/>
    <w:rsid w:val="002846D5"/>
    <w:rsid w:val="00284C8E"/>
    <w:rsid w:val="00286BBE"/>
    <w:rsid w:val="002B28C7"/>
    <w:rsid w:val="002D6A8A"/>
    <w:rsid w:val="00301B85"/>
    <w:rsid w:val="00302DA5"/>
    <w:rsid w:val="0031429E"/>
    <w:rsid w:val="00316906"/>
    <w:rsid w:val="003608AB"/>
    <w:rsid w:val="00365478"/>
    <w:rsid w:val="00367EB5"/>
    <w:rsid w:val="0038641F"/>
    <w:rsid w:val="003B36AA"/>
    <w:rsid w:val="003E0D6C"/>
    <w:rsid w:val="003F0993"/>
    <w:rsid w:val="003F0F49"/>
    <w:rsid w:val="004119B3"/>
    <w:rsid w:val="00414E29"/>
    <w:rsid w:val="00414EA1"/>
    <w:rsid w:val="004249AA"/>
    <w:rsid w:val="00425642"/>
    <w:rsid w:val="00427E46"/>
    <w:rsid w:val="004468DF"/>
    <w:rsid w:val="004477CD"/>
    <w:rsid w:val="004D405B"/>
    <w:rsid w:val="004D7A99"/>
    <w:rsid w:val="004E78DA"/>
    <w:rsid w:val="005203BD"/>
    <w:rsid w:val="00522BA0"/>
    <w:rsid w:val="005242E9"/>
    <w:rsid w:val="00534A14"/>
    <w:rsid w:val="0053520E"/>
    <w:rsid w:val="00546F5D"/>
    <w:rsid w:val="00571EB8"/>
    <w:rsid w:val="005739BC"/>
    <w:rsid w:val="00587A0F"/>
    <w:rsid w:val="00593BAE"/>
    <w:rsid w:val="005F2AB1"/>
    <w:rsid w:val="006047A0"/>
    <w:rsid w:val="0063515B"/>
    <w:rsid w:val="006432EA"/>
    <w:rsid w:val="00644EBB"/>
    <w:rsid w:val="00667C6F"/>
    <w:rsid w:val="00682ABC"/>
    <w:rsid w:val="00690A3A"/>
    <w:rsid w:val="00695C7D"/>
    <w:rsid w:val="006A0C11"/>
    <w:rsid w:val="006B4AAB"/>
    <w:rsid w:val="006D4E4E"/>
    <w:rsid w:val="006E774D"/>
    <w:rsid w:val="006F03B0"/>
    <w:rsid w:val="00707DE1"/>
    <w:rsid w:val="00730440"/>
    <w:rsid w:val="0073629A"/>
    <w:rsid w:val="00737804"/>
    <w:rsid w:val="00741E7F"/>
    <w:rsid w:val="00746F81"/>
    <w:rsid w:val="0076471B"/>
    <w:rsid w:val="007743F8"/>
    <w:rsid w:val="007B1FA4"/>
    <w:rsid w:val="007B2084"/>
    <w:rsid w:val="007C5D38"/>
    <w:rsid w:val="007F6604"/>
    <w:rsid w:val="00805EB5"/>
    <w:rsid w:val="00812A94"/>
    <w:rsid w:val="0082527B"/>
    <w:rsid w:val="00834AB9"/>
    <w:rsid w:val="00835298"/>
    <w:rsid w:val="00837488"/>
    <w:rsid w:val="00841558"/>
    <w:rsid w:val="0084352D"/>
    <w:rsid w:val="00844721"/>
    <w:rsid w:val="00851F94"/>
    <w:rsid w:val="00852E51"/>
    <w:rsid w:val="0086541E"/>
    <w:rsid w:val="00891971"/>
    <w:rsid w:val="008B2C84"/>
    <w:rsid w:val="008C1C92"/>
    <w:rsid w:val="008D5D1A"/>
    <w:rsid w:val="008E0E1C"/>
    <w:rsid w:val="008F56E5"/>
    <w:rsid w:val="008F6116"/>
    <w:rsid w:val="00905094"/>
    <w:rsid w:val="00911E3E"/>
    <w:rsid w:val="00915275"/>
    <w:rsid w:val="00915841"/>
    <w:rsid w:val="009421DE"/>
    <w:rsid w:val="00952568"/>
    <w:rsid w:val="00990510"/>
    <w:rsid w:val="009A4F80"/>
    <w:rsid w:val="009B4EBA"/>
    <w:rsid w:val="009C0E4E"/>
    <w:rsid w:val="009D613B"/>
    <w:rsid w:val="009E3130"/>
    <w:rsid w:val="009E4659"/>
    <w:rsid w:val="00A0571E"/>
    <w:rsid w:val="00A21C7A"/>
    <w:rsid w:val="00A24A14"/>
    <w:rsid w:val="00A3444D"/>
    <w:rsid w:val="00A36DBE"/>
    <w:rsid w:val="00A43833"/>
    <w:rsid w:val="00A5719A"/>
    <w:rsid w:val="00A60152"/>
    <w:rsid w:val="00A656DB"/>
    <w:rsid w:val="00AA2737"/>
    <w:rsid w:val="00AB1E62"/>
    <w:rsid w:val="00AB549A"/>
    <w:rsid w:val="00AC189B"/>
    <w:rsid w:val="00AD52A7"/>
    <w:rsid w:val="00AF5CAE"/>
    <w:rsid w:val="00B23706"/>
    <w:rsid w:val="00B273EC"/>
    <w:rsid w:val="00B7294F"/>
    <w:rsid w:val="00B74245"/>
    <w:rsid w:val="00B77C08"/>
    <w:rsid w:val="00B82112"/>
    <w:rsid w:val="00B874F4"/>
    <w:rsid w:val="00BA7385"/>
    <w:rsid w:val="00BA7763"/>
    <w:rsid w:val="00BB13ED"/>
    <w:rsid w:val="00BB79A9"/>
    <w:rsid w:val="00BC4169"/>
    <w:rsid w:val="00BD03FC"/>
    <w:rsid w:val="00BD0AAA"/>
    <w:rsid w:val="00BD1865"/>
    <w:rsid w:val="00BD1B8A"/>
    <w:rsid w:val="00BD3F03"/>
    <w:rsid w:val="00BF190B"/>
    <w:rsid w:val="00C23F5A"/>
    <w:rsid w:val="00C36225"/>
    <w:rsid w:val="00C41654"/>
    <w:rsid w:val="00C46F8A"/>
    <w:rsid w:val="00C873C8"/>
    <w:rsid w:val="00C94776"/>
    <w:rsid w:val="00CA1E38"/>
    <w:rsid w:val="00CF4B89"/>
    <w:rsid w:val="00CF6182"/>
    <w:rsid w:val="00D01867"/>
    <w:rsid w:val="00D33B14"/>
    <w:rsid w:val="00D3432F"/>
    <w:rsid w:val="00D37804"/>
    <w:rsid w:val="00D516E5"/>
    <w:rsid w:val="00D53243"/>
    <w:rsid w:val="00D918DA"/>
    <w:rsid w:val="00D9476C"/>
    <w:rsid w:val="00D958AD"/>
    <w:rsid w:val="00DB54E9"/>
    <w:rsid w:val="00DD3809"/>
    <w:rsid w:val="00E002B0"/>
    <w:rsid w:val="00E036C6"/>
    <w:rsid w:val="00E20282"/>
    <w:rsid w:val="00E20411"/>
    <w:rsid w:val="00E22229"/>
    <w:rsid w:val="00E30E41"/>
    <w:rsid w:val="00E3351B"/>
    <w:rsid w:val="00E43628"/>
    <w:rsid w:val="00E66D1F"/>
    <w:rsid w:val="00E83885"/>
    <w:rsid w:val="00E94402"/>
    <w:rsid w:val="00EA2722"/>
    <w:rsid w:val="00EA2DD4"/>
    <w:rsid w:val="00EA740C"/>
    <w:rsid w:val="00ED2A31"/>
    <w:rsid w:val="00ED582A"/>
    <w:rsid w:val="00F10FDB"/>
    <w:rsid w:val="00F15A62"/>
    <w:rsid w:val="00F454BC"/>
    <w:rsid w:val="00F62C44"/>
    <w:rsid w:val="00F85D7A"/>
    <w:rsid w:val="00FA7142"/>
    <w:rsid w:val="00FB430D"/>
    <w:rsid w:val="00FC048B"/>
    <w:rsid w:val="00FC420E"/>
    <w:rsid w:val="00FE1D3D"/>
    <w:rsid w:val="00FE36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5DD9EE-631A-416E-A743-2ECFBC53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F4"/>
    <w:pPr>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uiPriority w:val="9"/>
    <w:qFormat/>
    <w:rsid w:val="00BC416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basedOn w:val="Normal"/>
    <w:link w:val="corte4fondoCar1"/>
    <w:qFormat/>
    <w:rsid w:val="0063515B"/>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63515B"/>
    <w:pPr>
      <w:spacing w:line="360" w:lineRule="auto"/>
      <w:ind w:left="709" w:right="709"/>
      <w:jc w:val="both"/>
    </w:pPr>
    <w:rPr>
      <w:rFonts w:ascii="Arial" w:hAnsi="Arial"/>
      <w:b/>
      <w:i/>
      <w:sz w:val="30"/>
    </w:rPr>
  </w:style>
  <w:style w:type="paragraph" w:styleId="Piedepgina">
    <w:name w:val="footer"/>
    <w:basedOn w:val="Normal"/>
    <w:link w:val="PiedepginaCar"/>
    <w:uiPriority w:val="99"/>
    <w:rsid w:val="0063515B"/>
    <w:pPr>
      <w:tabs>
        <w:tab w:val="center" w:pos="4252"/>
        <w:tab w:val="right" w:pos="8504"/>
      </w:tabs>
    </w:pPr>
  </w:style>
  <w:style w:type="character" w:customStyle="1" w:styleId="PiedepginaCar">
    <w:name w:val="Pie de página Car"/>
    <w:basedOn w:val="Fuentedeprrafopredeter"/>
    <w:link w:val="Piedepgina"/>
    <w:uiPriority w:val="99"/>
    <w:rsid w:val="0063515B"/>
    <w:rPr>
      <w:rFonts w:ascii="Times New Roman" w:eastAsia="Times New Roman" w:hAnsi="Times New Roman" w:cs="Times New Roman"/>
      <w:sz w:val="20"/>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Car, Car,FA Fu?notentext,Ca, Car3, C"/>
    <w:basedOn w:val="Normal"/>
    <w:link w:val="TextonotapieCar1"/>
    <w:uiPriority w:val="99"/>
    <w:qFormat/>
    <w:rsid w:val="0063515B"/>
  </w:style>
  <w:style w:type="character" w:customStyle="1" w:styleId="TextonotapieCar">
    <w:name w:val="Texto nota pie Car"/>
    <w:aliases w:val="Footnote Text Char Char Char Char Char Car1,Footnote Text Char Char Char Char Car1,Footnote reference Car1,FA Fu Car1,Car Car1 Car Car Car,Car Car1 Car Car Car Car Car Car Car Car Car,Car Car1 Car Car Car Car Car Car,Car Car1 Car Car1"/>
    <w:basedOn w:val="Fuentedeprrafopredeter"/>
    <w:uiPriority w:val="99"/>
    <w:rsid w:val="0063515B"/>
    <w:rPr>
      <w:rFonts w:ascii="Times New Roman" w:eastAsia="Times New Roman" w:hAnsi="Times New Roman" w:cs="Times New Roman"/>
      <w:sz w:val="20"/>
      <w:szCs w:val="20"/>
      <w:lang w:val="es-ES_tradnl" w:eastAsia="es-MX"/>
    </w:rPr>
  </w:style>
  <w:style w:type="character" w:styleId="Refdenotaalpie">
    <w:name w:val="footnote reference"/>
    <w:aliases w:val="Ref. de nota al pie 2,Footnotes refss,Texto de nota al pie,Appel note de bas de page,julio,referencia nota al pie,BVI fnr,Footnote number,f,4_G,16 Point,Superscript 6 Point,Texto nota al pie,Footnote Reference Char3,Ref. de nota al"/>
    <w:basedOn w:val="Fuentedeprrafopredeter"/>
    <w:link w:val="4GChar"/>
    <w:uiPriority w:val="99"/>
    <w:qFormat/>
    <w:rsid w:val="0063515B"/>
    <w:rPr>
      <w:vertAlign w:val="superscript"/>
    </w:rPr>
  </w:style>
  <w:style w:type="character" w:customStyle="1" w:styleId="corte4fondoCar1">
    <w:name w:val="corte4 fondo Car1"/>
    <w:basedOn w:val="Fuentedeprrafopredeter"/>
    <w:link w:val="corte4fondo"/>
    <w:rsid w:val="0063515B"/>
    <w:rPr>
      <w:rFonts w:ascii="Arial" w:eastAsia="Times New Roman" w:hAnsi="Arial" w:cs="Times New Roman"/>
      <w:sz w:val="30"/>
      <w:szCs w:val="20"/>
      <w:lang w:val="es-ES_tradnl" w:eastAsia="es-MX"/>
    </w:rPr>
  </w:style>
  <w:style w:type="character" w:customStyle="1" w:styleId="corte5transcripcionCar">
    <w:name w:val="corte5 transcripcion Car"/>
    <w:basedOn w:val="Fuentedeprrafopredeter"/>
    <w:link w:val="corte5transcripcion"/>
    <w:locked/>
    <w:rsid w:val="0063515B"/>
    <w:rPr>
      <w:rFonts w:ascii="Arial" w:eastAsia="Times New Roman" w:hAnsi="Arial" w:cs="Times New Roman"/>
      <w:b/>
      <w:i/>
      <w:sz w:val="30"/>
      <w:szCs w:val="20"/>
      <w:lang w:val="es-ES_tradnl" w:eastAsia="es-MX"/>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Car Car, Car Car,Ca Car"/>
    <w:basedOn w:val="Fuentedeprrafopredeter"/>
    <w:link w:val="Textonotapie"/>
    <w:uiPriority w:val="99"/>
    <w:locked/>
    <w:rsid w:val="0063515B"/>
    <w:rPr>
      <w:rFonts w:ascii="Times New Roman" w:eastAsia="Times New Roman" w:hAnsi="Times New Roman" w:cs="Times New Roman"/>
      <w:sz w:val="20"/>
      <w:szCs w:val="20"/>
      <w:lang w:val="es-ES_tradnl" w:eastAsia="es-MX"/>
    </w:rPr>
  </w:style>
  <w:style w:type="paragraph" w:customStyle="1" w:styleId="corte4fondoCar">
    <w:name w:val="corte4 fondo Car"/>
    <w:basedOn w:val="Normal"/>
    <w:link w:val="corte4fondoCarCar"/>
    <w:rsid w:val="0063515B"/>
    <w:pPr>
      <w:spacing w:line="360" w:lineRule="auto"/>
      <w:ind w:firstLine="709"/>
      <w:jc w:val="both"/>
    </w:pPr>
    <w:rPr>
      <w:rFonts w:ascii="Arial" w:hAnsi="Arial"/>
      <w:sz w:val="30"/>
    </w:rPr>
  </w:style>
  <w:style w:type="character" w:customStyle="1" w:styleId="corte4fondoCarCar">
    <w:name w:val="corte4 fondo Car Car"/>
    <w:link w:val="corte4fondoCar"/>
    <w:rsid w:val="0063515B"/>
    <w:rPr>
      <w:rFonts w:ascii="Arial" w:eastAsia="Times New Roman" w:hAnsi="Arial" w:cs="Times New Roman"/>
      <w:sz w:val="30"/>
      <w:szCs w:val="20"/>
      <w:lang w:val="es-ES_tradnl" w:eastAsia="es-MX"/>
    </w:rPr>
  </w:style>
  <w:style w:type="character" w:customStyle="1" w:styleId="articulojustificado1">
    <w:name w:val="articulojustificado1"/>
    <w:basedOn w:val="Fuentedeprrafopredeter"/>
    <w:rsid w:val="00BA7763"/>
    <w:rPr>
      <w:rFonts w:ascii="Arial" w:hAnsi="Arial" w:cs="Arial" w:hint="default"/>
      <w:b w:val="0"/>
      <w:bCs w:val="0"/>
      <w:color w:val="000000"/>
      <w:sz w:val="18"/>
      <w:szCs w:val="18"/>
    </w:rPr>
  </w:style>
  <w:style w:type="paragraph" w:styleId="Encabezado">
    <w:name w:val="header"/>
    <w:basedOn w:val="Normal"/>
    <w:link w:val="EncabezadoCar"/>
    <w:uiPriority w:val="99"/>
    <w:unhideWhenUsed/>
    <w:rsid w:val="00BF190B"/>
    <w:pPr>
      <w:tabs>
        <w:tab w:val="center" w:pos="4419"/>
        <w:tab w:val="right" w:pos="8838"/>
      </w:tabs>
    </w:pPr>
  </w:style>
  <w:style w:type="character" w:customStyle="1" w:styleId="EncabezadoCar">
    <w:name w:val="Encabezado Car"/>
    <w:basedOn w:val="Fuentedeprrafopredeter"/>
    <w:link w:val="Encabezado"/>
    <w:uiPriority w:val="99"/>
    <w:rsid w:val="00BF190B"/>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84E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E1F"/>
    <w:rPr>
      <w:rFonts w:ascii="Segoe UI" w:eastAsia="Times New Roman" w:hAnsi="Segoe UI" w:cs="Segoe UI"/>
      <w:sz w:val="18"/>
      <w:szCs w:val="18"/>
      <w:lang w:val="es-ES_tradnl" w:eastAsia="es-MX"/>
    </w:rPr>
  </w:style>
  <w:style w:type="character" w:customStyle="1" w:styleId="Ttulo1Car">
    <w:name w:val="Título 1 Car"/>
    <w:basedOn w:val="Fuentedeprrafopredeter"/>
    <w:link w:val="Ttulo1"/>
    <w:uiPriority w:val="9"/>
    <w:rsid w:val="00BC4169"/>
    <w:rPr>
      <w:rFonts w:asciiTheme="majorHAnsi" w:eastAsiaTheme="majorEastAsia" w:hAnsiTheme="majorHAnsi" w:cstheme="majorBidi"/>
      <w:color w:val="2E74B5" w:themeColor="accent1" w:themeShade="BF"/>
      <w:sz w:val="32"/>
      <w:szCs w:val="32"/>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87A0F"/>
    <w:pPr>
      <w:jc w:val="both"/>
    </w:pPr>
    <w:rPr>
      <w:rFonts w:asciiTheme="minorHAnsi" w:eastAsiaTheme="minorHAnsi" w:hAnsiTheme="minorHAnsi" w:cstheme="minorBidi"/>
      <w:sz w:val="22"/>
      <w:szCs w:val="22"/>
      <w:vertAlign w:val="superscript"/>
      <w:lang w:val="es-MX" w:eastAsia="en-US"/>
    </w:rPr>
  </w:style>
  <w:style w:type="paragraph" w:styleId="Prrafodelista">
    <w:name w:val="List Paragraph"/>
    <w:aliases w:val="Párrafo de lista1,Párrafo de lista2,List Paragraph,Cita texto,Footnote,List Paragraph1,Colorful List - Accent 11,Cuadrícula clara - Énfasis 31,TEXTO GENERAL SENTENCIAS"/>
    <w:basedOn w:val="Normal"/>
    <w:link w:val="PrrafodelistaCar"/>
    <w:uiPriority w:val="34"/>
    <w:qFormat/>
    <w:rsid w:val="00D33B14"/>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aliases w:val="Párrafo de lista1 Car,Párrafo de lista2 Car,List Paragraph Car,Cita texto Car,Footnote Car,List Paragraph1 Car,Colorful List - Accent 11 Car,Cuadrícula clara - Énfasis 31 Car,TEXTO GENERAL SENTENCIAS Car"/>
    <w:basedOn w:val="Fuentedeprrafopredeter"/>
    <w:link w:val="Prrafodelista"/>
    <w:uiPriority w:val="34"/>
    <w:locked/>
    <w:rsid w:val="00D33B14"/>
  </w:style>
  <w:style w:type="paragraph" w:customStyle="1" w:styleId="Estilo">
    <w:name w:val="Estilo"/>
    <w:basedOn w:val="Sinespaciado"/>
    <w:link w:val="EstiloCar"/>
    <w:qFormat/>
    <w:rsid w:val="00D33B14"/>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D33B14"/>
    <w:rPr>
      <w:rFonts w:ascii="Arial" w:hAnsi="Arial"/>
      <w:sz w:val="24"/>
    </w:rPr>
  </w:style>
  <w:style w:type="paragraph" w:styleId="Sinespaciado">
    <w:name w:val="No Spacing"/>
    <w:uiPriority w:val="1"/>
    <w:qFormat/>
    <w:rsid w:val="00D33B14"/>
    <w:pPr>
      <w:spacing w:after="0" w:line="240" w:lineRule="auto"/>
    </w:pPr>
    <w:rPr>
      <w:rFonts w:ascii="Times New Roman" w:eastAsia="Times New Roman" w:hAnsi="Times New Roman"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465667">
      <w:bodyDiv w:val="1"/>
      <w:marLeft w:val="0"/>
      <w:marRight w:val="0"/>
      <w:marTop w:val="0"/>
      <w:marBottom w:val="0"/>
      <w:divBdr>
        <w:top w:val="none" w:sz="0" w:space="0" w:color="auto"/>
        <w:left w:val="none" w:sz="0" w:space="0" w:color="auto"/>
        <w:bottom w:val="none" w:sz="0" w:space="0" w:color="auto"/>
        <w:right w:val="none" w:sz="0" w:space="0" w:color="auto"/>
      </w:divBdr>
    </w:div>
    <w:div w:id="125477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AC60E-132F-4D24-8C5B-EBFFCB36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CHARA TANUS</dc:creator>
  <cp:keywords/>
  <dc:description/>
  <cp:lastModifiedBy>GABRIELA RUIZ CONTRERAS</cp:lastModifiedBy>
  <cp:revision>2</cp:revision>
  <cp:lastPrinted>2019-08-16T20:17:00Z</cp:lastPrinted>
  <dcterms:created xsi:type="dcterms:W3CDTF">2019-09-12T21:54:00Z</dcterms:created>
  <dcterms:modified xsi:type="dcterms:W3CDTF">2019-09-12T21:54:00Z</dcterms:modified>
</cp:coreProperties>
</file>