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2CE7" w14:textId="77777777" w:rsidR="003C7F93" w:rsidRPr="00890131" w:rsidRDefault="003C7F93" w:rsidP="007E161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F2E6FF3" w14:textId="77777777" w:rsidR="003C7F93" w:rsidRPr="00890131" w:rsidRDefault="003C7F93" w:rsidP="007E161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21406285" w14:textId="77777777" w:rsidR="003C7F93" w:rsidRPr="00890131" w:rsidRDefault="003C7F93" w:rsidP="007E161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52FA5FB" w14:textId="61E7D787" w:rsidR="006B70AA" w:rsidRPr="00890131" w:rsidRDefault="009E2BB9" w:rsidP="003C7F9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90131">
        <w:rPr>
          <w:rFonts w:ascii="Arial" w:hAnsi="Arial" w:cs="Arial"/>
          <w:b/>
          <w:sz w:val="28"/>
          <w:szCs w:val="28"/>
        </w:rPr>
        <w:t xml:space="preserve">VOTO </w:t>
      </w:r>
      <w:r w:rsidR="00FA625C" w:rsidRPr="00890131">
        <w:rPr>
          <w:rFonts w:ascii="Arial" w:hAnsi="Arial" w:cs="Arial"/>
          <w:b/>
          <w:sz w:val="28"/>
          <w:szCs w:val="28"/>
        </w:rPr>
        <w:t>CONCURRENTE</w:t>
      </w:r>
      <w:r w:rsidR="007E1618" w:rsidRPr="00890131">
        <w:rPr>
          <w:rFonts w:ascii="Arial" w:hAnsi="Arial" w:cs="Arial"/>
          <w:b/>
          <w:sz w:val="28"/>
          <w:szCs w:val="28"/>
        </w:rPr>
        <w:t xml:space="preserve"> QUE FORMULA EL MINISTRO JUAN LUIS G</w:t>
      </w:r>
      <w:r w:rsidR="00C22358" w:rsidRPr="00890131">
        <w:rPr>
          <w:rFonts w:ascii="Arial" w:hAnsi="Arial" w:cs="Arial"/>
          <w:b/>
          <w:sz w:val="28"/>
          <w:szCs w:val="28"/>
        </w:rPr>
        <w:t>ON</w:t>
      </w:r>
      <w:r w:rsidR="007E1618" w:rsidRPr="00890131">
        <w:rPr>
          <w:rFonts w:ascii="Arial" w:hAnsi="Arial" w:cs="Arial"/>
          <w:b/>
          <w:sz w:val="28"/>
          <w:szCs w:val="28"/>
        </w:rPr>
        <w:t xml:space="preserve">ZÁLEZ ALCÁNTARA CARRANCÁ EN LA </w:t>
      </w:r>
      <w:r w:rsidR="00FA625C" w:rsidRPr="00890131">
        <w:rPr>
          <w:rFonts w:ascii="Arial" w:hAnsi="Arial" w:cs="Arial"/>
          <w:b/>
          <w:sz w:val="28"/>
          <w:szCs w:val="28"/>
        </w:rPr>
        <w:t xml:space="preserve">ACCIÓN DE INCONSTITUCIONALIDAD </w:t>
      </w:r>
      <w:r w:rsidR="006B4EDF" w:rsidRPr="00890131">
        <w:rPr>
          <w:rFonts w:ascii="Arial" w:hAnsi="Arial" w:cs="Arial"/>
          <w:b/>
          <w:sz w:val="28"/>
          <w:szCs w:val="28"/>
        </w:rPr>
        <w:t>161/2017</w:t>
      </w:r>
    </w:p>
    <w:p w14:paraId="395125C9" w14:textId="77777777" w:rsidR="00C22358" w:rsidRPr="00890131" w:rsidRDefault="00C22358" w:rsidP="003C7F93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14:paraId="55F5137F" w14:textId="6A073B45" w:rsidR="00C22358" w:rsidRPr="00890131" w:rsidRDefault="007E1618" w:rsidP="003C7F9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0131">
        <w:rPr>
          <w:rFonts w:ascii="Arial" w:hAnsi="Arial" w:cs="Arial"/>
          <w:sz w:val="28"/>
          <w:szCs w:val="28"/>
        </w:rPr>
        <w:t xml:space="preserve">En sesión de </w:t>
      </w:r>
      <w:r w:rsidR="00121631" w:rsidRPr="00890131">
        <w:rPr>
          <w:rFonts w:ascii="Arial" w:hAnsi="Arial" w:cs="Arial"/>
          <w:sz w:val="28"/>
          <w:szCs w:val="28"/>
        </w:rPr>
        <w:t>seis</w:t>
      </w:r>
      <w:r w:rsidRPr="00890131">
        <w:rPr>
          <w:rFonts w:ascii="Arial" w:hAnsi="Arial" w:cs="Arial"/>
          <w:sz w:val="28"/>
          <w:szCs w:val="28"/>
        </w:rPr>
        <w:t xml:space="preserve"> de </w:t>
      </w:r>
      <w:r w:rsidR="00121631" w:rsidRPr="00890131">
        <w:rPr>
          <w:rFonts w:ascii="Arial" w:hAnsi="Arial" w:cs="Arial"/>
          <w:sz w:val="28"/>
          <w:szCs w:val="28"/>
        </w:rPr>
        <w:t>mayo</w:t>
      </w:r>
      <w:r w:rsidRPr="00890131">
        <w:rPr>
          <w:rFonts w:ascii="Arial" w:hAnsi="Arial" w:cs="Arial"/>
          <w:sz w:val="28"/>
          <w:szCs w:val="28"/>
        </w:rPr>
        <w:t xml:space="preserve"> de dos mil diecinueve, el Pleno de la Suprema Corte resolvió la </w:t>
      </w:r>
      <w:r w:rsidR="00FA625C" w:rsidRPr="00890131">
        <w:rPr>
          <w:rFonts w:ascii="Arial" w:hAnsi="Arial" w:cs="Arial"/>
          <w:sz w:val="28"/>
          <w:szCs w:val="28"/>
        </w:rPr>
        <w:t>acción de</w:t>
      </w:r>
      <w:r w:rsidRPr="00890131">
        <w:rPr>
          <w:rFonts w:ascii="Arial" w:hAnsi="Arial" w:cs="Arial"/>
          <w:sz w:val="28"/>
          <w:szCs w:val="28"/>
        </w:rPr>
        <w:t xml:space="preserve"> </w:t>
      </w:r>
      <w:r w:rsidR="00121631" w:rsidRPr="00890131">
        <w:rPr>
          <w:rFonts w:ascii="Arial" w:hAnsi="Arial" w:cs="Arial"/>
          <w:sz w:val="28"/>
          <w:szCs w:val="28"/>
        </w:rPr>
        <w:t>inconstitucional 161/2017</w:t>
      </w:r>
      <w:r w:rsidRPr="00890131">
        <w:rPr>
          <w:rFonts w:ascii="Arial" w:hAnsi="Arial" w:cs="Arial"/>
          <w:sz w:val="28"/>
          <w:szCs w:val="28"/>
        </w:rPr>
        <w:t xml:space="preserve">, promovida por el </w:t>
      </w:r>
      <w:r w:rsidR="00FA625C" w:rsidRPr="00890131">
        <w:rPr>
          <w:rFonts w:ascii="Arial" w:hAnsi="Arial" w:cs="Arial"/>
          <w:sz w:val="28"/>
          <w:szCs w:val="28"/>
        </w:rPr>
        <w:t>Instituto Nacional de Transparencia, Acceso a la Información y Protección de Datos Personales</w:t>
      </w:r>
      <w:r w:rsidRPr="00890131">
        <w:rPr>
          <w:rFonts w:ascii="Arial" w:hAnsi="Arial" w:cs="Arial"/>
          <w:sz w:val="28"/>
          <w:szCs w:val="28"/>
        </w:rPr>
        <w:t>. La pregunta</w:t>
      </w:r>
      <w:r w:rsidR="00121631" w:rsidRPr="00890131">
        <w:rPr>
          <w:rFonts w:ascii="Arial" w:hAnsi="Arial" w:cs="Arial"/>
          <w:sz w:val="28"/>
          <w:szCs w:val="28"/>
        </w:rPr>
        <w:t xml:space="preserve"> constitucional radicó en saber si el legislador del Estado de Guanajuato reguló la materia de seguridad nacional y si</w:t>
      </w:r>
      <w:r w:rsidR="00DE637A" w:rsidRPr="00890131">
        <w:rPr>
          <w:rFonts w:ascii="Arial" w:hAnsi="Arial" w:cs="Arial"/>
          <w:sz w:val="28"/>
          <w:szCs w:val="28"/>
        </w:rPr>
        <w:t xml:space="preserve"> tenía facultades para hacerlo.</w:t>
      </w:r>
    </w:p>
    <w:p w14:paraId="046E031B" w14:textId="0B79C415" w:rsidR="007E1618" w:rsidRDefault="007E1618" w:rsidP="003C7F9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A70384C" w14:textId="77777777" w:rsidR="00890131" w:rsidRPr="00890131" w:rsidRDefault="00890131" w:rsidP="003C7F9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963FF9E" w14:textId="5F5976DF" w:rsidR="007E1618" w:rsidRPr="00890131" w:rsidRDefault="007E1618" w:rsidP="007E1618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90131">
        <w:rPr>
          <w:rFonts w:ascii="Arial" w:hAnsi="Arial" w:cs="Arial"/>
          <w:b/>
          <w:sz w:val="28"/>
          <w:szCs w:val="28"/>
        </w:rPr>
        <w:t xml:space="preserve">Postura mayoritaria </w:t>
      </w:r>
    </w:p>
    <w:p w14:paraId="06323882" w14:textId="36FEE610" w:rsidR="007E1618" w:rsidRPr="00890131" w:rsidRDefault="007E1618" w:rsidP="007E1618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BCCD644" w14:textId="024572EF" w:rsidR="007E1618" w:rsidRPr="00890131" w:rsidRDefault="007E1618" w:rsidP="00FA625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90131">
        <w:rPr>
          <w:rFonts w:ascii="Arial" w:hAnsi="Arial" w:cs="Arial"/>
          <w:sz w:val="28"/>
          <w:szCs w:val="28"/>
        </w:rPr>
        <w:t>El P</w:t>
      </w:r>
      <w:r w:rsidR="00D67F51" w:rsidRPr="00890131">
        <w:rPr>
          <w:rFonts w:ascii="Arial" w:hAnsi="Arial" w:cs="Arial"/>
          <w:sz w:val="28"/>
          <w:szCs w:val="28"/>
        </w:rPr>
        <w:t xml:space="preserve">leno resolvió por </w:t>
      </w:r>
      <w:r w:rsidR="00220C15" w:rsidRPr="00890131">
        <w:rPr>
          <w:rFonts w:ascii="Arial" w:hAnsi="Arial" w:cs="Arial"/>
          <w:sz w:val="28"/>
          <w:szCs w:val="28"/>
        </w:rPr>
        <w:t>mayoría de diez votos que los artículos impugnados no regulaban la materia de seguridad nacional y que la mera referencia a ésta no era una ampliación de aquello que podía ser considerado como una amenaza de seguridad nacional, susceptible de limitar el derecho a la prot</w:t>
      </w:r>
      <w:r w:rsidR="00DE637A" w:rsidRPr="00890131">
        <w:rPr>
          <w:rFonts w:ascii="Arial" w:hAnsi="Arial" w:cs="Arial"/>
          <w:sz w:val="28"/>
          <w:szCs w:val="28"/>
        </w:rPr>
        <w:t>ección de los datos personales.</w:t>
      </w:r>
    </w:p>
    <w:p w14:paraId="780E363B" w14:textId="77777777" w:rsidR="00487A27" w:rsidRDefault="00487A27" w:rsidP="00755BC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27E82E5" w14:textId="77777777" w:rsidR="00890131" w:rsidRPr="00890131" w:rsidRDefault="00890131" w:rsidP="00755BC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BD6F357" w14:textId="7EEBE474" w:rsidR="008F1A3E" w:rsidRPr="00890131" w:rsidRDefault="00564520" w:rsidP="0056452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90131">
        <w:rPr>
          <w:rFonts w:ascii="Arial" w:hAnsi="Arial" w:cs="Arial"/>
          <w:b/>
          <w:sz w:val="28"/>
          <w:szCs w:val="28"/>
        </w:rPr>
        <w:t xml:space="preserve">Razones del disenso </w:t>
      </w:r>
    </w:p>
    <w:p w14:paraId="3AA834B2" w14:textId="77777777" w:rsidR="003C7F93" w:rsidRPr="00890131" w:rsidRDefault="003C7F93" w:rsidP="003C7F93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14:paraId="4C11C897" w14:textId="4D56B6BF" w:rsidR="003C7F93" w:rsidRPr="00890131" w:rsidRDefault="00FA625C" w:rsidP="00FA62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0131">
        <w:rPr>
          <w:rFonts w:ascii="Arial" w:hAnsi="Arial" w:cs="Arial"/>
          <w:sz w:val="28"/>
          <w:szCs w:val="28"/>
        </w:rPr>
        <w:t>Coincido</w:t>
      </w:r>
      <w:r w:rsidR="003C7F93" w:rsidRPr="00890131">
        <w:rPr>
          <w:rFonts w:ascii="Arial" w:hAnsi="Arial" w:cs="Arial"/>
          <w:sz w:val="28"/>
          <w:szCs w:val="28"/>
        </w:rPr>
        <w:t xml:space="preserve"> con la </w:t>
      </w:r>
      <w:r w:rsidRPr="00890131">
        <w:rPr>
          <w:rFonts w:ascii="Arial" w:hAnsi="Arial" w:cs="Arial"/>
          <w:sz w:val="28"/>
          <w:szCs w:val="28"/>
        </w:rPr>
        <w:t xml:space="preserve">determinación de </w:t>
      </w:r>
      <w:r w:rsidR="00220C15" w:rsidRPr="00890131">
        <w:rPr>
          <w:rFonts w:ascii="Arial" w:hAnsi="Arial" w:cs="Arial"/>
          <w:sz w:val="28"/>
          <w:szCs w:val="28"/>
        </w:rPr>
        <w:t>que, en el caso concreto, el legislador local simplemente reprodujo la limitante constitucional consistente en que el derecho a la protección de datos personales se limitará por</w:t>
      </w:r>
      <w:r w:rsidR="00DE637A" w:rsidRPr="00890131">
        <w:rPr>
          <w:rFonts w:ascii="Arial" w:hAnsi="Arial" w:cs="Arial"/>
          <w:sz w:val="28"/>
          <w:szCs w:val="28"/>
        </w:rPr>
        <w:t xml:space="preserve"> razones de seguridad nacional.</w:t>
      </w:r>
    </w:p>
    <w:p w14:paraId="3E3C6D70" w14:textId="77777777" w:rsidR="002D5AE9" w:rsidRPr="00890131" w:rsidRDefault="002D5AE9" w:rsidP="00FA625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A0D721" w14:textId="3207E892" w:rsidR="00FA625C" w:rsidRPr="00890131" w:rsidRDefault="00220C15" w:rsidP="00850CA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0131">
        <w:rPr>
          <w:rFonts w:ascii="Arial" w:hAnsi="Arial" w:cs="Arial"/>
          <w:sz w:val="28"/>
          <w:szCs w:val="28"/>
        </w:rPr>
        <w:lastRenderedPageBreak/>
        <w:t>Ahora bien, como marco normativo, se retoman las consideraciones desarrolladas en la acción de inconstitucionalidad 45/2016, de la ponencia del ministro Franco</w:t>
      </w:r>
      <w:r w:rsidR="00DE637A" w:rsidRPr="00890131">
        <w:rPr>
          <w:rFonts w:ascii="Arial" w:hAnsi="Arial" w:cs="Arial"/>
          <w:sz w:val="28"/>
          <w:szCs w:val="28"/>
        </w:rPr>
        <w:t xml:space="preserve"> González Salas</w:t>
      </w:r>
      <w:r w:rsidRPr="00890131">
        <w:rPr>
          <w:rFonts w:ascii="Arial" w:hAnsi="Arial" w:cs="Arial"/>
          <w:sz w:val="28"/>
          <w:szCs w:val="28"/>
        </w:rPr>
        <w:t>. Al igual que lo hice en ese asunto,</w:t>
      </w:r>
      <w:r w:rsidR="00FA625C" w:rsidRPr="00890131">
        <w:rPr>
          <w:rFonts w:ascii="Arial" w:eastAsia="Times New Roman" w:hAnsi="Arial" w:cs="Arial"/>
          <w:sz w:val="28"/>
          <w:szCs w:val="28"/>
        </w:rPr>
        <w:t xml:space="preserve"> me gustaría desarrollar mi disenso respecto del</w:t>
      </w:r>
      <w:r w:rsidR="00FA625C" w:rsidRPr="00890131">
        <w:rPr>
          <w:rFonts w:ascii="Arial" w:hAnsi="Arial" w:cs="Arial"/>
          <w:sz w:val="28"/>
          <w:szCs w:val="28"/>
        </w:rPr>
        <w:t xml:space="preserve"> entendimiento que se le da en </w:t>
      </w:r>
      <w:r w:rsidR="00850CAD" w:rsidRPr="00890131">
        <w:rPr>
          <w:rFonts w:ascii="Arial" w:hAnsi="Arial" w:cs="Arial"/>
          <w:sz w:val="28"/>
          <w:szCs w:val="28"/>
        </w:rPr>
        <w:t xml:space="preserve">el considerando </w:t>
      </w:r>
      <w:r w:rsidRPr="00890131">
        <w:rPr>
          <w:rFonts w:ascii="Arial" w:hAnsi="Arial" w:cs="Arial"/>
          <w:sz w:val="28"/>
          <w:szCs w:val="28"/>
        </w:rPr>
        <w:t>sexto</w:t>
      </w:r>
      <w:r w:rsidR="00850CAD" w:rsidRPr="00890131">
        <w:rPr>
          <w:rFonts w:ascii="Arial" w:hAnsi="Arial" w:cs="Arial"/>
          <w:sz w:val="28"/>
          <w:szCs w:val="28"/>
        </w:rPr>
        <w:t xml:space="preserve"> de la propuesta aprobada</w:t>
      </w:r>
      <w:r w:rsidR="00FA625C" w:rsidRPr="00890131">
        <w:rPr>
          <w:rFonts w:ascii="Arial" w:hAnsi="Arial" w:cs="Arial"/>
          <w:sz w:val="28"/>
          <w:szCs w:val="28"/>
        </w:rPr>
        <w:t xml:space="preserve"> a la Ley General y con ello, al federalismo mexicano. No considero que en esta materia, pueda decirse que quedó “eliminada la atribución de competencia</w:t>
      </w:r>
      <w:r w:rsidR="00850CAD" w:rsidRPr="00890131">
        <w:rPr>
          <w:rFonts w:ascii="Arial" w:hAnsi="Arial" w:cs="Arial"/>
          <w:sz w:val="28"/>
          <w:szCs w:val="28"/>
        </w:rPr>
        <w:t>s entre los órdenes de gobierno”</w:t>
      </w:r>
      <w:r w:rsidR="00FA625C" w:rsidRPr="00890131">
        <w:rPr>
          <w:rFonts w:ascii="Arial" w:hAnsi="Arial" w:cs="Arial"/>
          <w:sz w:val="28"/>
          <w:szCs w:val="28"/>
        </w:rPr>
        <w:t xml:space="preserve"> en la Constitución.</w:t>
      </w:r>
    </w:p>
    <w:p w14:paraId="5258C0C4" w14:textId="77777777" w:rsidR="00DE637A" w:rsidRPr="00890131" w:rsidRDefault="00DE637A" w:rsidP="00850CA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3B1B2EA" w14:textId="7471F1DE" w:rsidR="00EA4839" w:rsidRPr="00890131" w:rsidRDefault="00EA4839" w:rsidP="00850CA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0131">
        <w:rPr>
          <w:rFonts w:ascii="Arial" w:hAnsi="Arial" w:cs="Arial"/>
          <w:sz w:val="28"/>
          <w:szCs w:val="28"/>
        </w:rPr>
        <w:t xml:space="preserve">De manera más genérica, no concuerdo con lo suscrito en las tesis de rubro </w:t>
      </w:r>
      <w:r w:rsidRPr="00890131">
        <w:rPr>
          <w:rFonts w:ascii="Arial" w:hAnsi="Arial" w:cs="Arial"/>
          <w:i/>
          <w:sz w:val="28"/>
          <w:szCs w:val="28"/>
        </w:rPr>
        <w:t>LEYES GENERALES. INTERPRETACIÓN DEL ARTÍCULO 133 CONSTITUCIONAL</w:t>
      </w:r>
      <w:r w:rsidRPr="00890131">
        <w:rPr>
          <w:rFonts w:ascii="Arial" w:hAnsi="Arial" w:cs="Arial"/>
          <w:sz w:val="28"/>
          <w:szCs w:val="28"/>
        </w:rPr>
        <w:t xml:space="preserve"> y </w:t>
      </w:r>
      <w:r w:rsidRPr="00890131">
        <w:rPr>
          <w:rFonts w:ascii="Arial" w:hAnsi="Arial" w:cs="Arial"/>
          <w:i/>
          <w:sz w:val="28"/>
          <w:szCs w:val="28"/>
        </w:rPr>
        <w:t>SUPREMACÍA CONSTITUCIONAL Y LEY SUPREMA DE LA UNIÓN. INTERPRETACIÓN DEL ARTÍCULO 133</w:t>
      </w:r>
      <w:r w:rsidRPr="00890131">
        <w:rPr>
          <w:rFonts w:ascii="Arial" w:hAnsi="Arial" w:cs="Arial"/>
          <w:sz w:val="28"/>
          <w:szCs w:val="28"/>
        </w:rPr>
        <w:t xml:space="preserve">, ni en general, con las consideraciones que se desarrollaron en el amparo en revisión 120/2002, resuelto el trece de febrero de dos mil siete. Ahí se </w:t>
      </w:r>
      <w:r w:rsidR="00CD7D04" w:rsidRPr="00890131">
        <w:rPr>
          <w:rFonts w:ascii="Arial" w:hAnsi="Arial" w:cs="Arial"/>
          <w:sz w:val="28"/>
          <w:szCs w:val="28"/>
        </w:rPr>
        <w:t>dijo,</w:t>
      </w:r>
      <w:r w:rsidRPr="00890131">
        <w:rPr>
          <w:rFonts w:ascii="Arial" w:hAnsi="Arial" w:cs="Arial"/>
          <w:sz w:val="28"/>
          <w:szCs w:val="28"/>
        </w:rPr>
        <w:t xml:space="preserve"> por un lado, que las leyes generales quedaban erigidas como excepciones al art</w:t>
      </w:r>
      <w:r w:rsidR="00CD7D04" w:rsidRPr="00890131">
        <w:rPr>
          <w:rFonts w:ascii="Arial" w:hAnsi="Arial" w:cs="Arial"/>
          <w:sz w:val="28"/>
          <w:szCs w:val="28"/>
        </w:rPr>
        <w:t xml:space="preserve">ículo 124 constitucional y, por otro lado, que aparecían como “Ley Suprema de toda la Unión”. </w:t>
      </w:r>
    </w:p>
    <w:p w14:paraId="2D71D3D7" w14:textId="77777777" w:rsidR="00DE637A" w:rsidRPr="00890131" w:rsidRDefault="00DE637A" w:rsidP="00850CA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5A597CC" w14:textId="492DDD3A" w:rsidR="00CD7D04" w:rsidRPr="00890131" w:rsidRDefault="00CD7D04" w:rsidP="00850CA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0131">
        <w:rPr>
          <w:rFonts w:ascii="Arial" w:hAnsi="Arial" w:cs="Arial"/>
          <w:sz w:val="28"/>
          <w:szCs w:val="28"/>
        </w:rPr>
        <w:t>Prácticamente todas las materias en el orden jurídico mexicano cuentan actualmente con una ley denominada general</w:t>
      </w:r>
      <w:r w:rsidRPr="00890131">
        <w:rPr>
          <w:rStyle w:val="Refdenotaalpie"/>
          <w:rFonts w:ascii="Arial" w:hAnsi="Arial" w:cs="Arial"/>
          <w:sz w:val="28"/>
          <w:szCs w:val="28"/>
        </w:rPr>
        <w:footnoteReference w:id="1"/>
      </w:r>
      <w:r w:rsidRPr="00890131">
        <w:rPr>
          <w:rFonts w:ascii="Arial" w:hAnsi="Arial" w:cs="Arial"/>
          <w:sz w:val="28"/>
          <w:szCs w:val="28"/>
        </w:rPr>
        <w:t xml:space="preserve"> y considerar que, en todos los casos, queda excluido el reparto constitucional que parte del artículo 124, es contrario a lo dispuesto por la propia Constitución. Considero que la fracción XXIX del artículo 73 constitucional debe leerse, en la mayoría de sus letras y concretamente en la “S” que nos ocupa, como una delegación de </w:t>
      </w:r>
      <w:r w:rsidRPr="00890131">
        <w:rPr>
          <w:rFonts w:ascii="Arial" w:hAnsi="Arial" w:cs="Arial"/>
          <w:sz w:val="28"/>
          <w:szCs w:val="28"/>
          <w:u w:val="single"/>
        </w:rPr>
        <w:t>ciertas</w:t>
      </w:r>
      <w:r w:rsidRPr="00890131">
        <w:rPr>
          <w:rFonts w:ascii="Arial" w:hAnsi="Arial" w:cs="Arial"/>
          <w:sz w:val="28"/>
          <w:szCs w:val="28"/>
        </w:rPr>
        <w:t xml:space="preserve"> funciones al legislador federal y en ningún caso, como una </w:t>
      </w:r>
      <w:r w:rsidRPr="00890131">
        <w:rPr>
          <w:rFonts w:ascii="Arial" w:hAnsi="Arial" w:cs="Arial"/>
          <w:sz w:val="28"/>
          <w:szCs w:val="28"/>
          <w:u w:val="single"/>
        </w:rPr>
        <w:t>renuncia</w:t>
      </w:r>
      <w:r w:rsidR="00DE637A" w:rsidRPr="00890131">
        <w:rPr>
          <w:rFonts w:ascii="Arial" w:hAnsi="Arial" w:cs="Arial"/>
          <w:sz w:val="28"/>
          <w:szCs w:val="28"/>
        </w:rPr>
        <w:t>.</w:t>
      </w:r>
    </w:p>
    <w:p w14:paraId="4D206D8C" w14:textId="70176AEC" w:rsidR="00CD7D04" w:rsidRPr="00890131" w:rsidRDefault="00CD7D04" w:rsidP="00850CA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D6DE27C" w14:textId="77777777" w:rsidR="00CD7D04" w:rsidRDefault="00CD7D04" w:rsidP="00850CA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0C21A61" w14:textId="77777777" w:rsidR="00890131" w:rsidRPr="00890131" w:rsidRDefault="00890131" w:rsidP="00850CA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C188B9B" w14:textId="77777777" w:rsidR="003C7F93" w:rsidRPr="00890131" w:rsidRDefault="003C7F93" w:rsidP="00E320F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E8BBE9" w14:textId="36F67BE5" w:rsidR="003C7F93" w:rsidRPr="00890131" w:rsidRDefault="003C7F93" w:rsidP="003C7F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90131">
        <w:rPr>
          <w:rFonts w:ascii="Arial" w:hAnsi="Arial" w:cs="Arial"/>
          <w:b/>
          <w:sz w:val="28"/>
          <w:szCs w:val="28"/>
        </w:rPr>
        <w:t>____________________________</w:t>
      </w:r>
      <w:r w:rsidR="00890131">
        <w:rPr>
          <w:rFonts w:ascii="Arial" w:hAnsi="Arial" w:cs="Arial"/>
          <w:b/>
          <w:sz w:val="28"/>
          <w:szCs w:val="28"/>
        </w:rPr>
        <w:t>___________</w:t>
      </w:r>
      <w:r w:rsidRPr="00890131">
        <w:rPr>
          <w:rFonts w:ascii="Arial" w:hAnsi="Arial" w:cs="Arial"/>
          <w:b/>
          <w:sz w:val="28"/>
          <w:szCs w:val="28"/>
        </w:rPr>
        <w:t>_</w:t>
      </w:r>
    </w:p>
    <w:p w14:paraId="4B05889E" w14:textId="370787EE" w:rsidR="003C7F93" w:rsidRPr="00890131" w:rsidRDefault="003C7F93" w:rsidP="003C7F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90131">
        <w:rPr>
          <w:rFonts w:ascii="Arial" w:hAnsi="Arial" w:cs="Arial"/>
          <w:b/>
          <w:sz w:val="28"/>
          <w:szCs w:val="28"/>
        </w:rPr>
        <w:t>M</w:t>
      </w:r>
      <w:r w:rsidR="00890131">
        <w:rPr>
          <w:rFonts w:ascii="Arial" w:hAnsi="Arial" w:cs="Arial"/>
          <w:b/>
          <w:sz w:val="28"/>
          <w:szCs w:val="28"/>
        </w:rPr>
        <w:t xml:space="preserve">inistro </w:t>
      </w:r>
      <w:r w:rsidRPr="00890131">
        <w:rPr>
          <w:rFonts w:ascii="Arial" w:hAnsi="Arial" w:cs="Arial"/>
          <w:b/>
          <w:sz w:val="28"/>
          <w:szCs w:val="28"/>
        </w:rPr>
        <w:t>J</w:t>
      </w:r>
      <w:r w:rsidR="00890131">
        <w:rPr>
          <w:rFonts w:ascii="Arial" w:hAnsi="Arial" w:cs="Arial"/>
          <w:b/>
          <w:sz w:val="28"/>
          <w:szCs w:val="28"/>
        </w:rPr>
        <w:t>uan</w:t>
      </w:r>
      <w:r w:rsidRPr="00890131">
        <w:rPr>
          <w:rFonts w:ascii="Arial" w:hAnsi="Arial" w:cs="Arial"/>
          <w:b/>
          <w:sz w:val="28"/>
          <w:szCs w:val="28"/>
        </w:rPr>
        <w:t xml:space="preserve"> L</w:t>
      </w:r>
      <w:r w:rsidR="00890131">
        <w:rPr>
          <w:rFonts w:ascii="Arial" w:hAnsi="Arial" w:cs="Arial"/>
          <w:b/>
          <w:sz w:val="28"/>
          <w:szCs w:val="28"/>
        </w:rPr>
        <w:t>uis</w:t>
      </w:r>
      <w:r w:rsidRPr="00890131">
        <w:rPr>
          <w:rFonts w:ascii="Arial" w:hAnsi="Arial" w:cs="Arial"/>
          <w:b/>
          <w:sz w:val="28"/>
          <w:szCs w:val="28"/>
        </w:rPr>
        <w:t xml:space="preserve"> G</w:t>
      </w:r>
      <w:r w:rsidR="00890131">
        <w:rPr>
          <w:rFonts w:ascii="Arial" w:hAnsi="Arial" w:cs="Arial"/>
          <w:b/>
          <w:sz w:val="28"/>
          <w:szCs w:val="28"/>
        </w:rPr>
        <w:t xml:space="preserve">onzález </w:t>
      </w:r>
      <w:r w:rsidRPr="00890131">
        <w:rPr>
          <w:rFonts w:ascii="Arial" w:hAnsi="Arial" w:cs="Arial"/>
          <w:b/>
          <w:sz w:val="28"/>
          <w:szCs w:val="28"/>
        </w:rPr>
        <w:t>A</w:t>
      </w:r>
      <w:r w:rsidR="00890131">
        <w:rPr>
          <w:rFonts w:ascii="Arial" w:hAnsi="Arial" w:cs="Arial"/>
          <w:b/>
          <w:sz w:val="28"/>
          <w:szCs w:val="28"/>
        </w:rPr>
        <w:t>lcántara</w:t>
      </w:r>
      <w:r w:rsidRPr="00890131">
        <w:rPr>
          <w:rFonts w:ascii="Arial" w:hAnsi="Arial" w:cs="Arial"/>
          <w:b/>
          <w:sz w:val="28"/>
          <w:szCs w:val="28"/>
        </w:rPr>
        <w:t xml:space="preserve"> C</w:t>
      </w:r>
      <w:r w:rsidR="00890131">
        <w:rPr>
          <w:rFonts w:ascii="Arial" w:hAnsi="Arial" w:cs="Arial"/>
          <w:b/>
          <w:sz w:val="28"/>
          <w:szCs w:val="28"/>
        </w:rPr>
        <w:t>arrancá</w:t>
      </w:r>
    </w:p>
    <w:p w14:paraId="5E61B520" w14:textId="4C27624E" w:rsidR="002D04AD" w:rsidRPr="00890131" w:rsidRDefault="002D04AD" w:rsidP="00E320F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699032D" w14:textId="77777777" w:rsidR="006C75A9" w:rsidRPr="00890131" w:rsidRDefault="006C75A9" w:rsidP="00E320F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17D8485" w14:textId="1751A455" w:rsidR="00DE637A" w:rsidRPr="00890131" w:rsidRDefault="00DE637A" w:rsidP="00E320F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D0DE798" w14:textId="0C080EA4" w:rsidR="00890131" w:rsidRDefault="00DE637A" w:rsidP="00DE637A">
      <w:pPr>
        <w:jc w:val="center"/>
        <w:rPr>
          <w:rFonts w:ascii="Arial" w:hAnsi="Arial" w:cs="Arial"/>
          <w:sz w:val="28"/>
          <w:szCs w:val="28"/>
        </w:rPr>
      </w:pPr>
      <w:r w:rsidRPr="00890131">
        <w:rPr>
          <w:rFonts w:ascii="Arial" w:hAnsi="Arial" w:cs="Arial"/>
          <w:sz w:val="28"/>
          <w:szCs w:val="28"/>
        </w:rPr>
        <w:t>_____________________</w:t>
      </w:r>
    </w:p>
    <w:p w14:paraId="0EB8F87B" w14:textId="797A97D1" w:rsidR="00DE637A" w:rsidRPr="00890131" w:rsidRDefault="00DE637A" w:rsidP="00DE637A">
      <w:pPr>
        <w:jc w:val="center"/>
        <w:rPr>
          <w:rFonts w:ascii="Arial" w:hAnsi="Arial" w:cs="Arial"/>
          <w:b/>
          <w:sz w:val="28"/>
          <w:szCs w:val="28"/>
        </w:rPr>
      </w:pPr>
      <w:r w:rsidRPr="00890131">
        <w:rPr>
          <w:rFonts w:ascii="Arial" w:hAnsi="Arial" w:cs="Arial"/>
          <w:b/>
          <w:sz w:val="28"/>
          <w:szCs w:val="28"/>
        </w:rPr>
        <w:t>L</w:t>
      </w:r>
      <w:r w:rsidR="00890131">
        <w:rPr>
          <w:rFonts w:ascii="Arial" w:hAnsi="Arial" w:cs="Arial"/>
          <w:b/>
          <w:sz w:val="28"/>
          <w:szCs w:val="28"/>
        </w:rPr>
        <w:t>ic. Rafael Coello Cetina</w:t>
      </w:r>
    </w:p>
    <w:p w14:paraId="686444FF" w14:textId="7FA4AB69" w:rsidR="006C75A9" w:rsidRPr="00890131" w:rsidRDefault="00DE637A" w:rsidP="00DE637A">
      <w:pPr>
        <w:jc w:val="center"/>
        <w:rPr>
          <w:rFonts w:ascii="Arial" w:hAnsi="Arial" w:cs="Arial"/>
          <w:b/>
          <w:sz w:val="28"/>
          <w:szCs w:val="28"/>
        </w:rPr>
      </w:pPr>
      <w:r w:rsidRPr="00890131">
        <w:rPr>
          <w:rFonts w:ascii="Arial" w:hAnsi="Arial" w:cs="Arial"/>
          <w:b/>
          <w:sz w:val="28"/>
          <w:szCs w:val="28"/>
        </w:rPr>
        <w:t>S</w:t>
      </w:r>
      <w:r w:rsidR="00890131">
        <w:rPr>
          <w:rFonts w:ascii="Arial" w:hAnsi="Arial" w:cs="Arial"/>
          <w:b/>
          <w:sz w:val="28"/>
          <w:szCs w:val="28"/>
        </w:rPr>
        <w:t>ecretario General de Acuerdos</w:t>
      </w:r>
    </w:p>
    <w:p w14:paraId="7A7C292F" w14:textId="77777777" w:rsidR="006C75A9" w:rsidRPr="00890131" w:rsidRDefault="006C75A9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551407AD" w14:textId="77777777" w:rsidR="00DE637A" w:rsidRPr="00890131" w:rsidRDefault="00DE637A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3EAE9F70" w14:textId="77777777" w:rsidR="00DE637A" w:rsidRDefault="00DE637A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6B50E084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18C20E15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67A30548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740E8A32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6CD8A7B5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4EA6BB39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6D6945E8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7AABCB11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2B9A39B2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56A43881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75189AB5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4BF3F688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6945A515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2FDB0320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5852C0A4" w14:textId="77777777" w:rsidR="00A75A19" w:rsidRDefault="00A75A19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79B52B04" w14:textId="77777777" w:rsidR="00A75A19" w:rsidRDefault="00A75A19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364037AF" w14:textId="77777777" w:rsidR="00A75A19" w:rsidRDefault="00A75A19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0013BD11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1048F1DF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5973B06F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46447134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4AB7A837" w14:textId="60EF5312" w:rsidR="00890131" w:rsidRPr="00A75A19" w:rsidRDefault="00A75A19" w:rsidP="00A75A19">
      <w:pPr>
        <w:jc w:val="both"/>
        <w:rPr>
          <w:rFonts w:ascii="Arial" w:hAnsi="Arial" w:cs="Arial"/>
        </w:rPr>
      </w:pPr>
      <w:r w:rsidRPr="00A75A19">
        <w:rPr>
          <w:rFonts w:ascii="Arial" w:hAnsi="Arial" w:cs="Arial"/>
        </w:rPr>
        <w:t>Esta hoja corresponde al voto concurrente que formula el Ministro Juan Luis González Alcántara Carrancá en la Acción de Inconstitucionalidad 161/2017, fallada en sesión de 6 de mayo del 2019. Conste.</w:t>
      </w:r>
    </w:p>
    <w:p w14:paraId="02BD1509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2ADC9F96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6CE30280" w14:textId="77777777" w:rsid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5BE3E481" w14:textId="77777777" w:rsidR="00890131" w:rsidRPr="00890131" w:rsidRDefault="00890131" w:rsidP="00DE637A">
      <w:pPr>
        <w:jc w:val="center"/>
        <w:rPr>
          <w:rFonts w:ascii="Arial" w:hAnsi="Arial" w:cs="Arial"/>
          <w:b/>
          <w:sz w:val="28"/>
          <w:szCs w:val="28"/>
        </w:rPr>
      </w:pPr>
    </w:p>
    <w:p w14:paraId="252BC1E6" w14:textId="274DDBFB" w:rsidR="00180A43" w:rsidRPr="00890131" w:rsidRDefault="00180A43" w:rsidP="00E320F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</w:r>
      <w:r w:rsidRPr="00890131">
        <w:rPr>
          <w:rFonts w:ascii="Arial" w:hAnsi="Arial" w:cs="Arial"/>
          <w:sz w:val="28"/>
          <w:szCs w:val="28"/>
        </w:rPr>
        <w:tab/>
        <w:t>OCC/DCB</w:t>
      </w:r>
    </w:p>
    <w:sectPr w:rsidR="00180A43" w:rsidRPr="00890131" w:rsidSect="002D5AE9">
      <w:headerReference w:type="default" r:id="rId8"/>
      <w:footerReference w:type="default" r:id="rId9"/>
      <w:pgSz w:w="12242" w:h="19442" w:code="190"/>
      <w:pgMar w:top="2552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2FC4B" w14:textId="77777777" w:rsidR="005D0E58" w:rsidRDefault="005D0E58" w:rsidP="00574349">
      <w:r>
        <w:separator/>
      </w:r>
    </w:p>
  </w:endnote>
  <w:endnote w:type="continuationSeparator" w:id="0">
    <w:p w14:paraId="373D620F" w14:textId="77777777" w:rsidR="005D0E58" w:rsidRDefault="005D0E58" w:rsidP="0057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0398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9AD8ED3" w14:textId="31D4DB46" w:rsidR="00DE637A" w:rsidRPr="00DE637A" w:rsidRDefault="00DE637A">
        <w:pPr>
          <w:pStyle w:val="Piedepgina"/>
          <w:jc w:val="right"/>
          <w:rPr>
            <w:rFonts w:ascii="Arial" w:hAnsi="Arial" w:cs="Arial"/>
          </w:rPr>
        </w:pPr>
        <w:r w:rsidRPr="00DE637A">
          <w:rPr>
            <w:rFonts w:ascii="Arial" w:hAnsi="Arial" w:cs="Arial"/>
          </w:rPr>
          <w:fldChar w:fldCharType="begin"/>
        </w:r>
        <w:r w:rsidRPr="00DE637A">
          <w:rPr>
            <w:rFonts w:ascii="Arial" w:hAnsi="Arial" w:cs="Arial"/>
          </w:rPr>
          <w:instrText>PAGE   \* MERGEFORMAT</w:instrText>
        </w:r>
        <w:r w:rsidRPr="00DE637A">
          <w:rPr>
            <w:rFonts w:ascii="Arial" w:hAnsi="Arial" w:cs="Arial"/>
          </w:rPr>
          <w:fldChar w:fldCharType="separate"/>
        </w:r>
        <w:r w:rsidR="0043288D" w:rsidRPr="0043288D">
          <w:rPr>
            <w:rFonts w:ascii="Arial" w:hAnsi="Arial" w:cs="Arial"/>
            <w:noProof/>
            <w:lang w:val="es-ES"/>
          </w:rPr>
          <w:t>3</w:t>
        </w:r>
        <w:r w:rsidRPr="00DE637A">
          <w:rPr>
            <w:rFonts w:ascii="Arial" w:hAnsi="Arial" w:cs="Arial"/>
          </w:rPr>
          <w:fldChar w:fldCharType="end"/>
        </w:r>
      </w:p>
    </w:sdtContent>
  </w:sdt>
  <w:p w14:paraId="4322E609" w14:textId="77777777" w:rsidR="00DE637A" w:rsidRDefault="00DE63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C5CE6" w14:textId="77777777" w:rsidR="005D0E58" w:rsidRDefault="005D0E58" w:rsidP="00574349">
      <w:r>
        <w:separator/>
      </w:r>
    </w:p>
  </w:footnote>
  <w:footnote w:type="continuationSeparator" w:id="0">
    <w:p w14:paraId="15DEFF0D" w14:textId="77777777" w:rsidR="005D0E58" w:rsidRDefault="005D0E58" w:rsidP="00574349">
      <w:r>
        <w:continuationSeparator/>
      </w:r>
    </w:p>
  </w:footnote>
  <w:footnote w:id="1">
    <w:p w14:paraId="46ED4C69" w14:textId="4B92D7BF" w:rsidR="00CD7D04" w:rsidRPr="00CD7D04" w:rsidRDefault="00CD7D04" w:rsidP="0079691D">
      <w:pPr>
        <w:pStyle w:val="Textonotapie"/>
        <w:jc w:val="both"/>
        <w:rPr>
          <w:lang w:val="es-MX"/>
        </w:rPr>
      </w:pPr>
      <w:r w:rsidRPr="0079691D">
        <w:rPr>
          <w:rStyle w:val="Refdenotaalpie"/>
          <w:rFonts w:ascii="Arial" w:hAnsi="Arial" w:cs="Arial"/>
        </w:rPr>
        <w:footnoteRef/>
      </w:r>
      <w:r w:rsidRPr="0079691D">
        <w:rPr>
          <w:rFonts w:ascii="Arial" w:hAnsi="Arial" w:cs="Arial"/>
        </w:rPr>
        <w:t xml:space="preserve"> </w:t>
      </w:r>
      <w:r w:rsidRPr="0079691D">
        <w:rPr>
          <w:rFonts w:ascii="Arial" w:hAnsi="Arial" w:cs="Arial"/>
          <w:lang w:val="es-MX"/>
        </w:rPr>
        <w:t>En este s</w:t>
      </w:r>
      <w:r w:rsidR="0079691D" w:rsidRPr="0079691D">
        <w:rPr>
          <w:rFonts w:ascii="Arial" w:hAnsi="Arial" w:cs="Arial"/>
          <w:lang w:val="es-MX"/>
        </w:rPr>
        <w:t>entido, tampoco coincido con lo resuelto en la acción de inconstitucionalidad 119/2008.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EB3E7" w14:textId="003E956D" w:rsidR="003C7F93" w:rsidRPr="003C7F93" w:rsidRDefault="003C7F93" w:rsidP="003C7F93">
    <w:pPr>
      <w:pStyle w:val="Encabezado"/>
      <w:jc w:val="right"/>
      <w:rPr>
        <w:rFonts w:ascii="Arial" w:hAnsi="Arial" w:cs="Arial"/>
        <w:b/>
        <w:sz w:val="28"/>
        <w:szCs w:val="28"/>
        <w:lang w:val="es-MX"/>
      </w:rPr>
    </w:pPr>
    <w:r w:rsidRPr="003C7F93">
      <w:rPr>
        <w:rFonts w:ascii="Arial" w:hAnsi="Arial" w:cs="Arial"/>
        <w:b/>
        <w:sz w:val="28"/>
        <w:szCs w:val="28"/>
        <w:lang w:val="es-MX"/>
      </w:rPr>
      <w:t xml:space="preserve">VOTO </w:t>
    </w:r>
    <w:r w:rsidR="00220C15">
      <w:rPr>
        <w:rFonts w:ascii="Arial" w:hAnsi="Arial" w:cs="Arial"/>
        <w:b/>
        <w:sz w:val="28"/>
        <w:szCs w:val="28"/>
        <w:lang w:val="es-MX"/>
      </w:rPr>
      <w:t>CONCURRENTE</w:t>
    </w:r>
    <w:r w:rsidRPr="003C7F93">
      <w:rPr>
        <w:rFonts w:ascii="Arial" w:hAnsi="Arial" w:cs="Arial"/>
        <w:b/>
        <w:sz w:val="28"/>
        <w:szCs w:val="28"/>
        <w:lang w:val="es-MX"/>
      </w:rPr>
      <w:t xml:space="preserve"> EN LA </w:t>
    </w:r>
  </w:p>
  <w:p w14:paraId="064F1E4A" w14:textId="430A3C97" w:rsidR="003C7F93" w:rsidRPr="003C7F93" w:rsidRDefault="00220C15" w:rsidP="003C7F93">
    <w:pPr>
      <w:pStyle w:val="Encabezado"/>
      <w:jc w:val="right"/>
      <w:rPr>
        <w:rFonts w:ascii="Arial" w:hAnsi="Arial" w:cs="Arial"/>
        <w:b/>
        <w:sz w:val="28"/>
        <w:szCs w:val="28"/>
        <w:lang w:val="es-MX"/>
      </w:rPr>
    </w:pPr>
    <w:r>
      <w:rPr>
        <w:rFonts w:ascii="Arial" w:hAnsi="Arial" w:cs="Arial"/>
        <w:b/>
        <w:sz w:val="28"/>
        <w:szCs w:val="28"/>
        <w:lang w:val="es-MX"/>
      </w:rPr>
      <w:t>ACCIÓN DE INCONSTITUCIONALIDAD 1</w:t>
    </w:r>
    <w:r w:rsidR="003C7F93" w:rsidRPr="003C7F93">
      <w:rPr>
        <w:rFonts w:ascii="Arial" w:hAnsi="Arial" w:cs="Arial"/>
        <w:b/>
        <w:sz w:val="28"/>
        <w:szCs w:val="28"/>
        <w:lang w:val="es-MX"/>
      </w:rPr>
      <w:t>6</w:t>
    </w:r>
    <w:r>
      <w:rPr>
        <w:rFonts w:ascii="Arial" w:hAnsi="Arial" w:cs="Arial"/>
        <w:b/>
        <w:sz w:val="28"/>
        <w:szCs w:val="28"/>
        <w:lang w:val="es-MX"/>
      </w:rPr>
      <w:t>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989"/>
    <w:multiLevelType w:val="hybridMultilevel"/>
    <w:tmpl w:val="141CFC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166"/>
    <w:multiLevelType w:val="hybridMultilevel"/>
    <w:tmpl w:val="5EEE4D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5FC"/>
    <w:multiLevelType w:val="multilevel"/>
    <w:tmpl w:val="E86E8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D024C"/>
    <w:multiLevelType w:val="multilevel"/>
    <w:tmpl w:val="9A149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045EB"/>
    <w:multiLevelType w:val="hybridMultilevel"/>
    <w:tmpl w:val="F9469B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F5D49"/>
    <w:multiLevelType w:val="multilevel"/>
    <w:tmpl w:val="1FB817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92909"/>
    <w:multiLevelType w:val="hybridMultilevel"/>
    <w:tmpl w:val="742AE60E"/>
    <w:lvl w:ilvl="0" w:tplc="D8D28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020E"/>
    <w:multiLevelType w:val="hybridMultilevel"/>
    <w:tmpl w:val="AE34A4B6"/>
    <w:lvl w:ilvl="0" w:tplc="4C4C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266A"/>
    <w:multiLevelType w:val="hybridMultilevel"/>
    <w:tmpl w:val="F56CD0C4"/>
    <w:lvl w:ilvl="0" w:tplc="051A12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02FD4"/>
    <w:multiLevelType w:val="multilevel"/>
    <w:tmpl w:val="43821EB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52344"/>
    <w:multiLevelType w:val="hybridMultilevel"/>
    <w:tmpl w:val="F62218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47CF9"/>
    <w:multiLevelType w:val="hybridMultilevel"/>
    <w:tmpl w:val="22EABF64"/>
    <w:lvl w:ilvl="0" w:tplc="D6066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58"/>
    <w:rsid w:val="00004F2B"/>
    <w:rsid w:val="00023CBE"/>
    <w:rsid w:val="0005442F"/>
    <w:rsid w:val="0006245B"/>
    <w:rsid w:val="00121631"/>
    <w:rsid w:val="00163CC0"/>
    <w:rsid w:val="00180A43"/>
    <w:rsid w:val="00187FBC"/>
    <w:rsid w:val="001A76FD"/>
    <w:rsid w:val="001D66E1"/>
    <w:rsid w:val="00220C15"/>
    <w:rsid w:val="002A4A46"/>
    <w:rsid w:val="002C413C"/>
    <w:rsid w:val="002D04AD"/>
    <w:rsid w:val="002D3E03"/>
    <w:rsid w:val="002D5AE9"/>
    <w:rsid w:val="002E65B1"/>
    <w:rsid w:val="00304503"/>
    <w:rsid w:val="00307275"/>
    <w:rsid w:val="00347216"/>
    <w:rsid w:val="003629A7"/>
    <w:rsid w:val="003C7F93"/>
    <w:rsid w:val="003E04EF"/>
    <w:rsid w:val="0043288D"/>
    <w:rsid w:val="00476DCB"/>
    <w:rsid w:val="00487A27"/>
    <w:rsid w:val="004A54FC"/>
    <w:rsid w:val="004C77B9"/>
    <w:rsid w:val="00541A30"/>
    <w:rsid w:val="00545CB8"/>
    <w:rsid w:val="00564520"/>
    <w:rsid w:val="00566970"/>
    <w:rsid w:val="00574349"/>
    <w:rsid w:val="005D0E58"/>
    <w:rsid w:val="006440D2"/>
    <w:rsid w:val="006767E8"/>
    <w:rsid w:val="006831A5"/>
    <w:rsid w:val="006B4EDF"/>
    <w:rsid w:val="006B70AA"/>
    <w:rsid w:val="006C75A9"/>
    <w:rsid w:val="006D0CB0"/>
    <w:rsid w:val="0072242D"/>
    <w:rsid w:val="00755BC3"/>
    <w:rsid w:val="0079691D"/>
    <w:rsid w:val="007B2E2C"/>
    <w:rsid w:val="007D156E"/>
    <w:rsid w:val="007E1618"/>
    <w:rsid w:val="0082429F"/>
    <w:rsid w:val="00847A5A"/>
    <w:rsid w:val="00850CAD"/>
    <w:rsid w:val="008578A7"/>
    <w:rsid w:val="00862D73"/>
    <w:rsid w:val="00890131"/>
    <w:rsid w:val="008F1A3E"/>
    <w:rsid w:val="00920CE2"/>
    <w:rsid w:val="009866C4"/>
    <w:rsid w:val="009E2BB9"/>
    <w:rsid w:val="009F4674"/>
    <w:rsid w:val="00A240EB"/>
    <w:rsid w:val="00A50678"/>
    <w:rsid w:val="00A60F1F"/>
    <w:rsid w:val="00A75A19"/>
    <w:rsid w:val="00AA4A55"/>
    <w:rsid w:val="00AB4627"/>
    <w:rsid w:val="00AF1F36"/>
    <w:rsid w:val="00B03CF6"/>
    <w:rsid w:val="00B3699C"/>
    <w:rsid w:val="00B44DD1"/>
    <w:rsid w:val="00B6472F"/>
    <w:rsid w:val="00BC788E"/>
    <w:rsid w:val="00C22358"/>
    <w:rsid w:val="00C4641C"/>
    <w:rsid w:val="00C63ED4"/>
    <w:rsid w:val="00CA1276"/>
    <w:rsid w:val="00CB0686"/>
    <w:rsid w:val="00CB3F5D"/>
    <w:rsid w:val="00CD0676"/>
    <w:rsid w:val="00CD0F35"/>
    <w:rsid w:val="00CD7D04"/>
    <w:rsid w:val="00D26946"/>
    <w:rsid w:val="00D5477D"/>
    <w:rsid w:val="00D67F51"/>
    <w:rsid w:val="00D83E46"/>
    <w:rsid w:val="00DE5AAC"/>
    <w:rsid w:val="00DE637A"/>
    <w:rsid w:val="00E02E8B"/>
    <w:rsid w:val="00E320F6"/>
    <w:rsid w:val="00E66831"/>
    <w:rsid w:val="00EA4839"/>
    <w:rsid w:val="00F14974"/>
    <w:rsid w:val="00F934B3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D5F36"/>
  <w14:defaultImageDpi w14:val="300"/>
  <w15:docId w15:val="{85817F3A-0884-4E83-9EDF-BCF063FA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74349"/>
  </w:style>
  <w:style w:type="character" w:customStyle="1" w:styleId="TextonotapieCar">
    <w:name w:val="Texto nota pie Car"/>
    <w:basedOn w:val="Fuentedeprrafopredeter"/>
    <w:link w:val="Textonotapie"/>
    <w:uiPriority w:val="99"/>
    <w:rsid w:val="00574349"/>
  </w:style>
  <w:style w:type="character" w:styleId="Refdenotaalpie">
    <w:name w:val="footnote reference"/>
    <w:basedOn w:val="Fuentedeprrafopredeter"/>
    <w:uiPriority w:val="99"/>
    <w:unhideWhenUsed/>
    <w:rsid w:val="0057434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7434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F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62D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F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F93"/>
  </w:style>
  <w:style w:type="paragraph" w:styleId="Piedepgina">
    <w:name w:val="footer"/>
    <w:basedOn w:val="Normal"/>
    <w:link w:val="PiedepginaCar"/>
    <w:uiPriority w:val="99"/>
    <w:unhideWhenUsed/>
    <w:rsid w:val="003C7F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F93"/>
  </w:style>
  <w:style w:type="paragraph" w:customStyle="1" w:styleId="Estilo">
    <w:name w:val="Estilo"/>
    <w:basedOn w:val="Sinespaciado"/>
    <w:link w:val="EstiloCar"/>
    <w:qFormat/>
    <w:rsid w:val="00FA625C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FA625C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FA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677AB-FBC6-49B2-9620-5DE1E9DA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GABRIELA RUIZ CONTRERAS</cp:lastModifiedBy>
  <cp:revision>2</cp:revision>
  <cp:lastPrinted>2019-06-26T16:04:00Z</cp:lastPrinted>
  <dcterms:created xsi:type="dcterms:W3CDTF">2019-09-12T21:17:00Z</dcterms:created>
  <dcterms:modified xsi:type="dcterms:W3CDTF">2019-09-12T21:17:00Z</dcterms:modified>
</cp:coreProperties>
</file>