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0EE" w:rsidRPr="00496F49" w:rsidRDefault="00D860EE" w:rsidP="00D860EE">
      <w:pPr>
        <w:spacing w:after="0"/>
        <w:jc w:val="both"/>
        <w:rPr>
          <w:rFonts w:ascii="Arial" w:hAnsi="Arial" w:cs="Arial"/>
          <w:b/>
          <w:sz w:val="28"/>
          <w:szCs w:val="24"/>
          <w:lang w:val="es-MX"/>
        </w:rPr>
      </w:pPr>
      <w:bookmarkStart w:id="0" w:name="_GoBack"/>
      <w:bookmarkEnd w:id="0"/>
      <w:r w:rsidRPr="00496F49">
        <w:rPr>
          <w:rFonts w:ascii="Arial" w:hAnsi="Arial" w:cs="Arial"/>
          <w:b/>
          <w:sz w:val="28"/>
          <w:szCs w:val="24"/>
          <w:lang w:val="es-MX"/>
        </w:rPr>
        <w:t xml:space="preserve">VOTO </w:t>
      </w:r>
      <w:r>
        <w:rPr>
          <w:rFonts w:ascii="Arial" w:hAnsi="Arial" w:cs="Arial"/>
          <w:b/>
          <w:sz w:val="28"/>
          <w:szCs w:val="24"/>
          <w:lang w:val="es-MX"/>
        </w:rPr>
        <w:t xml:space="preserve">PARTICULAR </w:t>
      </w:r>
      <w:r w:rsidRPr="00496F49">
        <w:rPr>
          <w:rFonts w:ascii="Arial" w:hAnsi="Arial" w:cs="Arial"/>
          <w:b/>
          <w:sz w:val="28"/>
          <w:szCs w:val="24"/>
          <w:lang w:val="es-MX"/>
        </w:rPr>
        <w:t>QUE FORMULA EL MINISTRO JAVIER LAYNEZ POTISEK EN EL AMPARO</w:t>
      </w:r>
      <w:r>
        <w:rPr>
          <w:rFonts w:ascii="Arial" w:hAnsi="Arial" w:cs="Arial"/>
          <w:b/>
          <w:sz w:val="28"/>
          <w:szCs w:val="24"/>
          <w:lang w:val="es-MX"/>
        </w:rPr>
        <w:t xml:space="preserve"> </w:t>
      </w:r>
      <w:r w:rsidRPr="00496F49">
        <w:rPr>
          <w:rFonts w:ascii="Arial" w:hAnsi="Arial" w:cs="Arial"/>
          <w:b/>
          <w:sz w:val="28"/>
          <w:szCs w:val="24"/>
          <w:lang w:val="es-MX"/>
        </w:rPr>
        <w:t xml:space="preserve">EN REVISIÓN </w:t>
      </w:r>
      <w:r>
        <w:rPr>
          <w:rFonts w:ascii="Arial" w:hAnsi="Arial" w:cs="Arial"/>
          <w:b/>
          <w:sz w:val="28"/>
          <w:szCs w:val="24"/>
          <w:lang w:val="es-MX"/>
        </w:rPr>
        <w:t>963/2017</w:t>
      </w:r>
    </w:p>
    <w:p w:rsidR="00D860EE" w:rsidRDefault="00D860EE" w:rsidP="00D860EE">
      <w:pPr>
        <w:spacing w:after="0" w:line="360" w:lineRule="auto"/>
        <w:mirrorIndents/>
        <w:jc w:val="both"/>
        <w:rPr>
          <w:rFonts w:ascii="Arial" w:hAnsi="Arial" w:cs="Arial"/>
          <w:sz w:val="29"/>
          <w:szCs w:val="29"/>
          <w:lang w:val="es-MX"/>
        </w:rPr>
      </w:pPr>
    </w:p>
    <w:p w:rsidR="00BA1831" w:rsidRPr="009C226E" w:rsidRDefault="00BA1831" w:rsidP="00D860EE">
      <w:pPr>
        <w:spacing w:after="0" w:line="360" w:lineRule="auto"/>
        <w:mirrorIndents/>
        <w:jc w:val="both"/>
        <w:rPr>
          <w:rFonts w:ascii="Arial" w:hAnsi="Arial" w:cs="Arial"/>
          <w:sz w:val="29"/>
          <w:szCs w:val="29"/>
          <w:lang w:val="es-MX"/>
        </w:rPr>
      </w:pPr>
    </w:p>
    <w:p w:rsidR="00537461" w:rsidRPr="00451D63" w:rsidRDefault="00D860EE" w:rsidP="00D860EE">
      <w:pPr>
        <w:spacing w:after="0" w:line="360" w:lineRule="auto"/>
        <w:ind w:firstLine="851"/>
        <w:mirrorIndents/>
        <w:jc w:val="both"/>
        <w:rPr>
          <w:rFonts w:ascii="Arial" w:hAnsi="Arial" w:cs="Arial"/>
          <w:sz w:val="29"/>
          <w:szCs w:val="29"/>
        </w:rPr>
      </w:pPr>
      <w:r w:rsidRPr="000C087A">
        <w:rPr>
          <w:rFonts w:ascii="Arial" w:hAnsi="Arial" w:cs="Arial"/>
          <w:sz w:val="29"/>
          <w:szCs w:val="29"/>
        </w:rPr>
        <w:t xml:space="preserve">En sesión de </w:t>
      </w:r>
      <w:r>
        <w:rPr>
          <w:rFonts w:ascii="Arial" w:hAnsi="Arial" w:cs="Arial"/>
          <w:sz w:val="29"/>
          <w:szCs w:val="29"/>
        </w:rPr>
        <w:t>diecisiete de enero del dos mil dieciocho</w:t>
      </w:r>
      <w:r w:rsidRPr="000C087A">
        <w:rPr>
          <w:rFonts w:ascii="Arial" w:hAnsi="Arial" w:cs="Arial"/>
          <w:sz w:val="29"/>
          <w:szCs w:val="29"/>
        </w:rPr>
        <w:t>, la Segunda Sala de la Suprema Corte de Justicia de la Nación</w:t>
      </w:r>
      <w:r w:rsidR="00537461">
        <w:rPr>
          <w:rFonts w:ascii="Arial" w:hAnsi="Arial" w:cs="Arial"/>
          <w:sz w:val="29"/>
          <w:szCs w:val="29"/>
        </w:rPr>
        <w:t>, en la materia de su competencia, confirmó la sentencia recurrida en el amparo en revisión identificado al rubro, negó el amparo y declaró sin materi</w:t>
      </w:r>
      <w:r w:rsidR="00537461" w:rsidRPr="00451D63">
        <w:rPr>
          <w:rFonts w:ascii="Arial" w:hAnsi="Arial" w:cs="Arial"/>
          <w:sz w:val="29"/>
          <w:szCs w:val="29"/>
        </w:rPr>
        <w:t>a las revisiones adhesivas.</w:t>
      </w:r>
    </w:p>
    <w:p w:rsidR="00537461" w:rsidRPr="00451D63" w:rsidRDefault="00537461" w:rsidP="00D860EE">
      <w:pPr>
        <w:spacing w:after="0" w:line="360" w:lineRule="auto"/>
        <w:ind w:firstLine="851"/>
        <w:mirrorIndents/>
        <w:jc w:val="both"/>
        <w:rPr>
          <w:rFonts w:ascii="Arial" w:hAnsi="Arial" w:cs="Arial"/>
          <w:sz w:val="29"/>
          <w:szCs w:val="29"/>
        </w:rPr>
      </w:pPr>
    </w:p>
    <w:p w:rsidR="00E06570" w:rsidRPr="00451D63" w:rsidRDefault="00711240" w:rsidP="00E06570">
      <w:pPr>
        <w:pStyle w:val="Prrafodelista"/>
        <w:numPr>
          <w:ilvl w:val="0"/>
          <w:numId w:val="2"/>
        </w:numPr>
        <w:spacing w:after="0" w:line="360" w:lineRule="auto"/>
        <w:mirrorIndents/>
        <w:jc w:val="both"/>
        <w:rPr>
          <w:rFonts w:ascii="Arial" w:hAnsi="Arial" w:cs="Arial"/>
          <w:b/>
          <w:sz w:val="29"/>
          <w:szCs w:val="29"/>
        </w:rPr>
      </w:pPr>
      <w:r>
        <w:rPr>
          <w:rFonts w:ascii="Arial" w:hAnsi="Arial" w:cs="Arial"/>
          <w:b/>
          <w:sz w:val="29"/>
          <w:szCs w:val="29"/>
        </w:rPr>
        <w:t>Antecedentes</w:t>
      </w:r>
    </w:p>
    <w:p w:rsidR="00E06570" w:rsidRPr="00451D63" w:rsidRDefault="00E06570" w:rsidP="00E06570">
      <w:pPr>
        <w:spacing w:after="0" w:line="360" w:lineRule="auto"/>
        <w:ind w:firstLine="851"/>
        <w:mirrorIndents/>
        <w:jc w:val="both"/>
        <w:rPr>
          <w:rFonts w:ascii="Arial" w:hAnsi="Arial" w:cs="Arial"/>
          <w:sz w:val="29"/>
          <w:szCs w:val="29"/>
        </w:rPr>
      </w:pPr>
    </w:p>
    <w:p w:rsidR="00451D63" w:rsidRPr="00451D63" w:rsidRDefault="00E06570" w:rsidP="00451D63">
      <w:pPr>
        <w:spacing w:after="0" w:line="360" w:lineRule="auto"/>
        <w:ind w:firstLine="851"/>
        <w:mirrorIndents/>
        <w:jc w:val="both"/>
        <w:rPr>
          <w:rFonts w:ascii="Arial" w:hAnsi="Arial" w:cs="Arial"/>
          <w:sz w:val="29"/>
          <w:szCs w:val="29"/>
        </w:rPr>
      </w:pPr>
      <w:r w:rsidRPr="00451D63">
        <w:rPr>
          <w:rFonts w:ascii="Arial" w:hAnsi="Arial" w:cs="Arial"/>
          <w:sz w:val="29"/>
          <w:szCs w:val="29"/>
        </w:rPr>
        <w:t xml:space="preserve">Como se indica en la ejecutoria, </w:t>
      </w:r>
      <w:r w:rsidR="00451D63" w:rsidRPr="00451D63">
        <w:rPr>
          <w:rFonts w:ascii="Arial" w:hAnsi="Arial" w:cs="Arial"/>
          <w:sz w:val="29"/>
          <w:szCs w:val="29"/>
        </w:rPr>
        <w:t xml:space="preserve">los quejosos demandaron en la vía ordinaria civil a una empresa por incumplimiento de contrato de prestación de servicios profesionales y reclamaron determinados pagos. Para acreditar su acción aportaron diferentes pruebas solicitando al juez ordinario requiriera al Servicio de Administración Tributaria a efecto de que proporcionara otras relacionadas con la contabilidad de otra empresa.  </w:t>
      </w:r>
      <w:r w:rsidR="00451D63" w:rsidRPr="00451D63">
        <w:rPr>
          <w:rFonts w:ascii="Arial" w:hAnsi="Arial" w:cs="Arial"/>
          <w:b/>
          <w:sz w:val="29"/>
          <w:szCs w:val="29"/>
        </w:rPr>
        <w:t xml:space="preserve"> </w:t>
      </w:r>
    </w:p>
    <w:p w:rsidR="00451D63" w:rsidRPr="00451D63" w:rsidRDefault="00451D63" w:rsidP="00451D63">
      <w:pPr>
        <w:spacing w:after="0" w:line="360" w:lineRule="auto"/>
        <w:ind w:firstLine="851"/>
        <w:mirrorIndents/>
        <w:jc w:val="both"/>
        <w:rPr>
          <w:rFonts w:ascii="Arial" w:hAnsi="Arial" w:cs="Arial"/>
          <w:sz w:val="29"/>
          <w:szCs w:val="29"/>
        </w:rPr>
      </w:pPr>
    </w:p>
    <w:p w:rsidR="00451D63" w:rsidRPr="00451D63" w:rsidRDefault="00451D63" w:rsidP="00451D63">
      <w:pPr>
        <w:spacing w:after="0" w:line="360" w:lineRule="auto"/>
        <w:ind w:firstLine="851"/>
        <w:mirrorIndents/>
        <w:jc w:val="both"/>
        <w:rPr>
          <w:rFonts w:ascii="Arial" w:hAnsi="Arial" w:cs="Arial"/>
          <w:sz w:val="29"/>
          <w:szCs w:val="29"/>
        </w:rPr>
      </w:pPr>
      <w:r w:rsidRPr="00451D63">
        <w:rPr>
          <w:rFonts w:ascii="Arial" w:hAnsi="Arial" w:cs="Arial"/>
          <w:sz w:val="29"/>
          <w:szCs w:val="29"/>
        </w:rPr>
        <w:t>Al responder ese requerimiento hecho en el juicio ordinario, el citado órgano se negó a proporcionar la información solicitada por considerarla protegida por secreto fiscal y no encontrarse en los supuestos de excepción del artículo 69 del Código Fiscal Federal, y como información reservada conforme a los diversos 24, fracción VI, y 116 de la Ley General de Transparencia y Acceso a la Información Pública.</w:t>
      </w:r>
    </w:p>
    <w:p w:rsidR="00451D63" w:rsidRPr="00451D63" w:rsidRDefault="00451D63" w:rsidP="00451D63">
      <w:pPr>
        <w:spacing w:after="0" w:line="360" w:lineRule="auto"/>
        <w:ind w:firstLine="851"/>
        <w:mirrorIndents/>
        <w:jc w:val="both"/>
        <w:rPr>
          <w:rFonts w:ascii="Arial" w:hAnsi="Arial" w:cs="Arial"/>
          <w:sz w:val="29"/>
          <w:szCs w:val="29"/>
        </w:rPr>
      </w:pPr>
    </w:p>
    <w:p w:rsidR="00451D63" w:rsidRPr="00451D63" w:rsidRDefault="00451D63" w:rsidP="00451D63">
      <w:pPr>
        <w:pStyle w:val="corte4fondo"/>
        <w:ind w:firstLine="851"/>
        <w:rPr>
          <w:rFonts w:cs="Arial"/>
          <w:sz w:val="29"/>
          <w:szCs w:val="29"/>
        </w:rPr>
      </w:pPr>
      <w:r w:rsidRPr="00451D63">
        <w:rPr>
          <w:rFonts w:cs="Arial"/>
          <w:sz w:val="29"/>
          <w:szCs w:val="29"/>
        </w:rPr>
        <w:lastRenderedPageBreak/>
        <w:t>Ante esa negativa, los quejosos promovieron amparo indirecto contra los artículos 69 del Código Fiscal de la Federación y 116 de la Ley General de Transparencia y Acceso a la Información Pública, así como contra el oficio en el que se aplicaron dichas normas. En sus conceptos de violación afirmaron que tales preceptos violan en su perjuicio el derecho de acceso a la justicia y al debido proceso porque prevén una medida de protección a la información innecesaria por lo que no superan el test de proporcionalidad, originando que se dificulte su acceso a la justicia.</w:t>
      </w:r>
    </w:p>
    <w:p w:rsidR="00451D63" w:rsidRDefault="00451D63" w:rsidP="00451D63">
      <w:pPr>
        <w:pStyle w:val="corte4fondo"/>
        <w:ind w:firstLine="851"/>
        <w:rPr>
          <w:rFonts w:cs="Arial"/>
          <w:sz w:val="29"/>
          <w:szCs w:val="29"/>
        </w:rPr>
      </w:pPr>
    </w:p>
    <w:p w:rsidR="00451D63" w:rsidRDefault="00711240" w:rsidP="00451D63">
      <w:pPr>
        <w:pStyle w:val="corte4fondo"/>
        <w:ind w:firstLine="851"/>
        <w:rPr>
          <w:rFonts w:cs="Arial"/>
          <w:sz w:val="29"/>
          <w:szCs w:val="29"/>
        </w:rPr>
      </w:pPr>
      <w:r>
        <w:rPr>
          <w:rFonts w:cs="Arial"/>
          <w:sz w:val="29"/>
          <w:szCs w:val="29"/>
        </w:rPr>
        <w:t>En la sentencia recurrida el juez de Distrito</w:t>
      </w:r>
      <w:r w:rsidR="00451D63" w:rsidRPr="00451D63">
        <w:rPr>
          <w:rFonts w:cs="Arial"/>
          <w:sz w:val="29"/>
          <w:szCs w:val="29"/>
        </w:rPr>
        <w:t xml:space="preserve"> por una parte, </w:t>
      </w:r>
      <w:r w:rsidR="00451D63" w:rsidRPr="00451D63">
        <w:rPr>
          <w:rFonts w:cs="Arial"/>
          <w:b/>
          <w:sz w:val="29"/>
          <w:szCs w:val="29"/>
        </w:rPr>
        <w:t>sobreseyó</w:t>
      </w:r>
      <w:r w:rsidR="00451D63" w:rsidRPr="00451D63">
        <w:rPr>
          <w:rFonts w:cs="Arial"/>
          <w:sz w:val="29"/>
          <w:szCs w:val="29"/>
        </w:rPr>
        <w:t xml:space="preserve"> en el juicio respecto de la publicación de las normas reclamadas, por ausencia de conceptos de violación y, por otra, </w:t>
      </w:r>
      <w:r w:rsidR="00451D63" w:rsidRPr="00451D63">
        <w:rPr>
          <w:rFonts w:cs="Arial"/>
          <w:b/>
          <w:sz w:val="29"/>
          <w:szCs w:val="29"/>
        </w:rPr>
        <w:t>negó el amparo</w:t>
      </w:r>
      <w:r w:rsidR="00451D63" w:rsidRPr="00451D63">
        <w:rPr>
          <w:rFonts w:cs="Arial"/>
          <w:sz w:val="29"/>
          <w:szCs w:val="29"/>
        </w:rPr>
        <w:t xml:space="preserve"> contra dichas normas y su acto concreto de aplicación, por considerar infundados los planteamientos de inconstitucionalidad.</w:t>
      </w:r>
      <w:r w:rsidR="001C48E4">
        <w:rPr>
          <w:rFonts w:cs="Arial"/>
          <w:sz w:val="29"/>
          <w:szCs w:val="29"/>
        </w:rPr>
        <w:t xml:space="preserve"> Inconformes con esa decisión, las partes interpusieron recursos de revisión principal y adhesivos.</w:t>
      </w:r>
    </w:p>
    <w:p w:rsidR="00451D63" w:rsidRPr="00451D63" w:rsidRDefault="00451D63" w:rsidP="00451D63">
      <w:pPr>
        <w:pStyle w:val="corte4fondo"/>
        <w:ind w:firstLine="851"/>
        <w:rPr>
          <w:sz w:val="29"/>
          <w:szCs w:val="29"/>
        </w:rPr>
      </w:pPr>
    </w:p>
    <w:p w:rsidR="00E06570" w:rsidRPr="00C976DA" w:rsidRDefault="00711240" w:rsidP="00E06570">
      <w:pPr>
        <w:pStyle w:val="corte4fondo"/>
        <w:numPr>
          <w:ilvl w:val="0"/>
          <w:numId w:val="2"/>
        </w:numPr>
        <w:rPr>
          <w:rFonts w:cs="Arial"/>
          <w:sz w:val="29"/>
          <w:szCs w:val="29"/>
          <w:lang w:eastAsia="es-MX"/>
        </w:rPr>
      </w:pPr>
      <w:r>
        <w:rPr>
          <w:rFonts w:cs="Arial"/>
          <w:b/>
          <w:sz w:val="29"/>
          <w:szCs w:val="29"/>
          <w:lang w:eastAsia="es-MX"/>
        </w:rPr>
        <w:t>Razones de la mayoría</w:t>
      </w:r>
    </w:p>
    <w:p w:rsidR="00E06570" w:rsidRDefault="00E06570" w:rsidP="00E06570">
      <w:pPr>
        <w:pStyle w:val="corte4fondo"/>
        <w:ind w:left="1571" w:firstLine="0"/>
        <w:rPr>
          <w:rFonts w:cs="Arial"/>
          <w:sz w:val="29"/>
          <w:szCs w:val="29"/>
          <w:lang w:eastAsia="es-MX"/>
        </w:rPr>
      </w:pPr>
    </w:p>
    <w:p w:rsidR="001C48E4" w:rsidRPr="00451D63" w:rsidRDefault="00E06570" w:rsidP="001C48E4">
      <w:pPr>
        <w:pStyle w:val="corte4fondo"/>
        <w:ind w:firstLine="851"/>
        <w:rPr>
          <w:rFonts w:cs="Arial"/>
          <w:sz w:val="29"/>
          <w:szCs w:val="29"/>
          <w:lang w:eastAsia="es-MX"/>
        </w:rPr>
      </w:pPr>
      <w:r w:rsidRPr="00A81629">
        <w:rPr>
          <w:rFonts w:cs="Arial"/>
          <w:sz w:val="29"/>
          <w:szCs w:val="29"/>
          <w:lang w:eastAsia="es-MX"/>
        </w:rPr>
        <w:t xml:space="preserve">La </w:t>
      </w:r>
      <w:r w:rsidR="001C48E4">
        <w:rPr>
          <w:rFonts w:cs="Arial"/>
          <w:sz w:val="29"/>
          <w:szCs w:val="29"/>
          <w:lang w:eastAsia="es-MX"/>
        </w:rPr>
        <w:t xml:space="preserve">mayoría de la Segunda Sala </w:t>
      </w:r>
      <w:r w:rsidR="00711240">
        <w:rPr>
          <w:rFonts w:cs="Arial"/>
          <w:sz w:val="29"/>
          <w:szCs w:val="29"/>
          <w:lang w:eastAsia="es-MX"/>
        </w:rPr>
        <w:t>sostuvo</w:t>
      </w:r>
      <w:r w:rsidR="001C48E4">
        <w:rPr>
          <w:rFonts w:cs="Arial"/>
          <w:sz w:val="29"/>
          <w:szCs w:val="29"/>
          <w:lang w:eastAsia="es-MX"/>
        </w:rPr>
        <w:t xml:space="preserve"> que el juicio es procedente y, por ende, que debe resolverse el fondo de la controversia, razón por la que, como se dijo, </w:t>
      </w:r>
      <w:r w:rsidR="001C48E4">
        <w:rPr>
          <w:rFonts w:cs="Arial"/>
          <w:sz w:val="29"/>
          <w:szCs w:val="29"/>
        </w:rPr>
        <w:t>confirmaron la sentencia recurrida, negaron el amparo y declararon sin materi</w:t>
      </w:r>
      <w:r w:rsidR="001C48E4" w:rsidRPr="00451D63">
        <w:rPr>
          <w:rFonts w:cs="Arial"/>
          <w:sz w:val="29"/>
          <w:szCs w:val="29"/>
        </w:rPr>
        <w:t>a las revisiones adhesivas.</w:t>
      </w:r>
    </w:p>
    <w:p w:rsidR="00E06570" w:rsidRDefault="00E06570" w:rsidP="00E06570">
      <w:pPr>
        <w:pStyle w:val="corte4fondo"/>
        <w:ind w:firstLine="851"/>
        <w:rPr>
          <w:rFonts w:cs="Arial"/>
          <w:sz w:val="29"/>
          <w:szCs w:val="29"/>
          <w:lang w:val="es-MX"/>
        </w:rPr>
      </w:pPr>
    </w:p>
    <w:p w:rsidR="00E06570" w:rsidRPr="00C976DA" w:rsidRDefault="00711240" w:rsidP="00E06570">
      <w:pPr>
        <w:pStyle w:val="corte4fondo"/>
        <w:numPr>
          <w:ilvl w:val="0"/>
          <w:numId w:val="2"/>
        </w:numPr>
        <w:rPr>
          <w:rFonts w:cs="Arial"/>
          <w:sz w:val="29"/>
          <w:szCs w:val="29"/>
          <w:lang w:eastAsia="es-MX"/>
        </w:rPr>
      </w:pPr>
      <w:r>
        <w:rPr>
          <w:rFonts w:cs="Arial"/>
          <w:b/>
          <w:sz w:val="29"/>
          <w:szCs w:val="29"/>
          <w:lang w:eastAsia="es-MX"/>
        </w:rPr>
        <w:t>Razones del disenso</w:t>
      </w:r>
      <w:r w:rsidR="00E06570" w:rsidRPr="00C976DA">
        <w:rPr>
          <w:rFonts w:cs="Arial"/>
          <w:b/>
          <w:sz w:val="29"/>
          <w:szCs w:val="29"/>
          <w:lang w:eastAsia="es-MX"/>
        </w:rPr>
        <w:t xml:space="preserve"> </w:t>
      </w:r>
    </w:p>
    <w:p w:rsidR="00E06570" w:rsidRDefault="00E06570" w:rsidP="00E06570">
      <w:pPr>
        <w:pStyle w:val="corte4fondo"/>
        <w:ind w:firstLine="851"/>
        <w:rPr>
          <w:rFonts w:cs="Arial"/>
          <w:sz w:val="29"/>
          <w:szCs w:val="29"/>
          <w:lang w:val="es-MX"/>
        </w:rPr>
      </w:pPr>
    </w:p>
    <w:p w:rsidR="00BA1831" w:rsidRDefault="00E06570" w:rsidP="00BA1831">
      <w:pPr>
        <w:pStyle w:val="corte4fondo"/>
        <w:ind w:firstLine="851"/>
        <w:rPr>
          <w:rFonts w:cs="Arial"/>
          <w:sz w:val="29"/>
          <w:szCs w:val="29"/>
          <w:lang w:val="es-MX"/>
        </w:rPr>
      </w:pPr>
      <w:r>
        <w:rPr>
          <w:rFonts w:cs="Arial"/>
          <w:sz w:val="29"/>
          <w:szCs w:val="29"/>
          <w:lang w:val="es-MX"/>
        </w:rPr>
        <w:lastRenderedPageBreak/>
        <w:t xml:space="preserve">Respetuosamente disiento del criterio mayoritario al estimar que en el caso </w:t>
      </w:r>
      <w:r w:rsidR="001C48E4">
        <w:rPr>
          <w:rFonts w:cs="Arial"/>
          <w:sz w:val="29"/>
          <w:szCs w:val="29"/>
          <w:lang w:val="es-MX"/>
        </w:rPr>
        <w:t>debe modificarse la sentencia recurrida y sobreseerse en el juicio de amparo, por lo siguiente</w:t>
      </w:r>
      <w:r w:rsidR="00BA1831">
        <w:rPr>
          <w:rFonts w:cs="Arial"/>
          <w:sz w:val="29"/>
          <w:szCs w:val="29"/>
          <w:lang w:val="es-MX"/>
        </w:rPr>
        <w:t>.</w:t>
      </w:r>
    </w:p>
    <w:p w:rsidR="00BA1831" w:rsidRPr="00BA1831" w:rsidRDefault="00BA1831" w:rsidP="00BA1831">
      <w:pPr>
        <w:pStyle w:val="corte4fondo"/>
        <w:ind w:firstLine="851"/>
        <w:rPr>
          <w:rFonts w:cs="Arial"/>
          <w:sz w:val="29"/>
          <w:szCs w:val="29"/>
          <w:lang w:val="es-MX"/>
        </w:rPr>
      </w:pPr>
    </w:p>
    <w:p w:rsidR="00BA1831" w:rsidRPr="00BA1831" w:rsidRDefault="00BA1831" w:rsidP="00BA1831">
      <w:pPr>
        <w:pStyle w:val="corte4fondo"/>
        <w:ind w:firstLine="851"/>
        <w:rPr>
          <w:rFonts w:cs="Arial"/>
          <w:sz w:val="29"/>
          <w:szCs w:val="29"/>
        </w:rPr>
      </w:pPr>
      <w:r w:rsidRPr="00BA1831">
        <w:rPr>
          <w:rFonts w:cs="Arial"/>
          <w:sz w:val="29"/>
          <w:szCs w:val="29"/>
        </w:rPr>
        <w:t>Como los quejosos reconocen en la demanda, el acto de aplicación de las normas reclamadas se emitió en el juicio ordinario civil que promovieron contra una empresa por el cumplimiento de un contrato de prestación de servicios profesionales y los conceptos de violación que proponen están encaminados a evidenciar violación al derecho de acceso a la justicia, es decir, derechos adjetivos.</w:t>
      </w:r>
    </w:p>
    <w:p w:rsidR="00BA1831" w:rsidRPr="00BA1831" w:rsidRDefault="00BA1831" w:rsidP="00BA1831">
      <w:pPr>
        <w:pStyle w:val="corte4fondo"/>
        <w:ind w:firstLine="851"/>
        <w:rPr>
          <w:rFonts w:cs="Arial"/>
          <w:sz w:val="29"/>
          <w:szCs w:val="29"/>
        </w:rPr>
      </w:pPr>
    </w:p>
    <w:p w:rsidR="00BA1831" w:rsidRPr="00BA1831" w:rsidRDefault="00BA1831" w:rsidP="00BA1831">
      <w:pPr>
        <w:pStyle w:val="corte4fondo"/>
        <w:ind w:firstLine="851"/>
        <w:rPr>
          <w:rFonts w:cs="Arial"/>
          <w:sz w:val="29"/>
          <w:szCs w:val="29"/>
        </w:rPr>
      </w:pPr>
      <w:r w:rsidRPr="00BA1831">
        <w:rPr>
          <w:rFonts w:cs="Arial"/>
          <w:sz w:val="29"/>
          <w:szCs w:val="29"/>
        </w:rPr>
        <w:t>Conforme al artículo 107, fracción V, de la Ley de Amparo, el juicio de amparo indirecto procede contra actos en juicio cuyos efectos sean de imposible reparación, entendiéndose por ellos los que afecten materialmente derechos sustantivos tutelados en la Constitución Federal y en los tratados internacionales de los que el Estado Mexicano sea parte.</w:t>
      </w:r>
    </w:p>
    <w:p w:rsidR="00BA1831" w:rsidRPr="00BA1831" w:rsidRDefault="00BA1831" w:rsidP="00BA1831">
      <w:pPr>
        <w:pStyle w:val="corte4fondo"/>
        <w:ind w:firstLine="851"/>
        <w:rPr>
          <w:rFonts w:cs="Arial"/>
          <w:sz w:val="29"/>
          <w:szCs w:val="29"/>
        </w:rPr>
      </w:pPr>
    </w:p>
    <w:p w:rsidR="00BA1831" w:rsidRPr="00BA1831" w:rsidRDefault="00BA1831" w:rsidP="00BA1831">
      <w:pPr>
        <w:pStyle w:val="corte4fondo"/>
        <w:ind w:firstLine="851"/>
        <w:rPr>
          <w:rFonts w:cs="Arial"/>
          <w:sz w:val="29"/>
          <w:szCs w:val="29"/>
        </w:rPr>
      </w:pPr>
      <w:r w:rsidRPr="00BA1831">
        <w:rPr>
          <w:rFonts w:cs="Arial"/>
          <w:sz w:val="29"/>
          <w:szCs w:val="29"/>
        </w:rPr>
        <w:t>Si como se dijo, el acto concreto de aplicación de las normas tildadas de inconstitucionales consistió en un acto emitido dentro de un juicio en que se proponen únicamente violación a derechos adjetivos, a mi juicio es claro que el juicio debe sobreseerse.</w:t>
      </w:r>
    </w:p>
    <w:p w:rsidR="00BA1831" w:rsidRPr="00BA1831" w:rsidRDefault="00BA1831" w:rsidP="00BA1831">
      <w:pPr>
        <w:pStyle w:val="corte4fondo"/>
        <w:ind w:firstLine="851"/>
        <w:rPr>
          <w:rFonts w:cs="Arial"/>
          <w:sz w:val="29"/>
          <w:szCs w:val="29"/>
        </w:rPr>
      </w:pPr>
    </w:p>
    <w:p w:rsidR="00BA1831" w:rsidRPr="00BA1831" w:rsidRDefault="00BA1831" w:rsidP="00BA1831">
      <w:pPr>
        <w:pStyle w:val="corte4fondo"/>
        <w:ind w:firstLine="851"/>
        <w:rPr>
          <w:rFonts w:cs="Arial"/>
          <w:sz w:val="29"/>
          <w:szCs w:val="29"/>
        </w:rPr>
      </w:pPr>
      <w:r w:rsidRPr="00BA1831">
        <w:rPr>
          <w:rFonts w:cs="Arial"/>
          <w:sz w:val="29"/>
          <w:szCs w:val="29"/>
        </w:rPr>
        <w:t>Máxime si se considera que conforme a las constancias de autos se desconoce si el juicio ordinario civil ya culminó y el sentido en que se resolvió, pues pudiera ser que incluso los quejosos hubieran demostrado su pretensión sin necesidad de las pruebas o información que se solicitó al Servicio de Administración Tributaria, aspecto que evidencia aún más la improcedencia del amparo.</w:t>
      </w:r>
    </w:p>
    <w:p w:rsidR="00BA1831" w:rsidRPr="00BA1831" w:rsidRDefault="00BA1831" w:rsidP="00BA1831">
      <w:pPr>
        <w:pStyle w:val="corte4fondo"/>
        <w:ind w:firstLine="851"/>
        <w:rPr>
          <w:rFonts w:cs="Arial"/>
          <w:sz w:val="29"/>
          <w:szCs w:val="29"/>
        </w:rPr>
      </w:pPr>
    </w:p>
    <w:p w:rsidR="00BA1831" w:rsidRPr="00BA1831" w:rsidRDefault="00BA1831" w:rsidP="00BA1831">
      <w:pPr>
        <w:pStyle w:val="corte4fondo"/>
        <w:ind w:firstLine="851"/>
        <w:rPr>
          <w:rFonts w:cs="Arial"/>
          <w:sz w:val="29"/>
          <w:szCs w:val="29"/>
          <w:lang w:val="es-MX"/>
        </w:rPr>
      </w:pPr>
      <w:r w:rsidRPr="00BA1831">
        <w:rPr>
          <w:rFonts w:cs="Arial"/>
          <w:sz w:val="29"/>
          <w:szCs w:val="29"/>
        </w:rPr>
        <w:t>En todo caso, la violación ahora propuesta debe combatirse vía amparo directo una vez que se dicte la sentencia definitiva.</w:t>
      </w:r>
    </w:p>
    <w:p w:rsidR="00BA1831" w:rsidRDefault="00BA1831" w:rsidP="00E06570">
      <w:pPr>
        <w:pStyle w:val="corte4fondo"/>
        <w:ind w:firstLine="851"/>
        <w:rPr>
          <w:rFonts w:cs="Arial"/>
          <w:sz w:val="29"/>
          <w:szCs w:val="29"/>
          <w:lang w:val="es-MX"/>
        </w:rPr>
      </w:pPr>
    </w:p>
    <w:p w:rsidR="00E06570" w:rsidRPr="003660E4" w:rsidRDefault="00E06570" w:rsidP="00E06570">
      <w:pPr>
        <w:spacing w:after="0" w:line="360" w:lineRule="auto"/>
        <w:jc w:val="center"/>
        <w:rPr>
          <w:rFonts w:ascii="Arial" w:hAnsi="Arial" w:cs="Arial"/>
          <w:sz w:val="29"/>
          <w:szCs w:val="29"/>
        </w:rPr>
      </w:pPr>
    </w:p>
    <w:p w:rsidR="00E06570" w:rsidRPr="003660E4" w:rsidRDefault="00E06570" w:rsidP="00E06570">
      <w:pPr>
        <w:spacing w:after="0" w:line="360" w:lineRule="auto"/>
        <w:jc w:val="center"/>
        <w:rPr>
          <w:rFonts w:ascii="Arial" w:hAnsi="Arial" w:cs="Arial"/>
          <w:sz w:val="29"/>
          <w:szCs w:val="29"/>
          <w:lang w:val="es-MX"/>
        </w:rPr>
      </w:pPr>
    </w:p>
    <w:p w:rsidR="00E06570" w:rsidRPr="003660E4" w:rsidRDefault="00E06570" w:rsidP="00E06570">
      <w:pPr>
        <w:spacing w:after="0" w:line="360" w:lineRule="auto"/>
        <w:jc w:val="center"/>
        <w:rPr>
          <w:rFonts w:ascii="Arial" w:hAnsi="Arial" w:cs="Arial"/>
          <w:sz w:val="29"/>
          <w:szCs w:val="29"/>
          <w:lang w:val="es-MX"/>
        </w:rPr>
      </w:pPr>
    </w:p>
    <w:p w:rsidR="00E06570" w:rsidRPr="003660E4" w:rsidRDefault="00E06570" w:rsidP="00E06570">
      <w:pPr>
        <w:spacing w:after="0" w:line="360" w:lineRule="auto"/>
        <w:mirrorIndents/>
        <w:jc w:val="center"/>
        <w:rPr>
          <w:sz w:val="29"/>
          <w:szCs w:val="29"/>
        </w:rPr>
      </w:pPr>
      <w:r w:rsidRPr="003660E4">
        <w:rPr>
          <w:rFonts w:ascii="Arial" w:hAnsi="Arial" w:cs="Arial"/>
          <w:b/>
          <w:sz w:val="29"/>
          <w:szCs w:val="29"/>
          <w:lang w:val="es-MX"/>
        </w:rPr>
        <w:t>MINISTRO JAVIER LAYNEZ POTISEK</w:t>
      </w:r>
    </w:p>
    <w:p w:rsidR="00E06570" w:rsidRPr="00BA1831" w:rsidRDefault="00E06570" w:rsidP="00D860EE">
      <w:pPr>
        <w:spacing w:after="0" w:line="360" w:lineRule="auto"/>
        <w:ind w:firstLine="851"/>
        <w:mirrorIndents/>
        <w:jc w:val="both"/>
        <w:rPr>
          <w:rFonts w:ascii="Arial" w:hAnsi="Arial" w:cs="Arial"/>
        </w:rPr>
      </w:pPr>
      <w:r w:rsidRPr="00BA1831">
        <w:rPr>
          <w:rFonts w:ascii="Arial" w:hAnsi="Arial" w:cs="Arial"/>
        </w:rPr>
        <w:t>GFQ</w:t>
      </w:r>
    </w:p>
    <w:sectPr w:rsidR="00E06570" w:rsidRPr="00BA1831" w:rsidSect="00A506E0">
      <w:headerReference w:type="even" r:id="rId7"/>
      <w:headerReference w:type="default" r:id="rId8"/>
      <w:footerReference w:type="even" r:id="rId9"/>
      <w:footerReference w:type="default" r:id="rId10"/>
      <w:headerReference w:type="first" r:id="rId11"/>
      <w:pgSz w:w="12242" w:h="19442" w:code="10004"/>
      <w:pgMar w:top="2268" w:right="1701" w:bottom="2268" w:left="1701" w:header="1134" w:footer="17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AEC" w:rsidRDefault="00142AEC" w:rsidP="00D860EE">
      <w:pPr>
        <w:spacing w:after="0" w:line="240" w:lineRule="auto"/>
      </w:pPr>
      <w:r>
        <w:separator/>
      </w:r>
    </w:p>
  </w:endnote>
  <w:endnote w:type="continuationSeparator" w:id="0">
    <w:p w:rsidR="00142AEC" w:rsidRDefault="00142AEC" w:rsidP="00D86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D95" w:rsidRPr="007606D1" w:rsidRDefault="00BA1831" w:rsidP="007606D1">
    <w:pPr>
      <w:pStyle w:val="Piedepgina"/>
      <w:framePr w:wrap="around" w:vAnchor="text" w:hAnchor="margin" w:xAlign="center" w:y="1"/>
      <w:jc w:val="right"/>
      <w:rPr>
        <w:rStyle w:val="Nmerodepgina"/>
        <w:rFonts w:ascii="Arial" w:hAnsi="Arial" w:cs="Arial"/>
      </w:rPr>
    </w:pPr>
    <w:r w:rsidRPr="007606D1">
      <w:rPr>
        <w:rStyle w:val="Nmerodepgina"/>
        <w:rFonts w:ascii="Arial" w:hAnsi="Arial" w:cs="Arial"/>
      </w:rPr>
      <w:fldChar w:fldCharType="begin"/>
    </w:r>
    <w:r w:rsidRPr="007606D1">
      <w:rPr>
        <w:rStyle w:val="Nmerodepgina"/>
        <w:rFonts w:ascii="Arial" w:hAnsi="Arial" w:cs="Arial"/>
      </w:rPr>
      <w:instrText xml:space="preserve">PAGE  </w:instrText>
    </w:r>
    <w:r w:rsidRPr="007606D1">
      <w:rPr>
        <w:rStyle w:val="Nmerodepgina"/>
        <w:rFonts w:ascii="Arial" w:hAnsi="Arial" w:cs="Arial"/>
      </w:rPr>
      <w:fldChar w:fldCharType="separate"/>
    </w:r>
    <w:r w:rsidR="005A5D63">
      <w:rPr>
        <w:rStyle w:val="Nmerodepgina"/>
        <w:rFonts w:ascii="Arial" w:hAnsi="Arial" w:cs="Arial"/>
        <w:noProof/>
      </w:rPr>
      <w:t>4</w:t>
    </w:r>
    <w:r w:rsidRPr="007606D1">
      <w:rPr>
        <w:rStyle w:val="Nmerodepgina"/>
        <w:rFonts w:ascii="Arial" w:hAnsi="Arial" w:cs="Arial"/>
      </w:rPr>
      <w:fldChar w:fldCharType="end"/>
    </w:r>
  </w:p>
  <w:p w:rsidR="00592D95" w:rsidRDefault="00142AEC" w:rsidP="007606D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983" w:rsidRPr="002B3C9B" w:rsidRDefault="00BA1831" w:rsidP="007606D1">
    <w:pPr>
      <w:pStyle w:val="Piedepgina"/>
      <w:jc w:val="center"/>
      <w:rPr>
        <w:rFonts w:ascii="Arial" w:hAnsi="Arial" w:cs="Arial"/>
      </w:rPr>
    </w:pPr>
    <w:r w:rsidRPr="002B3C9B">
      <w:rPr>
        <w:rFonts w:ascii="Arial" w:hAnsi="Arial" w:cs="Arial"/>
      </w:rPr>
      <w:fldChar w:fldCharType="begin"/>
    </w:r>
    <w:r w:rsidRPr="002B3C9B">
      <w:rPr>
        <w:rFonts w:ascii="Arial" w:hAnsi="Arial" w:cs="Arial"/>
      </w:rPr>
      <w:instrText>PAGE   \* MERGEFORMAT</w:instrText>
    </w:r>
    <w:r w:rsidRPr="002B3C9B">
      <w:rPr>
        <w:rFonts w:ascii="Arial" w:hAnsi="Arial" w:cs="Arial"/>
      </w:rPr>
      <w:fldChar w:fldCharType="separate"/>
    </w:r>
    <w:r w:rsidR="005A5D63" w:rsidRPr="005A5D63">
      <w:rPr>
        <w:rFonts w:ascii="Arial" w:hAnsi="Arial" w:cs="Arial"/>
        <w:noProof/>
        <w:lang w:val="es-ES"/>
      </w:rPr>
      <w:t>3</w:t>
    </w:r>
    <w:r w:rsidRPr="002B3C9B">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AEC" w:rsidRDefault="00142AEC" w:rsidP="00D860EE">
      <w:pPr>
        <w:spacing w:after="0" w:line="240" w:lineRule="auto"/>
      </w:pPr>
      <w:r>
        <w:separator/>
      </w:r>
    </w:p>
  </w:footnote>
  <w:footnote w:type="continuationSeparator" w:id="0">
    <w:p w:rsidR="00142AEC" w:rsidRDefault="00142AEC" w:rsidP="00D860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240" w:rsidRDefault="00711240" w:rsidP="007F6848">
    <w:pPr>
      <w:pStyle w:val="Encabezado"/>
      <w:jc w:val="right"/>
      <w:rPr>
        <w:rFonts w:ascii="Arial" w:hAnsi="Arial" w:cs="Arial"/>
        <w:b/>
      </w:rPr>
    </w:pPr>
  </w:p>
  <w:p w:rsidR="00A01EC5" w:rsidRDefault="00BA1831" w:rsidP="007F6848">
    <w:pPr>
      <w:pStyle w:val="Encabezado"/>
      <w:jc w:val="right"/>
      <w:rPr>
        <w:rFonts w:ascii="Arial" w:hAnsi="Arial" w:cs="Arial"/>
        <w:b/>
      </w:rPr>
    </w:pPr>
    <w:r>
      <w:rPr>
        <w:rFonts w:ascii="Arial" w:hAnsi="Arial" w:cs="Arial"/>
        <w:b/>
      </w:rPr>
      <w:t xml:space="preserve">VOTO </w:t>
    </w:r>
    <w:r w:rsidR="00711240">
      <w:rPr>
        <w:rFonts w:ascii="Arial" w:hAnsi="Arial" w:cs="Arial"/>
        <w:b/>
      </w:rPr>
      <w:t>PARTICULAR</w:t>
    </w:r>
    <w:r>
      <w:rPr>
        <w:rFonts w:ascii="Arial" w:hAnsi="Arial" w:cs="Arial"/>
        <w:b/>
      </w:rPr>
      <w:t xml:space="preserve"> FORMULADO EN EL</w:t>
    </w:r>
  </w:p>
  <w:p w:rsidR="00A01EC5" w:rsidRPr="00762983" w:rsidRDefault="00A506E0" w:rsidP="00A01EC5">
    <w:pPr>
      <w:pStyle w:val="Encabezado"/>
      <w:jc w:val="right"/>
      <w:rPr>
        <w:rFonts w:ascii="Arial" w:hAnsi="Arial" w:cs="Arial"/>
        <w:b/>
      </w:rPr>
    </w:pPr>
    <w:r>
      <w:rPr>
        <w:rFonts w:ascii="Arial" w:hAnsi="Arial" w:cs="Arial"/>
        <w:b/>
      </w:rPr>
      <w:t>AMPARO</w:t>
    </w:r>
    <w:r w:rsidR="00BA1831">
      <w:rPr>
        <w:rFonts w:ascii="Arial" w:hAnsi="Arial" w:cs="Arial"/>
        <w:b/>
      </w:rPr>
      <w:t xml:space="preserve"> EN REVISIÓN </w:t>
    </w:r>
    <w:r w:rsidR="00711240">
      <w:rPr>
        <w:rFonts w:ascii="Arial" w:hAnsi="Arial" w:cs="Arial"/>
        <w:b/>
      </w:rPr>
      <w:t>963</w:t>
    </w:r>
    <w:r w:rsidR="00BA1831">
      <w:rPr>
        <w:rFonts w:ascii="Arial" w:hAnsi="Arial" w:cs="Arial"/>
        <w:b/>
      </w:rPr>
      <w:t>/2017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240" w:rsidRDefault="00711240" w:rsidP="00762983">
    <w:pPr>
      <w:pStyle w:val="Encabezado"/>
      <w:jc w:val="right"/>
      <w:rPr>
        <w:rFonts w:ascii="Arial" w:hAnsi="Arial" w:cs="Arial"/>
        <w:b/>
      </w:rPr>
    </w:pPr>
  </w:p>
  <w:p w:rsidR="00A63DCA" w:rsidRDefault="00BA1831" w:rsidP="00762983">
    <w:pPr>
      <w:pStyle w:val="Encabezado"/>
      <w:jc w:val="right"/>
      <w:rPr>
        <w:rFonts w:ascii="Arial" w:hAnsi="Arial" w:cs="Arial"/>
        <w:b/>
      </w:rPr>
    </w:pPr>
    <w:r>
      <w:rPr>
        <w:noProof/>
        <w:lang w:val="es-MX" w:eastAsia="es-MX"/>
      </w:rPr>
      <mc:AlternateContent>
        <mc:Choice Requires="wps">
          <w:drawing>
            <wp:anchor distT="0" distB="0" distL="114300" distR="114300" simplePos="0" relativeHeight="251659264" behindDoc="1" locked="0" layoutInCell="1" allowOverlap="1" wp14:anchorId="481B502A" wp14:editId="5ADF4129">
              <wp:simplePos x="0" y="0"/>
              <wp:positionH relativeFrom="margin">
                <wp:posOffset>-626745</wp:posOffset>
              </wp:positionH>
              <wp:positionV relativeFrom="margin">
                <wp:posOffset>-1122045</wp:posOffset>
              </wp:positionV>
              <wp:extent cx="1946910" cy="1835150"/>
              <wp:effectExtent l="0" t="0" r="0" b="0"/>
              <wp:wrapSquare wrapText="bothSides"/>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6910" cy="1835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95380" id="Rectangle 2" o:spid="_x0000_s1026" style="position:absolute;margin-left:-49.35pt;margin-top:-88.35pt;width:153.3pt;height:14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" stroked="f">
              <w10:wrap type="square" anchorx="margin" anchory="margin"/>
            </v:rect>
          </w:pict>
        </mc:Fallback>
      </mc:AlternateContent>
    </w:r>
    <w:r>
      <w:rPr>
        <w:rFonts w:ascii="Arial" w:hAnsi="Arial" w:cs="Arial"/>
        <w:b/>
      </w:rPr>
      <w:t>VOTO PARTICULAR FORMULADO EN EL</w:t>
    </w:r>
  </w:p>
  <w:p w:rsidR="00762983" w:rsidRPr="00756058" w:rsidRDefault="00BA1831" w:rsidP="00762983">
    <w:pPr>
      <w:pStyle w:val="Encabezado"/>
      <w:jc w:val="right"/>
      <w:rPr>
        <w:rFonts w:ascii="Arial" w:hAnsi="Arial" w:cs="Arial"/>
        <w:b/>
        <w:lang w:val="es-MX"/>
      </w:rPr>
    </w:pPr>
    <w:r w:rsidRPr="00762983">
      <w:rPr>
        <w:rFonts w:ascii="Arial" w:hAnsi="Arial" w:cs="Arial"/>
        <w:b/>
      </w:rPr>
      <w:t>AMPARO EN REVISIÓN</w:t>
    </w:r>
    <w:r>
      <w:rPr>
        <w:rFonts w:ascii="Arial" w:hAnsi="Arial" w:cs="Arial"/>
        <w:b/>
      </w:rPr>
      <w:t xml:space="preserve"> </w:t>
    </w:r>
    <w:r w:rsidR="00D860EE">
      <w:rPr>
        <w:rFonts w:ascii="Arial" w:hAnsi="Arial" w:cs="Arial"/>
        <w:b/>
      </w:rPr>
      <w:t>963</w:t>
    </w:r>
    <w:r>
      <w:rPr>
        <w:rFonts w:ascii="Arial" w:hAnsi="Arial" w:cs="Arial"/>
        <w:b/>
      </w:rPr>
      <w:t>/2017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F49" w:rsidRDefault="00BA1831">
    <w:pPr>
      <w:pStyle w:val="Encabezado"/>
    </w:pPr>
    <w:r>
      <w:rPr>
        <w:noProof/>
        <w:lang w:val="es-MX" w:eastAsia="es-MX"/>
      </w:rPr>
      <mc:AlternateContent>
        <mc:Choice Requires="wps">
          <w:drawing>
            <wp:anchor distT="0" distB="0" distL="114300" distR="114300" simplePos="0" relativeHeight="251660288" behindDoc="1" locked="0" layoutInCell="1" allowOverlap="1" wp14:anchorId="41D39CEF" wp14:editId="6E384AE6">
              <wp:simplePos x="0" y="0"/>
              <wp:positionH relativeFrom="margin">
                <wp:posOffset>-474345</wp:posOffset>
              </wp:positionH>
              <wp:positionV relativeFrom="margin">
                <wp:posOffset>-969645</wp:posOffset>
              </wp:positionV>
              <wp:extent cx="1946910" cy="1835150"/>
              <wp:effectExtent l="0" t="0" r="0" b="0"/>
              <wp:wrapSquare wrapText="bothSides"/>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6910" cy="1835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B6074" id="Rectangle 2" o:spid="_x0000_s1026" style="position:absolute;margin-left:-37.35pt;margin-top:-76.35pt;width:153.3pt;height:144.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" stroked="f">
              <w10:wrap type="square" anchorx="margin" anchory="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876D3"/>
    <w:multiLevelType w:val="hybridMultilevel"/>
    <w:tmpl w:val="D5141966"/>
    <w:lvl w:ilvl="0" w:tplc="BFC44BFE">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 w15:restartNumberingAfterBreak="0">
    <w:nsid w:val="556D72FA"/>
    <w:multiLevelType w:val="hybridMultilevel"/>
    <w:tmpl w:val="4CE0AA58"/>
    <w:lvl w:ilvl="0" w:tplc="6BF89BC8">
      <w:start w:val="1"/>
      <w:numFmt w:val="upperRoman"/>
      <w:lvlText w:val="%1."/>
      <w:lvlJc w:val="left"/>
      <w:pPr>
        <w:ind w:left="1571" w:hanging="72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 w15:restartNumberingAfterBreak="0">
    <w:nsid w:val="7CA35045"/>
    <w:multiLevelType w:val="multilevel"/>
    <w:tmpl w:val="26C4AE14"/>
    <w:lvl w:ilvl="0">
      <w:start w:val="1"/>
      <w:numFmt w:val="decimal"/>
      <w:lvlText w:val="%1."/>
      <w:lvlJc w:val="left"/>
      <w:pPr>
        <w:ind w:left="720" w:hanging="360"/>
      </w:pPr>
      <w:rPr>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0EE"/>
    <w:rsid w:val="00142AEC"/>
    <w:rsid w:val="001C48E4"/>
    <w:rsid w:val="00451D63"/>
    <w:rsid w:val="00537461"/>
    <w:rsid w:val="005A5D63"/>
    <w:rsid w:val="00711240"/>
    <w:rsid w:val="009A64B4"/>
    <w:rsid w:val="00A506E0"/>
    <w:rsid w:val="00BA1831"/>
    <w:rsid w:val="00CE10FB"/>
    <w:rsid w:val="00D860EE"/>
    <w:rsid w:val="00E065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79BFC9-C077-479C-ADD7-6B7536CF6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0EE"/>
    <w:pPr>
      <w:spacing w:after="200" w:line="276" w:lineRule="auto"/>
    </w:pPr>
    <w:rPr>
      <w:rFonts w:ascii="Cambria" w:eastAsia="Cambria" w:hAnsi="Cambria" w:cs="Times New Roman"/>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rte4fondo">
    <w:name w:val="corte4 fondo"/>
    <w:basedOn w:val="Normal"/>
    <w:link w:val="corte4fondoCar1"/>
    <w:qFormat/>
    <w:rsid w:val="00D860EE"/>
    <w:pPr>
      <w:spacing w:after="0" w:line="360" w:lineRule="auto"/>
      <w:ind w:firstLine="709"/>
      <w:jc w:val="both"/>
    </w:pPr>
    <w:rPr>
      <w:rFonts w:ascii="Arial" w:eastAsia="Times New Roman" w:hAnsi="Arial"/>
      <w:sz w:val="30"/>
      <w:szCs w:val="20"/>
      <w:lang w:eastAsia="x-none"/>
    </w:rPr>
  </w:style>
  <w:style w:type="character" w:customStyle="1" w:styleId="corte4fondoCar1">
    <w:name w:val="corte4 fondo Car1"/>
    <w:link w:val="corte4fondo"/>
    <w:locked/>
    <w:rsid w:val="00D860EE"/>
    <w:rPr>
      <w:rFonts w:ascii="Arial" w:eastAsia="Times New Roman" w:hAnsi="Arial" w:cs="Times New Roman"/>
      <w:sz w:val="30"/>
      <w:szCs w:val="20"/>
      <w:lang w:val="es-ES_tradnl" w:eastAsia="x-none"/>
    </w:rPr>
  </w:style>
  <w:style w:type="paragraph" w:styleId="Piedepgina">
    <w:name w:val="footer"/>
    <w:basedOn w:val="Normal"/>
    <w:link w:val="PiedepginaCar"/>
    <w:uiPriority w:val="99"/>
    <w:unhideWhenUsed/>
    <w:rsid w:val="00D860E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860EE"/>
    <w:rPr>
      <w:rFonts w:ascii="Cambria" w:eastAsia="Cambria" w:hAnsi="Cambria" w:cs="Times New Roman"/>
      <w:lang w:val="es-ES_tradnl"/>
    </w:rPr>
  </w:style>
  <w:style w:type="character" w:styleId="Nmerodepgina">
    <w:name w:val="page number"/>
    <w:basedOn w:val="Fuentedeprrafopredeter"/>
    <w:uiPriority w:val="99"/>
    <w:semiHidden/>
    <w:unhideWhenUsed/>
    <w:rsid w:val="00D860EE"/>
  </w:style>
  <w:style w:type="paragraph" w:styleId="Encabezado">
    <w:name w:val="header"/>
    <w:basedOn w:val="Normal"/>
    <w:link w:val="EncabezadoCar"/>
    <w:uiPriority w:val="99"/>
    <w:unhideWhenUsed/>
    <w:rsid w:val="00D860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60EE"/>
    <w:rPr>
      <w:rFonts w:ascii="Cambria" w:eastAsia="Cambria" w:hAnsi="Cambria" w:cs="Times New Roman"/>
      <w:lang w:val="es-ES_tradnl"/>
    </w:rPr>
  </w:style>
  <w:style w:type="paragraph" w:styleId="Prrafodelista">
    <w:name w:val="List Paragraph"/>
    <w:aliases w:val="Cita texto,TEXTO GENERAL SENTENCIAS,Lista vistosa - Énfasis 11,Párrafo de lista1,Párrafo de lista2,List Paragraph"/>
    <w:basedOn w:val="Normal"/>
    <w:uiPriority w:val="34"/>
    <w:qFormat/>
    <w:rsid w:val="00E06570"/>
    <w:pPr>
      <w:spacing w:after="160" w:line="259" w:lineRule="auto"/>
      <w:ind w:left="720"/>
      <w:contextualSpacing/>
    </w:pPr>
    <w:rPr>
      <w:rFonts w:asciiTheme="minorHAnsi" w:eastAsiaTheme="minorHAnsi" w:hAnsiTheme="minorHAnsi" w:cstheme="minorBidi"/>
      <w:lang w:val="es-MX"/>
    </w:rPr>
  </w:style>
  <w:style w:type="paragraph" w:styleId="Textodeglobo">
    <w:name w:val="Balloon Text"/>
    <w:basedOn w:val="Normal"/>
    <w:link w:val="TextodegloboCar"/>
    <w:uiPriority w:val="99"/>
    <w:semiHidden/>
    <w:unhideWhenUsed/>
    <w:rsid w:val="007112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1240"/>
    <w:rPr>
      <w:rFonts w:ascii="Segoe UI" w:eastAsia="Cambria"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658</Words>
  <Characters>3620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SCJN</Company>
  <LinksUpToDate>false</LinksUpToDate>
  <CharactersWithSpaces>4270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GUADALUPE FLORES DE QUEVEDO</dc:creator>
  <cp:keywords/>
  <dc:description/>
  <cp:lastModifiedBy>GABRIELA RUIZ CONTRERAS</cp:lastModifiedBy>
  <cp:revision>2</cp:revision>
  <cp:lastPrinted>2019-01-30T20:00:00Z</cp:lastPrinted>
  <dcterms:created xsi:type="dcterms:W3CDTF">2019-09-10T23:46:00Z</dcterms:created>
  <dcterms:modified xsi:type="dcterms:W3CDTF">2019-09-10T23:46:00Z</dcterms:modified>
</cp:coreProperties>
</file>