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E6FF3" w14:textId="77777777" w:rsidR="003C7F93" w:rsidRDefault="003C7F93" w:rsidP="007E1618">
      <w:pPr>
        <w:spacing w:line="276" w:lineRule="auto"/>
        <w:jc w:val="both"/>
        <w:rPr>
          <w:rFonts w:ascii="Arial" w:hAnsi="Arial" w:cs="Arial"/>
          <w:b/>
          <w:sz w:val="28"/>
          <w:szCs w:val="28"/>
        </w:rPr>
      </w:pPr>
      <w:bookmarkStart w:id="0" w:name="_GoBack"/>
      <w:bookmarkEnd w:id="0"/>
    </w:p>
    <w:p w14:paraId="50AEB7CD" w14:textId="77777777" w:rsidR="004015BC" w:rsidRDefault="004015BC" w:rsidP="007E1618">
      <w:pPr>
        <w:spacing w:line="276" w:lineRule="auto"/>
        <w:jc w:val="both"/>
        <w:rPr>
          <w:rFonts w:ascii="Arial" w:hAnsi="Arial" w:cs="Arial"/>
          <w:b/>
          <w:sz w:val="28"/>
          <w:szCs w:val="28"/>
        </w:rPr>
      </w:pPr>
    </w:p>
    <w:p w14:paraId="7A2003DE" w14:textId="77777777" w:rsidR="004015BC" w:rsidRPr="00E43982" w:rsidRDefault="004015BC" w:rsidP="007E1618">
      <w:pPr>
        <w:spacing w:line="276" w:lineRule="auto"/>
        <w:jc w:val="both"/>
        <w:rPr>
          <w:rFonts w:ascii="Arial" w:hAnsi="Arial" w:cs="Arial"/>
          <w:b/>
          <w:sz w:val="28"/>
          <w:szCs w:val="28"/>
        </w:rPr>
      </w:pPr>
    </w:p>
    <w:p w14:paraId="21406285" w14:textId="77777777" w:rsidR="003C7F93" w:rsidRPr="00E43982" w:rsidRDefault="003C7F93" w:rsidP="007E1618">
      <w:pPr>
        <w:spacing w:line="276" w:lineRule="auto"/>
        <w:jc w:val="both"/>
        <w:rPr>
          <w:rFonts w:ascii="Arial" w:hAnsi="Arial" w:cs="Arial"/>
          <w:b/>
          <w:sz w:val="28"/>
          <w:szCs w:val="28"/>
        </w:rPr>
      </w:pPr>
    </w:p>
    <w:p w14:paraId="652FA5FB" w14:textId="7205A9CE" w:rsidR="006B70AA" w:rsidRPr="00E43982" w:rsidRDefault="009E2BB9" w:rsidP="003C7F93">
      <w:pPr>
        <w:spacing w:line="360" w:lineRule="auto"/>
        <w:jc w:val="both"/>
        <w:rPr>
          <w:rFonts w:ascii="Arial" w:hAnsi="Arial" w:cs="Arial"/>
          <w:b/>
          <w:sz w:val="28"/>
          <w:szCs w:val="28"/>
        </w:rPr>
      </w:pPr>
      <w:r w:rsidRPr="00E43982">
        <w:rPr>
          <w:rFonts w:ascii="Arial" w:hAnsi="Arial" w:cs="Arial"/>
          <w:b/>
          <w:sz w:val="28"/>
          <w:szCs w:val="28"/>
        </w:rPr>
        <w:t xml:space="preserve">VOTO </w:t>
      </w:r>
      <w:r w:rsidR="00FA625C" w:rsidRPr="00E43982">
        <w:rPr>
          <w:rFonts w:ascii="Arial" w:hAnsi="Arial" w:cs="Arial"/>
          <w:b/>
          <w:sz w:val="28"/>
          <w:szCs w:val="28"/>
        </w:rPr>
        <w:t>CONCURRENTE</w:t>
      </w:r>
      <w:r w:rsidR="007E1618" w:rsidRPr="00E43982">
        <w:rPr>
          <w:rFonts w:ascii="Arial" w:hAnsi="Arial" w:cs="Arial"/>
          <w:b/>
          <w:sz w:val="28"/>
          <w:szCs w:val="28"/>
        </w:rPr>
        <w:t xml:space="preserve"> QUE FORMULA EL MINISTRO JUAN LUIS G</w:t>
      </w:r>
      <w:r w:rsidR="00C22358" w:rsidRPr="00E43982">
        <w:rPr>
          <w:rFonts w:ascii="Arial" w:hAnsi="Arial" w:cs="Arial"/>
          <w:b/>
          <w:sz w:val="28"/>
          <w:szCs w:val="28"/>
        </w:rPr>
        <w:t>ON</w:t>
      </w:r>
      <w:r w:rsidR="007E1618" w:rsidRPr="00E43982">
        <w:rPr>
          <w:rFonts w:ascii="Arial" w:hAnsi="Arial" w:cs="Arial"/>
          <w:b/>
          <w:sz w:val="28"/>
          <w:szCs w:val="28"/>
        </w:rPr>
        <w:t xml:space="preserve">ZÁLEZ ALCÁNTARA CARRANCÁ EN LA </w:t>
      </w:r>
      <w:r w:rsidR="00FA625C" w:rsidRPr="00E43982">
        <w:rPr>
          <w:rFonts w:ascii="Arial" w:hAnsi="Arial" w:cs="Arial"/>
          <w:b/>
          <w:sz w:val="28"/>
          <w:szCs w:val="28"/>
        </w:rPr>
        <w:t xml:space="preserve">ACCIÓN DE INCONSTITUCIONALIDAD </w:t>
      </w:r>
      <w:r w:rsidR="003A7FC8" w:rsidRPr="00E43982">
        <w:rPr>
          <w:rFonts w:ascii="Arial" w:hAnsi="Arial" w:cs="Arial"/>
          <w:b/>
          <w:sz w:val="28"/>
          <w:szCs w:val="28"/>
        </w:rPr>
        <w:t>56/2018</w:t>
      </w:r>
    </w:p>
    <w:p w14:paraId="395125C9" w14:textId="77777777" w:rsidR="00C22358" w:rsidRPr="00E43982" w:rsidRDefault="00C22358" w:rsidP="003C7F93">
      <w:pPr>
        <w:spacing w:line="360" w:lineRule="auto"/>
        <w:jc w:val="right"/>
        <w:rPr>
          <w:rFonts w:ascii="Arial" w:hAnsi="Arial" w:cs="Arial"/>
          <w:b/>
          <w:sz w:val="28"/>
          <w:szCs w:val="28"/>
        </w:rPr>
      </w:pPr>
    </w:p>
    <w:p w14:paraId="55F5137F" w14:textId="6496DD17" w:rsidR="00C22358" w:rsidRPr="00E43982" w:rsidRDefault="007E1618" w:rsidP="003C7F93">
      <w:pPr>
        <w:spacing w:line="360" w:lineRule="auto"/>
        <w:jc w:val="both"/>
        <w:rPr>
          <w:rFonts w:ascii="Arial" w:hAnsi="Arial" w:cs="Arial"/>
          <w:sz w:val="28"/>
          <w:szCs w:val="28"/>
        </w:rPr>
      </w:pPr>
      <w:r w:rsidRPr="00E43982">
        <w:rPr>
          <w:rFonts w:ascii="Arial" w:hAnsi="Arial" w:cs="Arial"/>
          <w:sz w:val="28"/>
          <w:szCs w:val="28"/>
        </w:rPr>
        <w:t xml:space="preserve">En sesión </w:t>
      </w:r>
      <w:r w:rsidR="003A7FC8" w:rsidRPr="00E43982">
        <w:rPr>
          <w:rFonts w:ascii="Arial" w:hAnsi="Arial" w:cs="Arial"/>
          <w:sz w:val="28"/>
          <w:szCs w:val="28"/>
        </w:rPr>
        <w:t xml:space="preserve">pública </w:t>
      </w:r>
      <w:r w:rsidRPr="00E43982">
        <w:rPr>
          <w:rFonts w:ascii="Arial" w:hAnsi="Arial" w:cs="Arial"/>
          <w:sz w:val="28"/>
          <w:szCs w:val="28"/>
        </w:rPr>
        <w:t xml:space="preserve">de </w:t>
      </w:r>
      <w:r w:rsidR="003A7FC8" w:rsidRPr="00E43982">
        <w:rPr>
          <w:rFonts w:ascii="Arial" w:hAnsi="Arial" w:cs="Arial"/>
          <w:sz w:val="28"/>
          <w:szCs w:val="28"/>
        </w:rPr>
        <w:t>veintiuno de mayo</w:t>
      </w:r>
      <w:r w:rsidRPr="00E43982">
        <w:rPr>
          <w:rFonts w:ascii="Arial" w:hAnsi="Arial" w:cs="Arial"/>
          <w:sz w:val="28"/>
          <w:szCs w:val="28"/>
        </w:rPr>
        <w:t xml:space="preserve"> de dos mil diecinueve, el Pleno de la Suprema Corte resolvió la </w:t>
      </w:r>
      <w:r w:rsidR="00FA625C" w:rsidRPr="00E43982">
        <w:rPr>
          <w:rFonts w:ascii="Arial" w:hAnsi="Arial" w:cs="Arial"/>
          <w:sz w:val="28"/>
          <w:szCs w:val="28"/>
        </w:rPr>
        <w:t>acción de</w:t>
      </w:r>
      <w:r w:rsidRPr="00E43982">
        <w:rPr>
          <w:rFonts w:ascii="Arial" w:hAnsi="Arial" w:cs="Arial"/>
          <w:sz w:val="28"/>
          <w:szCs w:val="28"/>
        </w:rPr>
        <w:t xml:space="preserve"> </w:t>
      </w:r>
      <w:r w:rsidR="00121631" w:rsidRPr="00E43982">
        <w:rPr>
          <w:rFonts w:ascii="Arial" w:hAnsi="Arial" w:cs="Arial"/>
          <w:sz w:val="28"/>
          <w:szCs w:val="28"/>
        </w:rPr>
        <w:t>inconstitucional</w:t>
      </w:r>
      <w:r w:rsidR="003A7FC8" w:rsidRPr="00E43982">
        <w:rPr>
          <w:rFonts w:ascii="Arial" w:hAnsi="Arial" w:cs="Arial"/>
          <w:sz w:val="28"/>
          <w:szCs w:val="28"/>
        </w:rPr>
        <w:t>idad 56/2018</w:t>
      </w:r>
      <w:r w:rsidRPr="00E43982">
        <w:rPr>
          <w:rFonts w:ascii="Arial" w:hAnsi="Arial" w:cs="Arial"/>
          <w:sz w:val="28"/>
          <w:szCs w:val="28"/>
        </w:rPr>
        <w:t xml:space="preserve">, promovida por </w:t>
      </w:r>
      <w:r w:rsidR="003A7FC8" w:rsidRPr="00E43982">
        <w:rPr>
          <w:rFonts w:ascii="Arial" w:hAnsi="Arial" w:cs="Arial"/>
          <w:sz w:val="28"/>
          <w:szCs w:val="28"/>
        </w:rPr>
        <w:t>la Comisión Nacional de los Derechos Humanos, bajo la ponencia del ministro Alberto Pérez Dayán, en contra de diversos artículos de la Ley del Sistema de Seguridad Pública para el Estado de Jalisco y de la Ley Orgánica del Organismo Público Descentralizado, denominado Centro de Coordinación, Control, Comunicaciones y Cómputo de la misma entidad federativa</w:t>
      </w:r>
      <w:r w:rsidRPr="00E43982">
        <w:rPr>
          <w:rFonts w:ascii="Arial" w:hAnsi="Arial" w:cs="Arial"/>
          <w:sz w:val="28"/>
          <w:szCs w:val="28"/>
        </w:rPr>
        <w:t>. La pregunta</w:t>
      </w:r>
      <w:r w:rsidR="00121631" w:rsidRPr="00E43982">
        <w:rPr>
          <w:rFonts w:ascii="Arial" w:hAnsi="Arial" w:cs="Arial"/>
          <w:sz w:val="28"/>
          <w:szCs w:val="28"/>
        </w:rPr>
        <w:t xml:space="preserve"> constitucional radicó en saber si </w:t>
      </w:r>
      <w:r w:rsidR="003211C7">
        <w:rPr>
          <w:rFonts w:ascii="Arial" w:hAnsi="Arial" w:cs="Arial"/>
          <w:sz w:val="28"/>
          <w:szCs w:val="28"/>
        </w:rPr>
        <w:t>los supuestos de reserva de información establecidos por el legislad</w:t>
      </w:r>
      <w:r w:rsidR="00736824">
        <w:rPr>
          <w:rFonts w:ascii="Arial" w:hAnsi="Arial" w:cs="Arial"/>
          <w:sz w:val="28"/>
          <w:szCs w:val="28"/>
        </w:rPr>
        <w:t>or local eran constitucionales.</w:t>
      </w:r>
    </w:p>
    <w:p w14:paraId="046E031B" w14:textId="0B79C415" w:rsidR="007E1618" w:rsidRPr="00E43982" w:rsidRDefault="007E1618" w:rsidP="003C7F93">
      <w:pPr>
        <w:spacing w:line="360" w:lineRule="auto"/>
        <w:jc w:val="both"/>
        <w:rPr>
          <w:rFonts w:ascii="Arial" w:hAnsi="Arial" w:cs="Arial"/>
          <w:sz w:val="28"/>
          <w:szCs w:val="28"/>
        </w:rPr>
      </w:pPr>
    </w:p>
    <w:p w14:paraId="5963FF9E" w14:textId="5F5976DF" w:rsidR="007E1618" w:rsidRPr="00E43982" w:rsidRDefault="007E1618" w:rsidP="007E1618">
      <w:pPr>
        <w:pStyle w:val="Prrafodelista"/>
        <w:numPr>
          <w:ilvl w:val="0"/>
          <w:numId w:val="12"/>
        </w:numPr>
        <w:spacing w:line="276" w:lineRule="auto"/>
        <w:jc w:val="both"/>
        <w:rPr>
          <w:rFonts w:ascii="Arial" w:hAnsi="Arial" w:cs="Arial"/>
          <w:b/>
          <w:sz w:val="28"/>
          <w:szCs w:val="28"/>
        </w:rPr>
      </w:pPr>
      <w:r w:rsidRPr="00E43982">
        <w:rPr>
          <w:rFonts w:ascii="Arial" w:hAnsi="Arial" w:cs="Arial"/>
          <w:b/>
          <w:sz w:val="28"/>
          <w:szCs w:val="28"/>
        </w:rPr>
        <w:t xml:space="preserve">Postura mayoritaria </w:t>
      </w:r>
    </w:p>
    <w:p w14:paraId="06323882" w14:textId="36FEE610" w:rsidR="007E1618" w:rsidRPr="00E43982" w:rsidRDefault="007E1618" w:rsidP="007E1618">
      <w:pPr>
        <w:spacing w:line="276" w:lineRule="auto"/>
        <w:jc w:val="both"/>
        <w:rPr>
          <w:rFonts w:ascii="Arial" w:hAnsi="Arial" w:cs="Arial"/>
          <w:sz w:val="28"/>
          <w:szCs w:val="28"/>
        </w:rPr>
      </w:pPr>
    </w:p>
    <w:p w14:paraId="6BCCD644" w14:textId="0857312A" w:rsidR="007E1618" w:rsidRPr="00E43982" w:rsidRDefault="007E1618" w:rsidP="00FA625C">
      <w:pPr>
        <w:spacing w:line="360" w:lineRule="auto"/>
        <w:jc w:val="both"/>
        <w:rPr>
          <w:rFonts w:ascii="Arial" w:hAnsi="Arial" w:cs="Arial"/>
          <w:b/>
          <w:sz w:val="28"/>
          <w:szCs w:val="28"/>
        </w:rPr>
      </w:pPr>
      <w:r w:rsidRPr="00E43982">
        <w:rPr>
          <w:rFonts w:ascii="Arial" w:hAnsi="Arial" w:cs="Arial"/>
          <w:sz w:val="28"/>
          <w:szCs w:val="28"/>
        </w:rPr>
        <w:t>El P</w:t>
      </w:r>
      <w:r w:rsidR="008715B6">
        <w:rPr>
          <w:rFonts w:ascii="Arial" w:hAnsi="Arial" w:cs="Arial"/>
          <w:sz w:val="28"/>
          <w:szCs w:val="28"/>
        </w:rPr>
        <w:t>leno declaró la inconstitucionalidad de diversos artículos del Estado de Jalisco por considerar que los mismos establecían hipótesis de reserva de información que no superaban el test de proporcionalidad. Sobre todo, consideró que las diversas disposiciones eran inconstitucionales porque establecían reglas genéricas y absolutas de reserva de la informa</w:t>
      </w:r>
      <w:r w:rsidR="00354387">
        <w:rPr>
          <w:rFonts w:ascii="Arial" w:hAnsi="Arial" w:cs="Arial"/>
          <w:sz w:val="28"/>
          <w:szCs w:val="28"/>
        </w:rPr>
        <w:t>ción. Para</w:t>
      </w:r>
      <w:r w:rsidR="008715B6">
        <w:rPr>
          <w:rFonts w:ascii="Arial" w:hAnsi="Arial" w:cs="Arial"/>
          <w:sz w:val="28"/>
          <w:szCs w:val="28"/>
        </w:rPr>
        <w:t xml:space="preserve"> llegar a tal determinación, se analizó si las disposiciones, además de estar previstas en ley: 1) perseguían un fin constitucionalmente válido; 2) eran conducentes para alcanzar tal objetivo; y 3) resultaban proporcionales al fin que las justificaba.</w:t>
      </w:r>
      <w:r w:rsidR="00D67F51" w:rsidRPr="00E43982">
        <w:rPr>
          <w:rFonts w:ascii="Arial" w:hAnsi="Arial" w:cs="Arial"/>
          <w:sz w:val="28"/>
          <w:szCs w:val="28"/>
        </w:rPr>
        <w:t xml:space="preserve"> </w:t>
      </w:r>
    </w:p>
    <w:p w14:paraId="370E8AAE" w14:textId="77777777" w:rsidR="004015BC" w:rsidRDefault="004015BC" w:rsidP="00755BC3">
      <w:pPr>
        <w:spacing w:line="276" w:lineRule="auto"/>
        <w:jc w:val="both"/>
        <w:rPr>
          <w:rFonts w:ascii="Arial" w:hAnsi="Arial" w:cs="Arial"/>
          <w:sz w:val="28"/>
          <w:szCs w:val="28"/>
        </w:rPr>
      </w:pPr>
    </w:p>
    <w:p w14:paraId="59A17353" w14:textId="77777777" w:rsidR="004015BC" w:rsidRDefault="004015BC" w:rsidP="00755BC3">
      <w:pPr>
        <w:spacing w:line="276" w:lineRule="auto"/>
        <w:jc w:val="both"/>
        <w:rPr>
          <w:rFonts w:ascii="Arial" w:hAnsi="Arial" w:cs="Arial"/>
          <w:sz w:val="28"/>
          <w:szCs w:val="28"/>
        </w:rPr>
      </w:pPr>
    </w:p>
    <w:p w14:paraId="7BD6F357" w14:textId="7EEBE474" w:rsidR="008F1A3E" w:rsidRPr="00E43982" w:rsidRDefault="00564520" w:rsidP="00564520">
      <w:pPr>
        <w:pStyle w:val="Prrafodelista"/>
        <w:numPr>
          <w:ilvl w:val="0"/>
          <w:numId w:val="12"/>
        </w:numPr>
        <w:spacing w:line="276" w:lineRule="auto"/>
        <w:jc w:val="both"/>
        <w:rPr>
          <w:rFonts w:ascii="Arial" w:hAnsi="Arial" w:cs="Arial"/>
          <w:b/>
          <w:sz w:val="28"/>
          <w:szCs w:val="28"/>
        </w:rPr>
      </w:pPr>
      <w:r w:rsidRPr="00E43982">
        <w:rPr>
          <w:rFonts w:ascii="Arial" w:hAnsi="Arial" w:cs="Arial"/>
          <w:b/>
          <w:sz w:val="28"/>
          <w:szCs w:val="28"/>
        </w:rPr>
        <w:lastRenderedPageBreak/>
        <w:t xml:space="preserve">Razones del disenso </w:t>
      </w:r>
    </w:p>
    <w:p w14:paraId="3AA834B2" w14:textId="77777777" w:rsidR="003C7F93" w:rsidRPr="00E43982" w:rsidRDefault="003C7F93" w:rsidP="003C7F93">
      <w:pPr>
        <w:pStyle w:val="Prrafodelista"/>
        <w:spacing w:line="276" w:lineRule="auto"/>
        <w:ind w:left="1080"/>
        <w:jc w:val="both"/>
        <w:rPr>
          <w:rFonts w:ascii="Arial" w:hAnsi="Arial" w:cs="Arial"/>
          <w:b/>
          <w:sz w:val="28"/>
          <w:szCs w:val="28"/>
        </w:rPr>
      </w:pPr>
    </w:p>
    <w:p w14:paraId="3ABF18DF" w14:textId="2674C669" w:rsidR="00E43982" w:rsidRPr="00E43982" w:rsidRDefault="00354387" w:rsidP="00E43982">
      <w:pPr>
        <w:spacing w:line="360" w:lineRule="auto"/>
        <w:jc w:val="both"/>
        <w:rPr>
          <w:rFonts w:ascii="Arial" w:hAnsi="Arial" w:cs="Arial"/>
          <w:sz w:val="28"/>
          <w:szCs w:val="28"/>
        </w:rPr>
      </w:pPr>
      <w:r>
        <w:rPr>
          <w:rFonts w:ascii="Arial" w:hAnsi="Arial" w:cs="Arial"/>
          <w:sz w:val="28"/>
          <w:szCs w:val="28"/>
        </w:rPr>
        <w:t>Estuve de acuerdo con las declaratorias de invalidez propuestas, pero, tal como referí en la acción de i</w:t>
      </w:r>
      <w:r w:rsidR="00E43982" w:rsidRPr="00E43982">
        <w:rPr>
          <w:rFonts w:ascii="Arial" w:hAnsi="Arial" w:cs="Arial"/>
          <w:sz w:val="28"/>
          <w:szCs w:val="28"/>
        </w:rPr>
        <w:t>nconstitucionalidad 91/2016 y en la 73/2017</w:t>
      </w:r>
      <w:r>
        <w:rPr>
          <w:rFonts w:ascii="Arial" w:hAnsi="Arial" w:cs="Arial"/>
          <w:sz w:val="28"/>
          <w:szCs w:val="28"/>
        </w:rPr>
        <w:t>,</w:t>
      </w:r>
      <w:r w:rsidR="00E43982" w:rsidRPr="00E43982">
        <w:rPr>
          <w:rFonts w:ascii="Arial" w:hAnsi="Arial" w:cs="Arial"/>
          <w:sz w:val="28"/>
          <w:szCs w:val="28"/>
        </w:rPr>
        <w:t xml:space="preserve"> extraigo</w:t>
      </w:r>
      <w:r>
        <w:rPr>
          <w:rFonts w:ascii="Arial" w:hAnsi="Arial" w:cs="Arial"/>
          <w:sz w:val="28"/>
          <w:szCs w:val="28"/>
        </w:rPr>
        <w:t xml:space="preserve"> mis razones</w:t>
      </w:r>
      <w:r w:rsidR="00E43982" w:rsidRPr="00E43982">
        <w:rPr>
          <w:rFonts w:ascii="Arial" w:hAnsi="Arial" w:cs="Arial"/>
          <w:sz w:val="28"/>
          <w:szCs w:val="28"/>
        </w:rPr>
        <w:t xml:space="preserve"> de la interpretación que hago del artículo </w:t>
      </w:r>
      <w:r>
        <w:rPr>
          <w:rFonts w:ascii="Arial" w:hAnsi="Arial" w:cs="Arial"/>
          <w:sz w:val="28"/>
          <w:szCs w:val="28"/>
        </w:rPr>
        <w:t>6º, Apartado A, fracción I</w:t>
      </w:r>
      <w:r w:rsidR="00E43982" w:rsidRPr="00E43982">
        <w:rPr>
          <w:rFonts w:ascii="Arial" w:hAnsi="Arial" w:cs="Arial"/>
          <w:sz w:val="28"/>
          <w:szCs w:val="28"/>
        </w:rPr>
        <w:t>, constitucional</w:t>
      </w:r>
      <w:r w:rsidR="00E43982" w:rsidRPr="00E43982">
        <w:rPr>
          <w:rFonts w:ascii="Arial" w:hAnsi="Arial" w:cs="Arial"/>
          <w:sz w:val="28"/>
          <w:szCs w:val="28"/>
          <w:vertAlign w:val="superscript"/>
        </w:rPr>
        <w:footnoteReference w:id="1"/>
      </w:r>
      <w:r w:rsidR="00E43982" w:rsidRPr="00E43982">
        <w:rPr>
          <w:rFonts w:ascii="Arial" w:hAnsi="Arial" w:cs="Arial"/>
          <w:sz w:val="28"/>
          <w:szCs w:val="28"/>
        </w:rPr>
        <w:t xml:space="preserve">, </w:t>
      </w:r>
      <w:r>
        <w:rPr>
          <w:rFonts w:ascii="Arial" w:hAnsi="Arial" w:cs="Arial"/>
          <w:sz w:val="28"/>
          <w:szCs w:val="28"/>
        </w:rPr>
        <w:t xml:space="preserve">consistente en que, </w:t>
      </w:r>
      <w:r w:rsidR="00E43982" w:rsidRPr="00E43982">
        <w:rPr>
          <w:rFonts w:ascii="Arial" w:hAnsi="Arial" w:cs="Arial"/>
          <w:sz w:val="28"/>
          <w:szCs w:val="28"/>
        </w:rPr>
        <w:t>en materia de reserva de información, las entidades federativas carecen de facultades para establecer nuevos supuestos.</w:t>
      </w:r>
    </w:p>
    <w:p w14:paraId="1956F5CC" w14:textId="38206070" w:rsidR="00CD7D04" w:rsidRPr="00E43982" w:rsidRDefault="00CD7D04" w:rsidP="00850CAD">
      <w:pPr>
        <w:spacing w:line="360" w:lineRule="auto"/>
        <w:jc w:val="both"/>
        <w:rPr>
          <w:rFonts w:ascii="Arial" w:hAnsi="Arial" w:cs="Arial"/>
          <w:sz w:val="28"/>
          <w:szCs w:val="28"/>
        </w:rPr>
      </w:pPr>
    </w:p>
    <w:p w14:paraId="4C188B9B" w14:textId="77777777" w:rsidR="003C7F93" w:rsidRPr="00E43982" w:rsidRDefault="003C7F93" w:rsidP="00E320F6">
      <w:pPr>
        <w:spacing w:line="360" w:lineRule="auto"/>
        <w:jc w:val="both"/>
        <w:rPr>
          <w:rFonts w:ascii="Arial" w:hAnsi="Arial" w:cs="Arial"/>
          <w:sz w:val="28"/>
          <w:szCs w:val="28"/>
        </w:rPr>
      </w:pPr>
    </w:p>
    <w:p w14:paraId="45E8BBE9" w14:textId="318073C6" w:rsidR="003C7F93" w:rsidRPr="00E43982" w:rsidRDefault="004015BC" w:rsidP="004015BC">
      <w:pPr>
        <w:jc w:val="center"/>
        <w:rPr>
          <w:rFonts w:ascii="Arial" w:hAnsi="Arial" w:cs="Arial"/>
          <w:b/>
          <w:sz w:val="28"/>
          <w:szCs w:val="28"/>
        </w:rPr>
      </w:pPr>
      <w:r>
        <w:rPr>
          <w:rFonts w:ascii="Arial" w:hAnsi="Arial" w:cs="Arial"/>
          <w:b/>
          <w:sz w:val="28"/>
          <w:szCs w:val="28"/>
        </w:rPr>
        <w:t>____________</w:t>
      </w:r>
      <w:r w:rsidR="003C7F93" w:rsidRPr="00E43982">
        <w:rPr>
          <w:rFonts w:ascii="Arial" w:hAnsi="Arial" w:cs="Arial"/>
          <w:b/>
          <w:sz w:val="28"/>
          <w:szCs w:val="28"/>
        </w:rPr>
        <w:t>_____________________________</w:t>
      </w:r>
    </w:p>
    <w:p w14:paraId="4B05889E" w14:textId="3E028F08" w:rsidR="003C7F93" w:rsidRPr="00E43982" w:rsidRDefault="003C7F93" w:rsidP="004015BC">
      <w:pPr>
        <w:jc w:val="center"/>
        <w:rPr>
          <w:rFonts w:ascii="Arial" w:hAnsi="Arial" w:cs="Arial"/>
          <w:b/>
          <w:sz w:val="28"/>
          <w:szCs w:val="28"/>
        </w:rPr>
      </w:pPr>
      <w:r w:rsidRPr="00E43982">
        <w:rPr>
          <w:rFonts w:ascii="Arial" w:hAnsi="Arial" w:cs="Arial"/>
          <w:b/>
          <w:sz w:val="28"/>
          <w:szCs w:val="28"/>
        </w:rPr>
        <w:t>M</w:t>
      </w:r>
      <w:r w:rsidR="004015BC">
        <w:rPr>
          <w:rFonts w:ascii="Arial" w:hAnsi="Arial" w:cs="Arial"/>
          <w:b/>
          <w:sz w:val="28"/>
          <w:szCs w:val="28"/>
        </w:rPr>
        <w:t>inistro Juan Luis González Alcántara Carrancá</w:t>
      </w:r>
    </w:p>
    <w:p w14:paraId="5E61B520" w14:textId="6461036A" w:rsidR="002D04AD" w:rsidRDefault="002D04AD" w:rsidP="00E320F6">
      <w:pPr>
        <w:spacing w:line="360" w:lineRule="auto"/>
        <w:jc w:val="both"/>
        <w:rPr>
          <w:rFonts w:ascii="Arial" w:hAnsi="Arial" w:cs="Arial"/>
          <w:sz w:val="28"/>
          <w:szCs w:val="28"/>
        </w:rPr>
      </w:pPr>
    </w:p>
    <w:p w14:paraId="78CCD5F7" w14:textId="41D7BCB4" w:rsidR="00354387" w:rsidRDefault="00354387" w:rsidP="00E320F6">
      <w:pPr>
        <w:spacing w:line="360" w:lineRule="auto"/>
        <w:jc w:val="both"/>
        <w:rPr>
          <w:rFonts w:ascii="Arial" w:hAnsi="Arial" w:cs="Arial"/>
          <w:sz w:val="28"/>
          <w:szCs w:val="28"/>
        </w:rPr>
      </w:pPr>
    </w:p>
    <w:p w14:paraId="0C6F1112" w14:textId="77777777" w:rsidR="00736824" w:rsidRDefault="00736824" w:rsidP="00E320F6">
      <w:pPr>
        <w:spacing w:line="360" w:lineRule="auto"/>
        <w:jc w:val="both"/>
        <w:rPr>
          <w:rFonts w:ascii="Arial" w:hAnsi="Arial" w:cs="Arial"/>
          <w:sz w:val="28"/>
          <w:szCs w:val="28"/>
        </w:rPr>
      </w:pPr>
    </w:p>
    <w:p w14:paraId="79C9E726" w14:textId="612EC0A5" w:rsidR="004015BC" w:rsidRPr="00686C4B" w:rsidRDefault="004015BC" w:rsidP="004015BC">
      <w:pPr>
        <w:ind w:left="1416" w:firstLine="708"/>
        <w:jc w:val="both"/>
        <w:rPr>
          <w:rFonts w:ascii="Arial" w:hAnsi="Arial" w:cs="Arial"/>
          <w:sz w:val="28"/>
          <w:szCs w:val="28"/>
        </w:rPr>
      </w:pPr>
      <w:r>
        <w:rPr>
          <w:rFonts w:ascii="Arial" w:hAnsi="Arial" w:cs="Arial"/>
          <w:sz w:val="28"/>
          <w:szCs w:val="28"/>
        </w:rPr>
        <w:t>___________________________</w:t>
      </w:r>
    </w:p>
    <w:p w14:paraId="51B5A59F" w14:textId="77777777" w:rsidR="004015BC" w:rsidRPr="00686C4B" w:rsidRDefault="004015BC" w:rsidP="004015BC">
      <w:pPr>
        <w:jc w:val="center"/>
        <w:rPr>
          <w:rFonts w:ascii="Arial" w:hAnsi="Arial" w:cs="Arial"/>
          <w:b/>
          <w:sz w:val="28"/>
          <w:szCs w:val="28"/>
        </w:rPr>
      </w:pPr>
      <w:r w:rsidRPr="00686C4B">
        <w:rPr>
          <w:rFonts w:ascii="Arial" w:hAnsi="Arial" w:cs="Arial"/>
          <w:b/>
          <w:sz w:val="28"/>
          <w:szCs w:val="28"/>
        </w:rPr>
        <w:t>Lic. Rafael Coello Cetina</w:t>
      </w:r>
    </w:p>
    <w:p w14:paraId="409FB8AD" w14:textId="77777777" w:rsidR="004015BC" w:rsidRPr="00686C4B" w:rsidRDefault="004015BC" w:rsidP="004015BC">
      <w:pPr>
        <w:jc w:val="center"/>
        <w:rPr>
          <w:rFonts w:ascii="Arial" w:hAnsi="Arial" w:cs="Arial"/>
          <w:b/>
          <w:sz w:val="28"/>
          <w:szCs w:val="28"/>
        </w:rPr>
      </w:pPr>
      <w:r w:rsidRPr="00686C4B">
        <w:rPr>
          <w:rFonts w:ascii="Arial" w:hAnsi="Arial" w:cs="Arial"/>
          <w:b/>
          <w:sz w:val="28"/>
          <w:szCs w:val="28"/>
        </w:rPr>
        <w:t>Secretario General de Acuerdos de la</w:t>
      </w:r>
    </w:p>
    <w:p w14:paraId="4A7C9E9D" w14:textId="77777777" w:rsidR="004015BC" w:rsidRPr="00686C4B" w:rsidRDefault="004015BC" w:rsidP="004015BC">
      <w:pPr>
        <w:jc w:val="center"/>
        <w:rPr>
          <w:rFonts w:ascii="Arial" w:hAnsi="Arial" w:cs="Arial"/>
          <w:b/>
          <w:sz w:val="28"/>
          <w:szCs w:val="28"/>
        </w:rPr>
      </w:pPr>
      <w:r w:rsidRPr="00686C4B">
        <w:rPr>
          <w:rFonts w:ascii="Arial" w:hAnsi="Arial" w:cs="Arial"/>
          <w:b/>
          <w:sz w:val="28"/>
          <w:szCs w:val="28"/>
        </w:rPr>
        <w:t>Suprema Corte de Justicia de la Nación</w:t>
      </w:r>
    </w:p>
    <w:p w14:paraId="1BB05C25" w14:textId="77777777" w:rsidR="00736824" w:rsidRDefault="00736824" w:rsidP="00E320F6">
      <w:pPr>
        <w:spacing w:line="360" w:lineRule="auto"/>
        <w:jc w:val="both"/>
        <w:rPr>
          <w:rFonts w:ascii="Arial" w:hAnsi="Arial" w:cs="Arial"/>
          <w:sz w:val="28"/>
          <w:szCs w:val="28"/>
        </w:rPr>
      </w:pPr>
    </w:p>
    <w:p w14:paraId="66B6AD00" w14:textId="77777777" w:rsidR="00354387" w:rsidRPr="00E43982" w:rsidRDefault="00354387" w:rsidP="00E320F6">
      <w:pPr>
        <w:spacing w:line="360" w:lineRule="auto"/>
        <w:jc w:val="both"/>
        <w:rPr>
          <w:rFonts w:ascii="Arial" w:hAnsi="Arial" w:cs="Arial"/>
          <w:sz w:val="28"/>
          <w:szCs w:val="28"/>
        </w:rPr>
      </w:pPr>
    </w:p>
    <w:p w14:paraId="252BC1E6" w14:textId="62D29ECA" w:rsidR="00180A43" w:rsidRPr="00E43982" w:rsidRDefault="00354387" w:rsidP="00E320F6">
      <w:pPr>
        <w:spacing w:line="360" w:lineRule="auto"/>
        <w:jc w:val="both"/>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OCC</w:t>
      </w:r>
    </w:p>
    <w:sectPr w:rsidR="00180A43" w:rsidRPr="00E43982" w:rsidSect="004015BC">
      <w:headerReference w:type="even" r:id="rId8"/>
      <w:headerReference w:type="default" r:id="rId9"/>
      <w:pgSz w:w="12242" w:h="19442" w:code="190"/>
      <w:pgMar w:top="2552" w:right="1701" w:bottom="22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1A493" w14:textId="77777777" w:rsidR="004623CF" w:rsidRDefault="004623CF" w:rsidP="00574349">
      <w:r>
        <w:separator/>
      </w:r>
    </w:p>
  </w:endnote>
  <w:endnote w:type="continuationSeparator" w:id="0">
    <w:p w14:paraId="192E78E0" w14:textId="77777777" w:rsidR="004623CF" w:rsidRDefault="004623CF" w:rsidP="0057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A9FC8" w14:textId="77777777" w:rsidR="004623CF" w:rsidRDefault="004623CF" w:rsidP="00574349">
      <w:r>
        <w:separator/>
      </w:r>
    </w:p>
  </w:footnote>
  <w:footnote w:type="continuationSeparator" w:id="0">
    <w:p w14:paraId="26759D5B" w14:textId="77777777" w:rsidR="004623CF" w:rsidRDefault="004623CF" w:rsidP="00574349">
      <w:r>
        <w:continuationSeparator/>
      </w:r>
    </w:p>
  </w:footnote>
  <w:footnote w:id="1">
    <w:p w14:paraId="73E918AF" w14:textId="51A18CA4" w:rsidR="00354387" w:rsidRPr="00354387" w:rsidRDefault="00E43982" w:rsidP="00354387">
      <w:pPr>
        <w:pStyle w:val="Textonotapie"/>
        <w:jc w:val="both"/>
        <w:rPr>
          <w:rFonts w:ascii="Arial" w:hAnsi="Arial" w:cs="Arial"/>
        </w:rPr>
      </w:pPr>
      <w:r w:rsidRPr="00354387">
        <w:rPr>
          <w:rStyle w:val="Refdenotaalpie"/>
          <w:rFonts w:ascii="Arial" w:hAnsi="Arial" w:cs="Arial"/>
        </w:rPr>
        <w:footnoteRef/>
      </w:r>
      <w:r w:rsidRPr="00354387">
        <w:rPr>
          <w:rFonts w:ascii="Arial" w:hAnsi="Arial" w:cs="Arial"/>
        </w:rPr>
        <w:t xml:space="preserve"> </w:t>
      </w:r>
      <w:r w:rsidR="00354387" w:rsidRPr="00354387">
        <w:rPr>
          <w:rFonts w:ascii="Arial" w:hAnsi="Arial" w:cs="Arial"/>
        </w:rPr>
        <w:t>Artículo 6°, apartado</w:t>
      </w:r>
      <w:r w:rsidR="00354387" w:rsidRPr="00354387">
        <w:t xml:space="preserve"> </w:t>
      </w:r>
      <w:r w:rsidR="00354387" w:rsidRPr="00354387">
        <w:rPr>
          <w:rFonts w:ascii="Arial" w:hAnsi="Arial" w:cs="Arial"/>
        </w:rPr>
        <w:t>A. Para el ejercicio del derecho de acceso a la información, la Federación, los Estados y el Distrito Federal, en el ámbito de sus respectivas competencias, se regirán por los siguientes principios y bases:</w:t>
      </w:r>
    </w:p>
    <w:p w14:paraId="5663CD54" w14:textId="77777777" w:rsidR="00354387" w:rsidRPr="00354387" w:rsidRDefault="00354387" w:rsidP="00354387">
      <w:pPr>
        <w:pStyle w:val="Textonotapie"/>
        <w:jc w:val="both"/>
        <w:rPr>
          <w:rFonts w:ascii="Arial" w:hAnsi="Arial" w:cs="Arial"/>
        </w:rPr>
      </w:pPr>
    </w:p>
    <w:p w14:paraId="5029E59F" w14:textId="4DC9006F" w:rsidR="00E43982" w:rsidRPr="00DB04AF" w:rsidRDefault="00354387" w:rsidP="00354387">
      <w:pPr>
        <w:pStyle w:val="Textonotapie"/>
        <w:jc w:val="both"/>
        <w:rPr>
          <w:rFonts w:ascii="Arial" w:hAnsi="Arial" w:cs="Arial"/>
        </w:rPr>
      </w:pPr>
      <w:r w:rsidRPr="00354387">
        <w:rPr>
          <w:rFonts w:ascii="Arial" w:hAnsi="Arial" w:cs="Arial"/>
        </w:rPr>
        <w:t xml:space="preserve">I.     Toda la información en posesión de cualquier autoridad, entidad, órgano y organismo de los Poderes Ejecutivo, Legislativo y Judicial, órganos autónomos, partidos políticos, fideicomisos y fondos públicos, así como de cualquier persona física, moral o sindicato que reciba y ejerza recursos públicos o realice actos de autoridad en el ámbito federal, estatal y municipal, es pública y </w:t>
      </w:r>
      <w:r w:rsidRPr="00354387">
        <w:rPr>
          <w:rFonts w:ascii="Arial" w:hAnsi="Arial" w:cs="Arial"/>
          <w:b/>
        </w:rPr>
        <w:t>sólo podrá ser reservada temporalmente por razones de interés público y seguridad nacional</w:t>
      </w:r>
      <w:r w:rsidRPr="00354387">
        <w:rPr>
          <w:rFonts w:ascii="Arial" w:hAnsi="Arial" w:cs="Arial"/>
        </w:rPr>
        <w:t xml:space="preserve">, </w:t>
      </w:r>
      <w:r w:rsidRPr="00354387">
        <w:rPr>
          <w:rFonts w:ascii="Arial" w:hAnsi="Arial" w:cs="Arial"/>
          <w:b/>
        </w:rPr>
        <w:t>en los términos que fijen las leyes</w:t>
      </w:r>
      <w:r w:rsidRPr="00354387">
        <w:rPr>
          <w:rFonts w:ascii="Arial" w:hAnsi="Arial"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7CD4" w14:textId="7A514FE7" w:rsidR="004015BC" w:rsidRPr="004015BC" w:rsidRDefault="004015BC" w:rsidP="004015BC">
    <w:pPr>
      <w:pStyle w:val="Encabezado"/>
      <w:jc w:val="right"/>
      <w:rPr>
        <w:rFonts w:ascii="Arial" w:hAnsi="Arial" w:cs="Arial"/>
        <w:b/>
        <w:lang w:val="es-MX"/>
      </w:rPr>
    </w:pPr>
    <w:r w:rsidRPr="004015BC">
      <w:rPr>
        <w:rFonts w:ascii="Arial" w:hAnsi="Arial" w:cs="Arial"/>
        <w:b/>
        <w:lang w:val="es-MX"/>
      </w:rPr>
      <w:t xml:space="preserve">VOTO CONCURRENTE EN LA </w:t>
    </w:r>
  </w:p>
  <w:p w14:paraId="23A133EA" w14:textId="0C21C4DC" w:rsidR="004015BC" w:rsidRPr="004015BC" w:rsidRDefault="004015BC" w:rsidP="004015BC">
    <w:pPr>
      <w:pStyle w:val="Encabezado"/>
      <w:jc w:val="right"/>
      <w:rPr>
        <w:rFonts w:ascii="Arial" w:hAnsi="Arial" w:cs="Arial"/>
        <w:b/>
        <w:lang w:val="es-MX"/>
      </w:rPr>
    </w:pPr>
    <w:r w:rsidRPr="004015BC">
      <w:rPr>
        <w:rFonts w:ascii="Arial" w:hAnsi="Arial" w:cs="Arial"/>
        <w:b/>
        <w:lang w:val="es-MX"/>
      </w:rPr>
      <w:t>ACCIÓN DE INCONSTITUCIONALIDAD 56/2018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EB3E7" w14:textId="003E956D" w:rsidR="003C7F93" w:rsidRPr="003C7F93" w:rsidRDefault="003C7F93" w:rsidP="003C7F93">
    <w:pPr>
      <w:pStyle w:val="Encabezado"/>
      <w:jc w:val="right"/>
      <w:rPr>
        <w:rFonts w:ascii="Arial" w:hAnsi="Arial" w:cs="Arial"/>
        <w:b/>
        <w:sz w:val="28"/>
        <w:szCs w:val="28"/>
        <w:lang w:val="es-MX"/>
      </w:rPr>
    </w:pPr>
    <w:r w:rsidRPr="003C7F93">
      <w:rPr>
        <w:rFonts w:ascii="Arial" w:hAnsi="Arial" w:cs="Arial"/>
        <w:b/>
        <w:sz w:val="28"/>
        <w:szCs w:val="28"/>
        <w:lang w:val="es-MX"/>
      </w:rPr>
      <w:t xml:space="preserve">VOTO </w:t>
    </w:r>
    <w:r w:rsidR="00220C15">
      <w:rPr>
        <w:rFonts w:ascii="Arial" w:hAnsi="Arial" w:cs="Arial"/>
        <w:b/>
        <w:sz w:val="28"/>
        <w:szCs w:val="28"/>
        <w:lang w:val="es-MX"/>
      </w:rPr>
      <w:t>CONCURRENTE</w:t>
    </w:r>
    <w:r w:rsidRPr="003C7F93">
      <w:rPr>
        <w:rFonts w:ascii="Arial" w:hAnsi="Arial" w:cs="Arial"/>
        <w:b/>
        <w:sz w:val="28"/>
        <w:szCs w:val="28"/>
        <w:lang w:val="es-MX"/>
      </w:rPr>
      <w:t xml:space="preserve"> EN LA </w:t>
    </w:r>
  </w:p>
  <w:p w14:paraId="064F1E4A" w14:textId="323E6930" w:rsidR="003C7F93" w:rsidRPr="003C7F93" w:rsidRDefault="00844E3A" w:rsidP="003C7F93">
    <w:pPr>
      <w:pStyle w:val="Encabezado"/>
      <w:jc w:val="right"/>
      <w:rPr>
        <w:rFonts w:ascii="Arial" w:hAnsi="Arial" w:cs="Arial"/>
        <w:b/>
        <w:sz w:val="28"/>
        <w:szCs w:val="28"/>
        <w:lang w:val="es-MX"/>
      </w:rPr>
    </w:pPr>
    <w:r>
      <w:rPr>
        <w:rFonts w:ascii="Arial" w:hAnsi="Arial" w:cs="Arial"/>
        <w:b/>
        <w:sz w:val="28"/>
        <w:szCs w:val="28"/>
        <w:lang w:val="es-MX"/>
      </w:rPr>
      <w:t>ACCIÓN DE INCONSTITUCIONALIDAD 56/2018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83989"/>
    <w:multiLevelType w:val="hybridMultilevel"/>
    <w:tmpl w:val="141CFC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0C1166"/>
    <w:multiLevelType w:val="hybridMultilevel"/>
    <w:tmpl w:val="5EEE4D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8A25FC"/>
    <w:multiLevelType w:val="multilevel"/>
    <w:tmpl w:val="E86E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2D024C"/>
    <w:multiLevelType w:val="multilevel"/>
    <w:tmpl w:val="9A1497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9045EB"/>
    <w:multiLevelType w:val="hybridMultilevel"/>
    <w:tmpl w:val="F9469BF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2D5F5D49"/>
    <w:multiLevelType w:val="multilevel"/>
    <w:tmpl w:val="1FB817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A92909"/>
    <w:multiLevelType w:val="hybridMultilevel"/>
    <w:tmpl w:val="742AE60E"/>
    <w:lvl w:ilvl="0" w:tplc="D8D287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CD020E"/>
    <w:multiLevelType w:val="hybridMultilevel"/>
    <w:tmpl w:val="AE34A4B6"/>
    <w:lvl w:ilvl="0" w:tplc="4C4C834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7D266A"/>
    <w:multiLevelType w:val="hybridMultilevel"/>
    <w:tmpl w:val="F56CD0C4"/>
    <w:lvl w:ilvl="0" w:tplc="051A12A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702FD4"/>
    <w:multiLevelType w:val="multilevel"/>
    <w:tmpl w:val="43821EB2"/>
    <w:lvl w:ilvl="0">
      <w:start w:val="2"/>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53152344"/>
    <w:multiLevelType w:val="hybridMultilevel"/>
    <w:tmpl w:val="F62218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547CF9"/>
    <w:multiLevelType w:val="hybridMultilevel"/>
    <w:tmpl w:val="22EABF64"/>
    <w:lvl w:ilvl="0" w:tplc="D606648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3"/>
  </w:num>
  <w:num w:numId="4">
    <w:abstractNumId w:val="5"/>
  </w:num>
  <w:num w:numId="5">
    <w:abstractNumId w:val="0"/>
  </w:num>
  <w:num w:numId="6">
    <w:abstractNumId w:val="4"/>
  </w:num>
  <w:num w:numId="7">
    <w:abstractNumId w:val="1"/>
  </w:num>
  <w:num w:numId="8">
    <w:abstractNumId w:val="10"/>
  </w:num>
  <w:num w:numId="9">
    <w:abstractNumId w:val="6"/>
  </w:num>
  <w:num w:numId="10">
    <w:abstractNumId w:val="8"/>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58"/>
    <w:rsid w:val="00004F2B"/>
    <w:rsid w:val="00023CBE"/>
    <w:rsid w:val="0005442F"/>
    <w:rsid w:val="0006245B"/>
    <w:rsid w:val="00121631"/>
    <w:rsid w:val="00163CC0"/>
    <w:rsid w:val="00180A43"/>
    <w:rsid w:val="00182293"/>
    <w:rsid w:val="00187FBC"/>
    <w:rsid w:val="001A25B1"/>
    <w:rsid w:val="001A76FD"/>
    <w:rsid w:val="001D66E1"/>
    <w:rsid w:val="00220C15"/>
    <w:rsid w:val="002A33D2"/>
    <w:rsid w:val="002A4A46"/>
    <w:rsid w:val="002B3453"/>
    <w:rsid w:val="002C413C"/>
    <w:rsid w:val="002D04AD"/>
    <w:rsid w:val="002E65B1"/>
    <w:rsid w:val="00304503"/>
    <w:rsid w:val="00307275"/>
    <w:rsid w:val="003211C7"/>
    <w:rsid w:val="00327A18"/>
    <w:rsid w:val="00347216"/>
    <w:rsid w:val="00354387"/>
    <w:rsid w:val="003629A7"/>
    <w:rsid w:val="003853C2"/>
    <w:rsid w:val="003A7FC8"/>
    <w:rsid w:val="003C7F93"/>
    <w:rsid w:val="003E04EF"/>
    <w:rsid w:val="004015BC"/>
    <w:rsid w:val="004623CF"/>
    <w:rsid w:val="00476DCB"/>
    <w:rsid w:val="00487A27"/>
    <w:rsid w:val="004A54FC"/>
    <w:rsid w:val="004C77B9"/>
    <w:rsid w:val="00541A30"/>
    <w:rsid w:val="00545CB8"/>
    <w:rsid w:val="0054776C"/>
    <w:rsid w:val="00564520"/>
    <w:rsid w:val="00566970"/>
    <w:rsid w:val="00574349"/>
    <w:rsid w:val="006440D2"/>
    <w:rsid w:val="006725D1"/>
    <w:rsid w:val="006767E8"/>
    <w:rsid w:val="006831A5"/>
    <w:rsid w:val="006B4EDF"/>
    <w:rsid w:val="006B70AA"/>
    <w:rsid w:val="006F50F3"/>
    <w:rsid w:val="0072242D"/>
    <w:rsid w:val="00736824"/>
    <w:rsid w:val="00755BC3"/>
    <w:rsid w:val="0079691D"/>
    <w:rsid w:val="007B2E2C"/>
    <w:rsid w:val="007E1618"/>
    <w:rsid w:val="0082429F"/>
    <w:rsid w:val="00844E3A"/>
    <w:rsid w:val="00847A5A"/>
    <w:rsid w:val="00850CAD"/>
    <w:rsid w:val="008578A7"/>
    <w:rsid w:val="00862D73"/>
    <w:rsid w:val="008715B6"/>
    <w:rsid w:val="008F1A3E"/>
    <w:rsid w:val="00920CE2"/>
    <w:rsid w:val="009866C4"/>
    <w:rsid w:val="009E2BB9"/>
    <w:rsid w:val="009F4674"/>
    <w:rsid w:val="00A240EB"/>
    <w:rsid w:val="00A60F1F"/>
    <w:rsid w:val="00AA4A55"/>
    <w:rsid w:val="00AF1F36"/>
    <w:rsid w:val="00B03CF6"/>
    <w:rsid w:val="00B3699C"/>
    <w:rsid w:val="00B44DD1"/>
    <w:rsid w:val="00B6472F"/>
    <w:rsid w:val="00BC788E"/>
    <w:rsid w:val="00C22358"/>
    <w:rsid w:val="00C63ED4"/>
    <w:rsid w:val="00CA1276"/>
    <w:rsid w:val="00CA53B1"/>
    <w:rsid w:val="00CB0686"/>
    <w:rsid w:val="00CB3F5D"/>
    <w:rsid w:val="00CD0676"/>
    <w:rsid w:val="00CD0F35"/>
    <w:rsid w:val="00CD7D04"/>
    <w:rsid w:val="00CF7249"/>
    <w:rsid w:val="00D26946"/>
    <w:rsid w:val="00D5477D"/>
    <w:rsid w:val="00D67F51"/>
    <w:rsid w:val="00DE5AAC"/>
    <w:rsid w:val="00E02E8B"/>
    <w:rsid w:val="00E320F6"/>
    <w:rsid w:val="00E43982"/>
    <w:rsid w:val="00E57D7D"/>
    <w:rsid w:val="00E66831"/>
    <w:rsid w:val="00EA4839"/>
    <w:rsid w:val="00F934B3"/>
    <w:rsid w:val="00FA625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BD5F36"/>
  <w14:defaultImageDpi w14:val="300"/>
  <w15:docId w15:val="{85817F3A-0884-4E83-9EDF-BCF063FA8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3, C"/>
    <w:basedOn w:val="Normal"/>
    <w:link w:val="TextonotapieCar"/>
    <w:uiPriority w:val="99"/>
    <w:unhideWhenUsed/>
    <w:qFormat/>
    <w:rsid w:val="00574349"/>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574349"/>
  </w:style>
  <w:style w:type="character" w:styleId="Refdenotaalpie">
    <w:name w:val="footnote reference"/>
    <w:aliases w:val="Texto de nota al pie,Appel note de bas de page,Ref. de nota al pie 2,Footnotes refss,referencia nota al pie,BVI fnr,Footnote number,f,4_G,16 Point,Superscript 6 Point,Texto nota al pie,Footnote Reference Char3,Stinking Styles6,ftref"/>
    <w:basedOn w:val="Fuentedeprrafopredeter"/>
    <w:unhideWhenUsed/>
    <w:qFormat/>
    <w:rsid w:val="00574349"/>
    <w:rPr>
      <w:vertAlign w:val="superscript"/>
    </w:rPr>
  </w:style>
  <w:style w:type="paragraph" w:styleId="NormalWeb">
    <w:name w:val="Normal (Web)"/>
    <w:basedOn w:val="Normal"/>
    <w:uiPriority w:val="99"/>
    <w:unhideWhenUsed/>
    <w:rsid w:val="0057434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B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3F5D"/>
    <w:rPr>
      <w:rFonts w:ascii="Segoe UI" w:hAnsi="Segoe UI" w:cs="Segoe UI"/>
      <w:sz w:val="18"/>
      <w:szCs w:val="18"/>
    </w:rPr>
  </w:style>
  <w:style w:type="paragraph" w:styleId="Prrafodelista">
    <w:name w:val="List Paragraph"/>
    <w:basedOn w:val="Normal"/>
    <w:uiPriority w:val="34"/>
    <w:qFormat/>
    <w:rsid w:val="00862D73"/>
    <w:pPr>
      <w:ind w:left="720"/>
      <w:contextualSpacing/>
    </w:pPr>
  </w:style>
  <w:style w:type="paragraph" w:styleId="Encabezado">
    <w:name w:val="header"/>
    <w:basedOn w:val="Normal"/>
    <w:link w:val="EncabezadoCar"/>
    <w:uiPriority w:val="99"/>
    <w:unhideWhenUsed/>
    <w:rsid w:val="003C7F93"/>
    <w:pPr>
      <w:tabs>
        <w:tab w:val="center" w:pos="4419"/>
        <w:tab w:val="right" w:pos="8838"/>
      </w:tabs>
    </w:pPr>
  </w:style>
  <w:style w:type="character" w:customStyle="1" w:styleId="EncabezadoCar">
    <w:name w:val="Encabezado Car"/>
    <w:basedOn w:val="Fuentedeprrafopredeter"/>
    <w:link w:val="Encabezado"/>
    <w:uiPriority w:val="99"/>
    <w:rsid w:val="003C7F93"/>
  </w:style>
  <w:style w:type="paragraph" w:styleId="Piedepgina">
    <w:name w:val="footer"/>
    <w:basedOn w:val="Normal"/>
    <w:link w:val="PiedepginaCar"/>
    <w:uiPriority w:val="99"/>
    <w:unhideWhenUsed/>
    <w:rsid w:val="003C7F93"/>
    <w:pPr>
      <w:tabs>
        <w:tab w:val="center" w:pos="4419"/>
        <w:tab w:val="right" w:pos="8838"/>
      </w:tabs>
    </w:pPr>
  </w:style>
  <w:style w:type="character" w:customStyle="1" w:styleId="PiedepginaCar">
    <w:name w:val="Pie de página Car"/>
    <w:basedOn w:val="Fuentedeprrafopredeter"/>
    <w:link w:val="Piedepgina"/>
    <w:uiPriority w:val="99"/>
    <w:rsid w:val="003C7F93"/>
  </w:style>
  <w:style w:type="paragraph" w:customStyle="1" w:styleId="Estilo">
    <w:name w:val="Estilo"/>
    <w:basedOn w:val="Sinespaciado"/>
    <w:link w:val="EstiloCar"/>
    <w:qFormat/>
    <w:rsid w:val="00FA625C"/>
    <w:pPr>
      <w:jc w:val="both"/>
    </w:pPr>
    <w:rPr>
      <w:rFonts w:ascii="Arial" w:eastAsiaTheme="minorHAnsi" w:hAnsi="Arial"/>
      <w:szCs w:val="22"/>
      <w:lang w:val="es-MX" w:eastAsia="en-US"/>
    </w:rPr>
  </w:style>
  <w:style w:type="character" w:customStyle="1" w:styleId="EstiloCar">
    <w:name w:val="Estilo Car"/>
    <w:basedOn w:val="Fuentedeprrafopredeter"/>
    <w:link w:val="Estilo"/>
    <w:rsid w:val="00FA625C"/>
    <w:rPr>
      <w:rFonts w:ascii="Arial" w:eastAsiaTheme="minorHAnsi" w:hAnsi="Arial"/>
      <w:szCs w:val="22"/>
      <w:lang w:val="es-MX" w:eastAsia="en-US"/>
    </w:rPr>
  </w:style>
  <w:style w:type="paragraph" w:styleId="Sinespaciado">
    <w:name w:val="No Spacing"/>
    <w:uiPriority w:val="1"/>
    <w:qFormat/>
    <w:rsid w:val="00FA6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49798">
      <w:bodyDiv w:val="1"/>
      <w:marLeft w:val="0"/>
      <w:marRight w:val="0"/>
      <w:marTop w:val="0"/>
      <w:marBottom w:val="0"/>
      <w:divBdr>
        <w:top w:val="none" w:sz="0" w:space="0" w:color="auto"/>
        <w:left w:val="none" w:sz="0" w:space="0" w:color="auto"/>
        <w:bottom w:val="none" w:sz="0" w:space="0" w:color="auto"/>
        <w:right w:val="none" w:sz="0" w:space="0" w:color="auto"/>
      </w:divBdr>
      <w:divsChild>
        <w:div w:id="611011285">
          <w:marLeft w:val="0"/>
          <w:marRight w:val="0"/>
          <w:marTop w:val="0"/>
          <w:marBottom w:val="0"/>
          <w:divBdr>
            <w:top w:val="none" w:sz="0" w:space="0" w:color="auto"/>
            <w:left w:val="none" w:sz="0" w:space="0" w:color="auto"/>
            <w:bottom w:val="none" w:sz="0" w:space="0" w:color="auto"/>
            <w:right w:val="none" w:sz="0" w:space="0" w:color="auto"/>
          </w:divBdr>
          <w:divsChild>
            <w:div w:id="1462922128">
              <w:marLeft w:val="0"/>
              <w:marRight w:val="0"/>
              <w:marTop w:val="0"/>
              <w:marBottom w:val="0"/>
              <w:divBdr>
                <w:top w:val="none" w:sz="0" w:space="0" w:color="auto"/>
                <w:left w:val="none" w:sz="0" w:space="0" w:color="auto"/>
                <w:bottom w:val="none" w:sz="0" w:space="0" w:color="auto"/>
                <w:right w:val="none" w:sz="0" w:space="0" w:color="auto"/>
              </w:divBdr>
              <w:divsChild>
                <w:div w:id="1085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884180">
          <w:marLeft w:val="0"/>
          <w:marRight w:val="0"/>
          <w:marTop w:val="0"/>
          <w:marBottom w:val="0"/>
          <w:divBdr>
            <w:top w:val="none" w:sz="0" w:space="0" w:color="auto"/>
            <w:left w:val="none" w:sz="0" w:space="0" w:color="auto"/>
            <w:bottom w:val="none" w:sz="0" w:space="0" w:color="auto"/>
            <w:right w:val="none" w:sz="0" w:space="0" w:color="auto"/>
          </w:divBdr>
          <w:divsChild>
            <w:div w:id="2092701291">
              <w:marLeft w:val="0"/>
              <w:marRight w:val="0"/>
              <w:marTop w:val="0"/>
              <w:marBottom w:val="0"/>
              <w:divBdr>
                <w:top w:val="none" w:sz="0" w:space="0" w:color="auto"/>
                <w:left w:val="none" w:sz="0" w:space="0" w:color="auto"/>
                <w:bottom w:val="none" w:sz="0" w:space="0" w:color="auto"/>
                <w:right w:val="none" w:sz="0" w:space="0" w:color="auto"/>
              </w:divBdr>
              <w:divsChild>
                <w:div w:id="1699310341">
                  <w:marLeft w:val="0"/>
                  <w:marRight w:val="0"/>
                  <w:marTop w:val="0"/>
                  <w:marBottom w:val="0"/>
                  <w:divBdr>
                    <w:top w:val="none" w:sz="0" w:space="0" w:color="auto"/>
                    <w:left w:val="none" w:sz="0" w:space="0" w:color="auto"/>
                    <w:bottom w:val="none" w:sz="0" w:space="0" w:color="auto"/>
                    <w:right w:val="none" w:sz="0" w:space="0" w:color="auto"/>
                  </w:divBdr>
                </w:div>
                <w:div w:id="1340355784">
                  <w:marLeft w:val="0"/>
                  <w:marRight w:val="0"/>
                  <w:marTop w:val="0"/>
                  <w:marBottom w:val="0"/>
                  <w:divBdr>
                    <w:top w:val="none" w:sz="0" w:space="0" w:color="auto"/>
                    <w:left w:val="none" w:sz="0" w:space="0" w:color="auto"/>
                    <w:bottom w:val="none" w:sz="0" w:space="0" w:color="auto"/>
                    <w:right w:val="none" w:sz="0" w:space="0" w:color="auto"/>
                  </w:divBdr>
                </w:div>
              </w:divsChild>
            </w:div>
            <w:div w:id="78989290">
              <w:marLeft w:val="0"/>
              <w:marRight w:val="0"/>
              <w:marTop w:val="0"/>
              <w:marBottom w:val="0"/>
              <w:divBdr>
                <w:top w:val="none" w:sz="0" w:space="0" w:color="auto"/>
                <w:left w:val="none" w:sz="0" w:space="0" w:color="auto"/>
                <w:bottom w:val="none" w:sz="0" w:space="0" w:color="auto"/>
                <w:right w:val="none" w:sz="0" w:space="0" w:color="auto"/>
              </w:divBdr>
              <w:divsChild>
                <w:div w:id="1818910863">
                  <w:marLeft w:val="0"/>
                  <w:marRight w:val="0"/>
                  <w:marTop w:val="0"/>
                  <w:marBottom w:val="0"/>
                  <w:divBdr>
                    <w:top w:val="none" w:sz="0" w:space="0" w:color="auto"/>
                    <w:left w:val="none" w:sz="0" w:space="0" w:color="auto"/>
                    <w:bottom w:val="none" w:sz="0" w:space="0" w:color="auto"/>
                    <w:right w:val="none" w:sz="0" w:space="0" w:color="auto"/>
                  </w:divBdr>
                </w:div>
              </w:divsChild>
            </w:div>
            <w:div w:id="1193347791">
              <w:marLeft w:val="0"/>
              <w:marRight w:val="0"/>
              <w:marTop w:val="0"/>
              <w:marBottom w:val="0"/>
              <w:divBdr>
                <w:top w:val="none" w:sz="0" w:space="0" w:color="auto"/>
                <w:left w:val="none" w:sz="0" w:space="0" w:color="auto"/>
                <w:bottom w:val="none" w:sz="0" w:space="0" w:color="auto"/>
                <w:right w:val="none" w:sz="0" w:space="0" w:color="auto"/>
              </w:divBdr>
              <w:divsChild>
                <w:div w:id="1964919459">
                  <w:marLeft w:val="0"/>
                  <w:marRight w:val="0"/>
                  <w:marTop w:val="0"/>
                  <w:marBottom w:val="0"/>
                  <w:divBdr>
                    <w:top w:val="none" w:sz="0" w:space="0" w:color="auto"/>
                    <w:left w:val="none" w:sz="0" w:space="0" w:color="auto"/>
                    <w:bottom w:val="none" w:sz="0" w:space="0" w:color="auto"/>
                    <w:right w:val="none" w:sz="0" w:space="0" w:color="auto"/>
                  </w:divBdr>
                </w:div>
                <w:div w:id="1602957731">
                  <w:marLeft w:val="0"/>
                  <w:marRight w:val="0"/>
                  <w:marTop w:val="0"/>
                  <w:marBottom w:val="0"/>
                  <w:divBdr>
                    <w:top w:val="none" w:sz="0" w:space="0" w:color="auto"/>
                    <w:left w:val="none" w:sz="0" w:space="0" w:color="auto"/>
                    <w:bottom w:val="none" w:sz="0" w:space="0" w:color="auto"/>
                    <w:right w:val="none" w:sz="0" w:space="0" w:color="auto"/>
                  </w:divBdr>
                </w:div>
              </w:divsChild>
            </w:div>
            <w:div w:id="1680428669">
              <w:marLeft w:val="0"/>
              <w:marRight w:val="0"/>
              <w:marTop w:val="0"/>
              <w:marBottom w:val="0"/>
              <w:divBdr>
                <w:top w:val="none" w:sz="0" w:space="0" w:color="auto"/>
                <w:left w:val="none" w:sz="0" w:space="0" w:color="auto"/>
                <w:bottom w:val="none" w:sz="0" w:space="0" w:color="auto"/>
                <w:right w:val="none" w:sz="0" w:space="0" w:color="auto"/>
              </w:divBdr>
              <w:divsChild>
                <w:div w:id="18070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7266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45582-587D-400C-BA07-F52E026E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1775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cp:keywords/>
  <dc:description/>
  <cp:lastModifiedBy>GABRIELA RUIZ CONTRERAS</cp:lastModifiedBy>
  <cp:revision>2</cp:revision>
  <cp:lastPrinted>2019-09-13T15:15:00Z</cp:lastPrinted>
  <dcterms:created xsi:type="dcterms:W3CDTF">2019-09-23T18:44:00Z</dcterms:created>
  <dcterms:modified xsi:type="dcterms:W3CDTF">2019-09-23T18:44:00Z</dcterms:modified>
</cp:coreProperties>
</file>